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8BE7B">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广州供电局2026年交流输电线路“交改直”对电力系统稳定性与设备安全的综合影响研究技术服务</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招标）</w:t>
      </w:r>
    </w:p>
    <w:bookmarkEnd w:id="0"/>
    <w:p w14:paraId="061A228B">
      <w:pPr>
        <w:pStyle w:val="8"/>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bookmarkStart w:id="1" w:name="_GoBack"/>
      <w:bookmarkEnd w:id="1"/>
    </w:p>
    <w:p w14:paraId="2752D62F">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468"/>
        <w:gridCol w:w="5574"/>
      </w:tblGrid>
      <w:tr w14:paraId="769F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776" w:type="dxa"/>
            <w:noWrap w:val="0"/>
            <w:vAlign w:val="top"/>
          </w:tcPr>
          <w:p w14:paraId="747E35CF">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468" w:type="dxa"/>
            <w:noWrap w:val="0"/>
            <w:vAlign w:val="top"/>
          </w:tcPr>
          <w:p w14:paraId="7230819B">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574" w:type="dxa"/>
            <w:noWrap w:val="0"/>
            <w:vAlign w:val="top"/>
          </w:tcPr>
          <w:p w14:paraId="61743BE5">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501E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jc w:val="center"/>
        </w:trPr>
        <w:tc>
          <w:tcPr>
            <w:tcW w:w="776" w:type="dxa"/>
            <w:noWrap w:val="0"/>
            <w:vAlign w:val="center"/>
          </w:tcPr>
          <w:p w14:paraId="6F50D0BC">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468" w:type="dxa"/>
            <w:noWrap w:val="0"/>
            <w:vAlign w:val="center"/>
          </w:tcPr>
          <w:p w14:paraId="071C0235">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项目立项(可研批复)文号</w:t>
            </w:r>
          </w:p>
        </w:tc>
        <w:tc>
          <w:tcPr>
            <w:tcW w:w="5574" w:type="dxa"/>
            <w:noWrap w:val="0"/>
            <w:vAlign w:val="center"/>
          </w:tcPr>
          <w:p w14:paraId="14CB5AA9">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局电力设施迁改领导小组会会议纪要</w:t>
            </w:r>
          </w:p>
        </w:tc>
      </w:tr>
      <w:tr w14:paraId="39D90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776" w:type="dxa"/>
            <w:noWrap w:val="0"/>
            <w:vAlign w:val="center"/>
          </w:tcPr>
          <w:p w14:paraId="6134F86B">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468" w:type="dxa"/>
            <w:noWrap w:val="0"/>
            <w:vAlign w:val="center"/>
          </w:tcPr>
          <w:p w14:paraId="73EEF3EC">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574" w:type="dxa"/>
            <w:noWrap w:val="0"/>
            <w:vAlign w:val="center"/>
          </w:tcPr>
          <w:p w14:paraId="28A12E13">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资金已落实。资金来源为迁改项目的资金补偿协议。</w:t>
            </w:r>
          </w:p>
        </w:tc>
      </w:tr>
      <w:tr w14:paraId="60925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776" w:type="dxa"/>
            <w:noWrap w:val="0"/>
            <w:vAlign w:val="center"/>
          </w:tcPr>
          <w:p w14:paraId="63C6A63C">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468" w:type="dxa"/>
            <w:noWrap w:val="0"/>
            <w:vAlign w:val="center"/>
          </w:tcPr>
          <w:p w14:paraId="1CF9E11E">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574" w:type="dxa"/>
            <w:noWrap w:val="0"/>
            <w:vAlign w:val="center"/>
          </w:tcPr>
          <w:p w14:paraId="1384C73C">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3D83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776" w:type="dxa"/>
            <w:noWrap w:val="0"/>
            <w:vAlign w:val="center"/>
          </w:tcPr>
          <w:p w14:paraId="24BBD1C2">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468" w:type="dxa"/>
            <w:noWrap w:val="0"/>
            <w:vAlign w:val="center"/>
          </w:tcPr>
          <w:p w14:paraId="0296BE76">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574" w:type="dxa"/>
            <w:noWrap w:val="0"/>
            <w:vAlign w:val="center"/>
          </w:tcPr>
          <w:p w14:paraId="0E84E108">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广州市白云区</w:t>
            </w:r>
          </w:p>
        </w:tc>
      </w:tr>
      <w:tr w14:paraId="7832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exact"/>
          <w:jc w:val="center"/>
        </w:trPr>
        <w:tc>
          <w:tcPr>
            <w:tcW w:w="776" w:type="dxa"/>
            <w:noWrap w:val="0"/>
            <w:vAlign w:val="center"/>
          </w:tcPr>
          <w:p w14:paraId="472D113D">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468" w:type="dxa"/>
            <w:noWrap w:val="0"/>
            <w:vAlign w:val="center"/>
          </w:tcPr>
          <w:p w14:paraId="1B1B35B2">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574" w:type="dxa"/>
            <w:noWrap w:val="0"/>
            <w:vAlign w:val="bottom"/>
          </w:tcPr>
          <w:p w14:paraId="396E1443">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合同签订之日起365日历天，实际服务期以委托函上载明的时间为准。</w:t>
            </w:r>
          </w:p>
          <w:p w14:paraId="374077F4">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auto"/>
                <w:kern w:val="0"/>
                <w:sz w:val="21"/>
                <w:szCs w:val="21"/>
                <w:highlight w:val="none"/>
                <w:u w:val="none"/>
                <w:lang w:val="en-US" w:eastAsia="zh-CN"/>
              </w:rPr>
            </w:pPr>
          </w:p>
        </w:tc>
      </w:tr>
    </w:tbl>
    <w:p w14:paraId="0DD029BC">
      <w:pPr>
        <w:keepNext w:val="0"/>
        <w:keepLines w:val="0"/>
        <w:pageBreakBefore w:val="0"/>
        <w:widowControl w:val="0"/>
        <w:numPr>
          <w:ilvl w:val="0"/>
          <w:numId w:val="0"/>
        </w:numPr>
        <w:kinsoku/>
        <w:wordWrap/>
        <w:overflowPunct/>
        <w:topLinePunct w:val="0"/>
        <w:bidi w:val="0"/>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08AF36D6">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lang w:val="en-US" w:eastAsia="zh-CN"/>
        </w:rPr>
      </w:pPr>
      <w:r>
        <w:rPr>
          <w:rFonts w:hint="eastAsia" w:ascii="Wingdings" w:hAnsi="Wingdings" w:cs="Wingdings" w:eastAsiaTheme="minorEastAsia"/>
          <w:b w:val="0"/>
          <w:bCs w:val="0"/>
          <w:i w:val="0"/>
          <w:iCs/>
          <w:color w:val="auto"/>
          <w:kern w:val="2"/>
          <w:sz w:val="24"/>
          <w:szCs w:val="24"/>
          <w:highlight w:val="none"/>
          <w:u w:val="single"/>
          <w:lang w:val="en-US" w:eastAsia="zh-CN" w:bidi="ar-SA"/>
        </w:rPr>
        <w:t>通过系统对比分析交流输电线路改为直流输电（交改直）前后电网的结构、潮流分布及运行方式变化，重点研究直流接入对交流系统电压水平、功率分布及关键通道负载的影响；在此基础上，深入分析交改直对系统电压稳定性和暂态稳定性的影响规律，评估不同直流控制方式与运行条件下，系统中关键线路及设备在暂态过程中所承受的等效电气应力与等效热应力的变化特征，识别稳定风险与设备运行风险；最终构建综合考虑系统稳定性与设备安全约束的综合影响评估方法，通过多指标联合量化分析，为交改直工程的方案比选、设计优化及运行管理提供技术支撑。</w:t>
      </w:r>
      <w:r>
        <w:rPr>
          <w:rFonts w:hint="eastAsia" w:ascii="Wingdings" w:hAnsi="Wingdings" w:cs="Wingdings" w:eastAsiaTheme="minorEastAsia"/>
          <w:b/>
          <w:bCs/>
          <w:i w:val="0"/>
          <w:iCs/>
          <w:color w:val="auto"/>
          <w:kern w:val="2"/>
          <w:sz w:val="24"/>
          <w:szCs w:val="24"/>
          <w:highlight w:val="none"/>
          <w:u w:val="none"/>
          <w:lang w:val="en-US" w:eastAsia="zh-CN" w:bidi="ar-SA"/>
        </w:rPr>
        <w:t xml:space="preserve">                                   </w:t>
      </w:r>
    </w:p>
    <w:p w14:paraId="373D8C06">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14:paraId="48E6A841">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ascii="Wingdings" w:hAnsi="Wingdings" w:cs="Wingdings" w:eastAsiaTheme="minorEastAsia"/>
          <w:b w:val="0"/>
          <w:bCs w:val="0"/>
          <w:i w:val="0"/>
          <w:iCs/>
          <w:color w:val="auto"/>
          <w:kern w:val="2"/>
          <w:sz w:val="24"/>
          <w:szCs w:val="24"/>
          <w:highlight w:val="none"/>
          <w:u w:val="single"/>
          <w:lang w:val="en-US" w:eastAsia="zh-CN" w:bidi="ar-SA"/>
        </w:rPr>
      </w:pPr>
      <w:r>
        <w:rPr>
          <w:rFonts w:hint="eastAsia" w:ascii="Wingdings" w:hAnsi="Wingdings" w:cs="Wingdings" w:eastAsiaTheme="minorEastAsia"/>
          <w:b w:val="0"/>
          <w:bCs w:val="0"/>
          <w:i w:val="0"/>
          <w:iCs/>
          <w:color w:val="auto"/>
          <w:kern w:val="2"/>
          <w:sz w:val="24"/>
          <w:szCs w:val="24"/>
          <w:highlight w:val="none"/>
          <w:u w:val="single"/>
          <w:lang w:val="en-US" w:eastAsia="zh-CN" w:bidi="ar-SA"/>
        </w:rPr>
        <w:t>开展交流输电线路“交改直”对电力系统稳定性与设备安全的综合影响研究。</w:t>
      </w:r>
    </w:p>
    <w:p w14:paraId="6C033B73">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ascii="Wingdings" w:hAnsi="Wingdings" w:cs="Wingdings" w:eastAsiaTheme="minorEastAsia"/>
          <w:b w:val="0"/>
          <w:bCs w:val="0"/>
          <w:i w:val="0"/>
          <w:iCs/>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t>1</w:t>
      </w:r>
      <w:r>
        <w:rPr>
          <w:rFonts w:hint="eastAsia" w:ascii="Wingdings" w:hAnsi="Wingdings" w:cs="Wingdings" w:eastAsiaTheme="minorEastAsia"/>
          <w:b w:val="0"/>
          <w:bCs w:val="0"/>
          <w:i w:val="0"/>
          <w:iCs/>
          <w:color w:val="auto"/>
          <w:kern w:val="2"/>
          <w:sz w:val="24"/>
          <w:szCs w:val="24"/>
          <w:highlight w:val="none"/>
          <w:u w:val="single"/>
          <w:lang w:val="en-US" w:eastAsia="zh-CN" w:bidi="ar-SA"/>
        </w:rPr>
        <w:t>、交改直前后系统结构与运行特性变化分析：在梳理交改直工程技术特点和应用背景的基础上，建立交改直前后系统对比模型，系统分析交改直对电网结构、潮流分布及运行方式的影响。重点研究直流输电接入后交流系统电压水平、功率分布以及关键输电通道负载变化特征，明确交改直工程在提升输电能力的同时对系统运行特性带来的变化。</w:t>
      </w:r>
    </w:p>
    <w:p w14:paraId="2514FD3C">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ascii="Wingdings" w:hAnsi="Wingdings" w:cs="Wingdings" w:eastAsiaTheme="minorEastAsia"/>
          <w:b w:val="0"/>
          <w:bCs w:val="0"/>
          <w:i w:val="0"/>
          <w:iCs/>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t>2</w:t>
      </w:r>
      <w:r>
        <w:rPr>
          <w:rFonts w:hint="eastAsia" w:ascii="Wingdings" w:hAnsi="Wingdings" w:cs="Wingdings" w:eastAsiaTheme="minorEastAsia"/>
          <w:b w:val="0"/>
          <w:bCs w:val="0"/>
          <w:i w:val="0"/>
          <w:iCs/>
          <w:color w:val="auto"/>
          <w:kern w:val="2"/>
          <w:sz w:val="24"/>
          <w:szCs w:val="24"/>
          <w:highlight w:val="none"/>
          <w:u w:val="single"/>
          <w:lang w:val="en-US" w:eastAsia="zh-CN" w:bidi="ar-SA"/>
        </w:rPr>
        <w:t>、交改直对系统稳定性与设备运行安全的综合影响分析：在前述“交改直前后系统结构与运行特性变化分析”的基础上，本节进一步面向交改直工程投运后交直流耦合增强、无功支撑格局重塑以及故障期间功率、电压动态重分配等核心变化，建立可对比、可量化的稳定性与安全边界评估体系，系统刻画电压稳定性与暂态稳定性的迁移规律，并评估输电设备运行安全裕度的变化。为保证结论具备工程可复现性与可解释性，本节按“联合建模与工况集统一—电压稳定裕度对比—暂态关键场景对比—控制、运行维度敏感性扫描—设备安全边界校核”的技术路径展开，形成从机理识别到指标量化、再到风险清单与整定建议的闭环分析框架。</w:t>
      </w:r>
    </w:p>
    <w:p w14:paraId="2F2DD324">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ascii="Wingdings" w:hAnsi="Wingdings" w:cs="Wingdings" w:eastAsiaTheme="minorEastAsia"/>
          <w:b w:val="0"/>
          <w:bCs w:val="0"/>
          <w:i w:val="0"/>
          <w:iCs/>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t>3</w:t>
      </w:r>
      <w:r>
        <w:rPr>
          <w:rFonts w:hint="eastAsia" w:ascii="Wingdings" w:hAnsi="Wingdings" w:cs="Wingdings" w:eastAsiaTheme="minorEastAsia"/>
          <w:b w:val="0"/>
          <w:bCs w:val="0"/>
          <w:i w:val="0"/>
          <w:iCs/>
          <w:color w:val="auto"/>
          <w:kern w:val="2"/>
          <w:sz w:val="24"/>
          <w:szCs w:val="24"/>
          <w:highlight w:val="none"/>
          <w:u w:val="single"/>
          <w:lang w:val="en-US" w:eastAsia="zh-CN" w:bidi="ar-SA"/>
        </w:rPr>
        <w:t>、交改直工程综合影响评估方法与工程应用：围绕交流输电线路“交改直”工程实施后对电力系统稳定性与输电设备运行安全产生的综合影响，构建面向工程应用的综合影响评估技术方案。通过建立交改直前后系统对比模型，融合系统稳定性分析结果与设备运行安全评估结果，对不同交改直方案及运行方式下的系统稳定特性变化和设备安全裕度变化进行统一表征与定量分析。在此基础上，形成可用于工程方案比选和技术决策的综合评估方法，并在典型工程场景中开展应用验证。</w:t>
      </w:r>
    </w:p>
    <w:p w14:paraId="1FBF361E">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ascii="Wingdings" w:hAnsi="Wingdings" w:cs="Wingdings" w:eastAsiaTheme="minorEastAsia"/>
          <w:b w:val="0"/>
          <w:bCs w:val="0"/>
          <w:i w:val="0"/>
          <w:iCs/>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t>4、交付成果：开展交改直前后系统模型搭建，融合系统稳定性分析结果与设备运行安全评估结果，对不同交改直方案及运行方式下的系统稳定特性变化和设备安全裕度变化进行统一表征与定量分析，研究开发系统1套；使用说明书 1本。</w:t>
      </w:r>
      <w:r>
        <w:rPr>
          <w:rFonts w:hint="eastAsia" w:ascii="Wingdings" w:hAnsi="Wingdings" w:cs="Wingdings" w:eastAsiaTheme="minorEastAsia"/>
          <w:b w:val="0"/>
          <w:bCs w:val="0"/>
          <w:i w:val="0"/>
          <w:iCs/>
          <w:color w:val="auto"/>
          <w:kern w:val="2"/>
          <w:sz w:val="24"/>
          <w:szCs w:val="24"/>
          <w:highlight w:val="none"/>
          <w:u w:val="single"/>
          <w:lang w:val="en-US" w:eastAsia="zh-CN" w:bidi="ar-SA"/>
        </w:rPr>
        <w:t xml:space="preserve"> </w:t>
      </w:r>
    </w:p>
    <w:p w14:paraId="5E973CBF">
      <w:pPr>
        <w:keepNext w:val="0"/>
        <w:keepLines w:val="0"/>
        <w:pageBreakBefore w:val="0"/>
        <w:widowControl w:val="0"/>
        <w:shd w:val="clear" w:color="auto" w:fill="auto"/>
        <w:kinsoku/>
        <w:wordWrap/>
        <w:overflowPunct/>
        <w:topLinePunct w:val="0"/>
        <w:bidi w:val="0"/>
        <w:snapToGrid/>
        <w:spacing w:before="157" w:beforeLines="50" w:after="157" w:afterLines="50" w:line="360" w:lineRule="auto"/>
        <w:jc w:val="center"/>
        <w:textAlignment w:val="auto"/>
        <w:rPr>
          <w:rFonts w:hint="eastAsia" w:ascii="宋体" w:hAnsi="宋体" w:cs="宋体"/>
          <w:b/>
          <w:bCs/>
          <w:sz w:val="28"/>
          <w:szCs w:val="28"/>
          <w:u w:val="none"/>
          <w:lang w:eastAsia="zh-CN"/>
        </w:rPr>
      </w:pPr>
      <w:r>
        <w:rPr>
          <w:rFonts w:hint="eastAsia" w:ascii="宋体" w:hAnsi="宋体" w:cs="宋体"/>
          <w:b/>
          <w:bCs/>
          <w:sz w:val="28"/>
          <w:szCs w:val="28"/>
          <w:u w:val="none"/>
          <w:lang w:eastAsia="zh-CN"/>
        </w:rPr>
        <w:t>依托项目</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3402"/>
        <w:gridCol w:w="2835"/>
        <w:gridCol w:w="2268"/>
      </w:tblGrid>
      <w:tr w14:paraId="71E36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vAlign w:val="center"/>
          </w:tcPr>
          <w:p w14:paraId="4CCA894F">
            <w:pPr>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序号</w:t>
            </w:r>
          </w:p>
        </w:tc>
        <w:tc>
          <w:tcPr>
            <w:tcW w:w="3402" w:type="dxa"/>
            <w:vAlign w:val="center"/>
          </w:tcPr>
          <w:p w14:paraId="4F65CF0E">
            <w:pPr>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项目名称</w:t>
            </w:r>
          </w:p>
        </w:tc>
        <w:tc>
          <w:tcPr>
            <w:tcW w:w="2835" w:type="dxa"/>
            <w:vAlign w:val="center"/>
          </w:tcPr>
          <w:p w14:paraId="7CA8D0A3">
            <w:pPr>
              <w:jc w:val="center"/>
              <w:rPr>
                <w:rFonts w:hint="eastAsia" w:ascii="宋体" w:hAnsi="宋体" w:eastAsia="宋体" w:cs="宋体"/>
                <w:sz w:val="24"/>
                <w:szCs w:val="24"/>
                <w:vertAlign w:val="baseline"/>
                <w:lang w:eastAsia="zh-CN"/>
              </w:rPr>
            </w:pPr>
            <w:r>
              <w:rPr>
                <w:rFonts w:hint="eastAsia" w:asciiTheme="minorEastAsia" w:hAnsiTheme="minorEastAsia" w:eastAsiaTheme="minorEastAsia" w:cstheme="minorEastAsia"/>
                <w:snapToGrid w:val="0"/>
                <w:sz w:val="24"/>
                <w:szCs w:val="24"/>
              </w:rPr>
              <w:t>资金落实情况</w:t>
            </w:r>
          </w:p>
        </w:tc>
        <w:tc>
          <w:tcPr>
            <w:tcW w:w="2268" w:type="dxa"/>
            <w:vAlign w:val="center"/>
          </w:tcPr>
          <w:p w14:paraId="5931B288">
            <w:pPr>
              <w:jc w:val="center"/>
              <w:rPr>
                <w:rFonts w:hint="eastAsia" w:ascii="宋体" w:hAnsi="宋体" w:eastAsia="宋体" w:cs="宋体"/>
                <w:sz w:val="24"/>
                <w:szCs w:val="24"/>
                <w:vertAlign w:val="baseline"/>
                <w:lang w:eastAsia="zh-CN"/>
              </w:rPr>
            </w:pPr>
            <w:r>
              <w:rPr>
                <w:rFonts w:hint="eastAsia" w:ascii="宋体" w:hAnsi="宋体" w:cs="宋体"/>
                <w:sz w:val="24"/>
                <w:szCs w:val="24"/>
                <w:vertAlign w:val="baseline"/>
                <w:lang w:eastAsia="zh-CN"/>
              </w:rPr>
              <w:t>项目经费（元）</w:t>
            </w:r>
          </w:p>
        </w:tc>
      </w:tr>
      <w:tr w14:paraId="2A5FD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850" w:type="dxa"/>
            <w:vAlign w:val="center"/>
          </w:tcPr>
          <w:p w14:paraId="096FDEEF">
            <w:pPr>
              <w:jc w:val="center"/>
              <w:rPr>
                <w:rFonts w:hint="default" w:ascii="宋体" w:hAnsi="宋体" w:eastAsia="宋体" w:cs="宋体"/>
                <w:sz w:val="24"/>
                <w:szCs w:val="24"/>
                <w:highlight w:val="none"/>
                <w:vertAlign w:val="baseline"/>
                <w:lang w:val="en-US" w:eastAsia="zh-CN"/>
              </w:rPr>
            </w:pPr>
            <w:r>
              <w:rPr>
                <w:rFonts w:hint="eastAsia" w:ascii="宋体" w:hAnsi="宋体" w:cs="宋体"/>
                <w:sz w:val="24"/>
                <w:szCs w:val="24"/>
                <w:highlight w:val="none"/>
                <w:vertAlign w:val="baseline"/>
                <w:lang w:val="en-US" w:eastAsia="zh-CN"/>
              </w:rPr>
              <w:t>1</w:t>
            </w:r>
          </w:p>
        </w:tc>
        <w:tc>
          <w:tcPr>
            <w:tcW w:w="3402" w:type="dxa"/>
            <w:vAlign w:val="center"/>
          </w:tcPr>
          <w:p w14:paraId="6AF7C975">
            <w:pPr>
              <w:jc w:val="center"/>
              <w:rPr>
                <w:rFonts w:hint="default" w:ascii="宋体" w:hAnsi="宋体" w:eastAsia="宋体" w:cs="宋体"/>
                <w:sz w:val="24"/>
                <w:szCs w:val="24"/>
                <w:highlight w:val="none"/>
                <w:vertAlign w:val="baseline"/>
                <w:lang w:val="en-US" w:eastAsia="zh-CN"/>
              </w:rPr>
            </w:pPr>
            <w:r>
              <w:rPr>
                <w:rFonts w:hint="eastAsia" w:ascii="宋体" w:hAnsi="宋体" w:cs="宋体"/>
                <w:sz w:val="24"/>
                <w:szCs w:val="24"/>
                <w:highlight w:val="none"/>
                <w:vertAlign w:val="baseline"/>
                <w:lang w:val="en-US" w:eastAsia="zh-CN"/>
              </w:rPr>
              <w:t>广州机场高速公路改扩建工程输电线路迁改工程（二期）</w:t>
            </w:r>
          </w:p>
        </w:tc>
        <w:tc>
          <w:tcPr>
            <w:tcW w:w="2835" w:type="dxa"/>
            <w:vAlign w:val="center"/>
          </w:tcPr>
          <w:p w14:paraId="0E5B4C0D">
            <w:pPr>
              <w:jc w:val="center"/>
              <w:rPr>
                <w:rFonts w:hint="default" w:ascii="宋体" w:hAnsi="宋体" w:eastAsia="宋体" w:cs="宋体"/>
                <w:sz w:val="24"/>
                <w:szCs w:val="24"/>
                <w:highlight w:val="none"/>
                <w:vertAlign w:val="baseline"/>
                <w:lang w:val="en-US" w:eastAsia="zh-CN"/>
              </w:rPr>
            </w:pPr>
            <w:r>
              <w:rPr>
                <w:rFonts w:hint="eastAsia" w:asciiTheme="minorEastAsia" w:hAnsiTheme="minorEastAsia" w:eastAsiaTheme="minorEastAsia" w:cstheme="minorEastAsia"/>
                <w:snapToGrid w:val="0"/>
                <w:sz w:val="24"/>
                <w:szCs w:val="24"/>
                <w:highlight w:val="none"/>
                <w:lang w:val="en-US" w:eastAsia="zh-CN"/>
              </w:rPr>
              <w:t>补偿协议</w:t>
            </w:r>
          </w:p>
        </w:tc>
        <w:tc>
          <w:tcPr>
            <w:tcW w:w="2268" w:type="dxa"/>
            <w:vAlign w:val="center"/>
          </w:tcPr>
          <w:p w14:paraId="4A0B7CBC">
            <w:pPr>
              <w:jc w:val="center"/>
              <w:rPr>
                <w:rFonts w:hint="default" w:ascii="宋体" w:hAnsi="宋体" w:eastAsia="宋体" w:cs="宋体"/>
                <w:sz w:val="24"/>
                <w:szCs w:val="24"/>
                <w:highlight w:val="none"/>
                <w:vertAlign w:val="baseline"/>
                <w:lang w:val="en-US" w:eastAsia="zh-CN"/>
              </w:rPr>
            </w:pPr>
            <w:r>
              <w:rPr>
                <w:rFonts w:hint="eastAsia" w:ascii="宋体" w:hAnsi="宋体" w:cs="宋体"/>
                <w:sz w:val="24"/>
                <w:szCs w:val="24"/>
                <w:highlight w:val="none"/>
                <w:vertAlign w:val="baseline"/>
                <w:lang w:val="en-US" w:eastAsia="zh-CN"/>
              </w:rPr>
              <w:t>1790000</w:t>
            </w:r>
          </w:p>
        </w:tc>
      </w:tr>
    </w:tbl>
    <w:p w14:paraId="1D393D90">
      <w:pPr>
        <w:keepNext w:val="0"/>
        <w:keepLines w:val="0"/>
        <w:pageBreakBefore w:val="0"/>
        <w:widowControl w:val="0"/>
        <w:shd w:val="clear" w:color="auto" w:fill="auto"/>
        <w:kinsoku/>
        <w:wordWrap/>
        <w:overflowPunct/>
        <w:topLinePunct w:val="0"/>
        <w:bidi w:val="0"/>
        <w:snapToGrid/>
        <w:spacing w:before="157" w:beforeLines="50" w:after="157" w:afterLines="50" w:line="360" w:lineRule="auto"/>
        <w:textAlignment w:val="auto"/>
        <w:rPr>
          <w:rFonts w:hint="eastAsia"/>
          <w:b w:val="0"/>
          <w:bCs w:val="0"/>
          <w:u w:val="none"/>
          <w:lang w:val="en-US" w:eastAsia="zh-CN"/>
        </w:rPr>
      </w:pPr>
      <w:r>
        <w:rPr>
          <w:rFonts w:hint="eastAsia" w:ascii="Wingdings" w:hAnsi="Wingdings" w:cs="Wingdings" w:eastAsiaTheme="minorEastAsia"/>
          <w:b w:val="0"/>
          <w:bCs w:val="0"/>
          <w:i w:val="0"/>
          <w:iCs/>
          <w:color w:val="auto"/>
          <w:kern w:val="2"/>
          <w:sz w:val="24"/>
          <w:szCs w:val="24"/>
          <w:highlight w:val="none"/>
          <w:u w:val="none"/>
          <w:lang w:val="en-US" w:eastAsia="zh-CN" w:bidi="ar-SA"/>
        </w:rPr>
        <w:t xml:space="preserve">                  </w:t>
      </w:r>
    </w:p>
    <w:p w14:paraId="43CC592D">
      <w:pPr>
        <w:pStyle w:val="4"/>
        <w:keepNext w:val="0"/>
        <w:keepLines w:val="0"/>
        <w:pageBreakBefore w:val="0"/>
        <w:numPr>
          <w:ilvl w:val="0"/>
          <w:numId w:val="0"/>
        </w:numPr>
        <w:kinsoku/>
        <w:wordWrap/>
        <w:overflowPunct/>
        <w:topLinePunct w:val="0"/>
        <w:bidi w:val="0"/>
        <w:spacing w:line="360" w:lineRule="auto"/>
        <w:outlineLvl w:val="1"/>
        <w:rPr>
          <w:rFonts w:hint="eastAsia"/>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三、报价表及报价要求</w:t>
      </w:r>
    </w:p>
    <w:tbl>
      <w:tblPr>
        <w:tblStyle w:val="11"/>
        <w:tblpPr w:leftFromText="180" w:rightFromText="180" w:vertAnchor="text" w:horzAnchor="page" w:tblpXSpec="center" w:tblpY="66"/>
        <w:tblOverlap w:val="never"/>
        <w:tblW w:w="96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4"/>
        <w:gridCol w:w="2479"/>
        <w:gridCol w:w="675"/>
        <w:gridCol w:w="1024"/>
        <w:gridCol w:w="954"/>
        <w:gridCol w:w="822"/>
        <w:gridCol w:w="1047"/>
        <w:gridCol w:w="1161"/>
        <w:gridCol w:w="860"/>
      </w:tblGrid>
      <w:tr w14:paraId="07570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jc w:val="center"/>
        </w:trPr>
        <w:tc>
          <w:tcPr>
            <w:tcW w:w="654" w:type="dxa"/>
            <w:vMerge w:val="restart"/>
            <w:tcBorders>
              <w:top w:val="single" w:color="000000" w:sz="4" w:space="0"/>
              <w:left w:val="single" w:color="000000" w:sz="4" w:space="0"/>
              <w:right w:val="single" w:color="000000" w:sz="4" w:space="0"/>
            </w:tcBorders>
            <w:shd w:val="clear" w:color="auto" w:fill="auto"/>
            <w:noWrap/>
            <w:vAlign w:val="center"/>
          </w:tcPr>
          <w:p w14:paraId="14FF6F6D">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序号</w:t>
            </w:r>
          </w:p>
        </w:tc>
        <w:tc>
          <w:tcPr>
            <w:tcW w:w="2479" w:type="dxa"/>
            <w:vMerge w:val="restart"/>
            <w:tcBorders>
              <w:top w:val="single" w:color="000000" w:sz="4" w:space="0"/>
              <w:left w:val="single" w:color="000000" w:sz="4" w:space="0"/>
              <w:right w:val="single" w:color="000000" w:sz="4" w:space="0"/>
            </w:tcBorders>
            <w:shd w:val="clear" w:color="auto" w:fill="auto"/>
            <w:noWrap/>
            <w:vAlign w:val="center"/>
          </w:tcPr>
          <w:p w14:paraId="68A387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工程或费用名称</w:t>
            </w:r>
          </w:p>
        </w:tc>
        <w:tc>
          <w:tcPr>
            <w:tcW w:w="675" w:type="dxa"/>
            <w:vMerge w:val="restart"/>
            <w:tcBorders>
              <w:top w:val="single" w:color="000000" w:sz="4" w:space="0"/>
              <w:left w:val="single" w:color="000000" w:sz="4" w:space="0"/>
              <w:right w:val="single" w:color="000000" w:sz="4" w:space="0"/>
            </w:tcBorders>
            <w:shd w:val="clear" w:color="auto" w:fill="auto"/>
            <w:noWrap/>
            <w:vAlign w:val="center"/>
          </w:tcPr>
          <w:p w14:paraId="7F561E4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预计</w:t>
            </w:r>
          </w:p>
          <w:p w14:paraId="455809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数量</w:t>
            </w:r>
          </w:p>
        </w:tc>
        <w:tc>
          <w:tcPr>
            <w:tcW w:w="1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3618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最高投标限价</w:t>
            </w:r>
          </w:p>
        </w:tc>
        <w:tc>
          <w:tcPr>
            <w:tcW w:w="822" w:type="dxa"/>
            <w:vMerge w:val="restart"/>
            <w:tcBorders>
              <w:top w:val="single" w:color="000000" w:sz="4" w:space="0"/>
              <w:left w:val="single" w:color="000000" w:sz="4" w:space="0"/>
              <w:right w:val="single" w:color="000000" w:sz="4" w:space="0"/>
            </w:tcBorders>
            <w:shd w:val="clear" w:color="auto" w:fill="auto"/>
            <w:vAlign w:val="center"/>
          </w:tcPr>
          <w:p w14:paraId="1DDFF5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投标下浮率</w:t>
            </w:r>
          </w:p>
        </w:tc>
        <w:tc>
          <w:tcPr>
            <w:tcW w:w="22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A5874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投标报价</w:t>
            </w:r>
          </w:p>
        </w:tc>
        <w:tc>
          <w:tcPr>
            <w:tcW w:w="860" w:type="dxa"/>
            <w:vMerge w:val="restart"/>
            <w:tcBorders>
              <w:top w:val="single" w:color="000000" w:sz="4" w:space="0"/>
              <w:left w:val="single" w:color="auto" w:sz="4" w:space="0"/>
              <w:right w:val="single" w:color="000000" w:sz="4" w:space="0"/>
            </w:tcBorders>
            <w:shd w:val="clear" w:color="auto" w:fill="auto"/>
            <w:noWrap/>
            <w:vAlign w:val="center"/>
          </w:tcPr>
          <w:p w14:paraId="49FE8A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  注</w:t>
            </w:r>
          </w:p>
        </w:tc>
      </w:tr>
      <w:tr w14:paraId="5C3E1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1" w:hRule="atLeast"/>
          <w:jc w:val="center"/>
        </w:trPr>
        <w:tc>
          <w:tcPr>
            <w:tcW w:w="654" w:type="dxa"/>
            <w:vMerge w:val="continue"/>
            <w:tcBorders>
              <w:left w:val="single" w:color="000000" w:sz="4" w:space="0"/>
              <w:bottom w:val="single" w:color="000000" w:sz="4" w:space="0"/>
              <w:right w:val="single" w:color="000000" w:sz="4" w:space="0"/>
            </w:tcBorders>
            <w:shd w:val="clear" w:color="auto" w:fill="auto"/>
            <w:noWrap/>
            <w:vAlign w:val="center"/>
          </w:tcPr>
          <w:p w14:paraId="19629104">
            <w:pPr>
              <w:keepNext w:val="0"/>
              <w:keepLines w:val="0"/>
              <w:widowControl/>
              <w:suppressLineNumbers w:val="0"/>
              <w:jc w:val="center"/>
              <w:textAlignment w:val="center"/>
              <w:rPr>
                <w:highlight w:val="none"/>
              </w:rPr>
            </w:pPr>
          </w:p>
        </w:tc>
        <w:tc>
          <w:tcPr>
            <w:tcW w:w="2479" w:type="dxa"/>
            <w:vMerge w:val="continue"/>
            <w:tcBorders>
              <w:left w:val="single" w:color="000000" w:sz="4" w:space="0"/>
              <w:bottom w:val="nil"/>
              <w:right w:val="single" w:color="000000" w:sz="4" w:space="0"/>
            </w:tcBorders>
            <w:shd w:val="clear" w:color="auto" w:fill="auto"/>
            <w:noWrap/>
            <w:vAlign w:val="center"/>
          </w:tcPr>
          <w:p w14:paraId="542544EA">
            <w:pPr>
              <w:keepNext w:val="0"/>
              <w:keepLines w:val="0"/>
              <w:widowControl/>
              <w:suppressLineNumbers w:val="0"/>
              <w:jc w:val="center"/>
              <w:textAlignment w:val="center"/>
              <w:rPr>
                <w:highlight w:val="none"/>
              </w:rPr>
            </w:pPr>
          </w:p>
        </w:tc>
        <w:tc>
          <w:tcPr>
            <w:tcW w:w="675" w:type="dxa"/>
            <w:vMerge w:val="continue"/>
            <w:tcBorders>
              <w:left w:val="single" w:color="000000" w:sz="4" w:space="0"/>
              <w:bottom w:val="single" w:color="000000" w:sz="4" w:space="0"/>
              <w:right w:val="single" w:color="000000" w:sz="4" w:space="0"/>
            </w:tcBorders>
            <w:shd w:val="clear" w:color="auto" w:fill="auto"/>
            <w:noWrap/>
            <w:vAlign w:val="center"/>
          </w:tcPr>
          <w:p w14:paraId="6435F62D">
            <w:pPr>
              <w:keepNext w:val="0"/>
              <w:keepLines w:val="0"/>
              <w:widowControl/>
              <w:suppressLineNumbers w:val="0"/>
              <w:jc w:val="center"/>
              <w:textAlignment w:val="center"/>
              <w:rPr>
                <w:highlight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15B0D">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单价</w:t>
            </w:r>
            <w:r>
              <w:rPr>
                <w:rFonts w:hint="eastAsia" w:ascii="宋体" w:hAnsi="宋体" w:eastAsia="宋体" w:cs="宋体"/>
                <w:i w:val="0"/>
                <w:iCs w:val="0"/>
                <w:color w:val="000000"/>
                <w:kern w:val="0"/>
                <w:sz w:val="20"/>
                <w:szCs w:val="20"/>
                <w:highlight w:val="none"/>
                <w:u w:val="none"/>
                <w:lang w:val="en-US" w:eastAsia="zh-CN" w:bidi="ar"/>
              </w:rPr>
              <w:t>（元）</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5E1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r>
              <w:rPr>
                <w:rFonts w:hint="eastAsia" w:ascii="宋体" w:hAnsi="宋体" w:eastAsia="宋体" w:cs="宋体"/>
                <w:i w:val="0"/>
                <w:iCs w:val="0"/>
                <w:color w:val="000000"/>
                <w:kern w:val="0"/>
                <w:sz w:val="20"/>
                <w:szCs w:val="20"/>
                <w:highlight w:val="none"/>
                <w:u w:val="none"/>
                <w:lang w:val="en-US" w:eastAsia="zh-CN" w:bidi="ar"/>
              </w:rPr>
              <w:t>（元）</w:t>
            </w:r>
          </w:p>
        </w:tc>
        <w:tc>
          <w:tcPr>
            <w:tcW w:w="822" w:type="dxa"/>
            <w:vMerge w:val="continue"/>
            <w:tcBorders>
              <w:left w:val="single" w:color="000000" w:sz="4" w:space="0"/>
              <w:bottom w:val="single" w:color="000000" w:sz="4" w:space="0"/>
              <w:right w:val="single" w:color="000000" w:sz="4" w:space="0"/>
            </w:tcBorders>
            <w:shd w:val="clear" w:color="auto" w:fill="auto"/>
            <w:vAlign w:val="center"/>
          </w:tcPr>
          <w:p w14:paraId="3D125C3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47" w:type="dxa"/>
            <w:tcBorders>
              <w:top w:val="single" w:color="auto" w:sz="4" w:space="0"/>
              <w:left w:val="single" w:color="auto" w:sz="4" w:space="0"/>
              <w:bottom w:val="single" w:color="auto" w:sz="4" w:space="0"/>
              <w:right w:val="single" w:color="auto" w:sz="4" w:space="0"/>
            </w:tcBorders>
            <w:shd w:val="clear" w:color="auto" w:fill="auto"/>
            <w:vAlign w:val="center"/>
          </w:tcPr>
          <w:p w14:paraId="0E5DE9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单价</w:t>
            </w:r>
            <w:r>
              <w:rPr>
                <w:rFonts w:hint="eastAsia" w:ascii="宋体" w:hAnsi="宋体" w:eastAsia="宋体" w:cs="宋体"/>
                <w:i w:val="0"/>
                <w:iCs w:val="0"/>
                <w:color w:val="000000"/>
                <w:kern w:val="0"/>
                <w:sz w:val="20"/>
                <w:szCs w:val="20"/>
                <w:highlight w:val="none"/>
                <w:u w:val="none"/>
                <w:lang w:val="en-US" w:eastAsia="zh-CN" w:bidi="ar"/>
              </w:rPr>
              <w:t>（元）</w:t>
            </w:r>
          </w:p>
        </w:tc>
        <w:tc>
          <w:tcPr>
            <w:tcW w:w="11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3BCD0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r>
              <w:rPr>
                <w:rFonts w:hint="eastAsia" w:ascii="宋体" w:hAnsi="宋体" w:eastAsia="宋体" w:cs="宋体"/>
                <w:i w:val="0"/>
                <w:iCs w:val="0"/>
                <w:color w:val="000000"/>
                <w:kern w:val="0"/>
                <w:sz w:val="20"/>
                <w:szCs w:val="20"/>
                <w:highlight w:val="none"/>
                <w:u w:val="none"/>
                <w:lang w:val="en-US" w:eastAsia="zh-CN" w:bidi="ar"/>
              </w:rPr>
              <w:t>（元）</w:t>
            </w:r>
          </w:p>
        </w:tc>
        <w:tc>
          <w:tcPr>
            <w:tcW w:w="860" w:type="dxa"/>
            <w:vMerge w:val="continue"/>
            <w:tcBorders>
              <w:left w:val="single" w:color="auto" w:sz="4" w:space="0"/>
              <w:bottom w:val="single" w:color="000000" w:sz="4" w:space="0"/>
              <w:right w:val="single" w:color="000000" w:sz="4" w:space="0"/>
            </w:tcBorders>
            <w:shd w:val="clear" w:color="auto" w:fill="auto"/>
            <w:noWrap/>
            <w:vAlign w:val="center"/>
          </w:tcPr>
          <w:p w14:paraId="47CDD50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r>
      <w:tr w14:paraId="1E9C9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0" w:hRule="atLeast"/>
          <w:jc w:val="center"/>
        </w:trPr>
        <w:tc>
          <w:tcPr>
            <w:tcW w:w="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283A">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C2948">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广州供电局2026年广州供电局交流输电线路“交改直”对电力系统稳定性与设备安全的综合影响研究技术服务</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EB040">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C7B03">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1790000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624CF">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1790000</w:t>
            </w:r>
          </w:p>
        </w:tc>
        <w:tc>
          <w:tcPr>
            <w:tcW w:w="822" w:type="dxa"/>
            <w:vMerge w:val="restart"/>
            <w:tcBorders>
              <w:top w:val="single" w:color="000000" w:sz="4" w:space="0"/>
              <w:left w:val="single" w:color="000000" w:sz="4" w:space="0"/>
              <w:right w:val="single" w:color="000000" w:sz="4" w:space="0"/>
            </w:tcBorders>
            <w:shd w:val="clear" w:color="auto" w:fill="auto"/>
            <w:vAlign w:val="center"/>
          </w:tcPr>
          <w:p w14:paraId="1953BB68">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singl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w:t>
            </w:r>
          </w:p>
        </w:tc>
        <w:tc>
          <w:tcPr>
            <w:tcW w:w="1047" w:type="dxa"/>
            <w:tcBorders>
              <w:top w:val="single" w:color="auto" w:sz="4" w:space="0"/>
              <w:left w:val="single" w:color="000000" w:sz="4" w:space="0"/>
              <w:bottom w:val="single" w:color="000000" w:sz="4" w:space="0"/>
              <w:right w:val="single" w:color="000000" w:sz="4" w:space="0"/>
            </w:tcBorders>
            <w:shd w:val="clear" w:color="auto" w:fill="auto"/>
            <w:vAlign w:val="center"/>
          </w:tcPr>
          <w:p w14:paraId="1BC2D303">
            <w:pPr>
              <w:jc w:val="center"/>
              <w:rPr>
                <w:rFonts w:hint="eastAsia" w:ascii="宋体" w:hAnsi="宋体" w:eastAsia="宋体" w:cs="宋体"/>
                <w:i w:val="0"/>
                <w:iCs w:val="0"/>
                <w:color w:val="000000"/>
                <w:sz w:val="20"/>
                <w:szCs w:val="20"/>
                <w:highlight w:val="none"/>
                <w:u w:val="none"/>
              </w:rPr>
            </w:pPr>
          </w:p>
        </w:tc>
        <w:tc>
          <w:tcPr>
            <w:tcW w:w="1161"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C61A524">
            <w:pPr>
              <w:jc w:val="center"/>
              <w:rPr>
                <w:rFonts w:hint="eastAsia" w:ascii="宋体" w:hAnsi="宋体" w:eastAsia="宋体" w:cs="宋体"/>
                <w:i w:val="0"/>
                <w:iCs w:val="0"/>
                <w:color w:val="000000"/>
                <w:sz w:val="20"/>
                <w:szCs w:val="20"/>
                <w:highlight w:val="none"/>
                <w:u w:val="none"/>
                <w:lang w:val="en-US" w:eastAsia="zh-CN"/>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83BD">
            <w:pPr>
              <w:jc w:val="center"/>
              <w:rPr>
                <w:rFonts w:hint="eastAsia" w:ascii="宋体" w:hAnsi="宋体" w:eastAsia="宋体" w:cs="宋体"/>
                <w:i w:val="0"/>
                <w:iCs w:val="0"/>
                <w:color w:val="000000"/>
                <w:sz w:val="20"/>
                <w:szCs w:val="20"/>
                <w:highlight w:val="none"/>
                <w:u w:val="none"/>
              </w:rPr>
            </w:pPr>
          </w:p>
        </w:tc>
      </w:tr>
      <w:tr w14:paraId="2D67B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6" w:hRule="atLeast"/>
          <w:jc w:val="center"/>
        </w:trPr>
        <w:tc>
          <w:tcPr>
            <w:tcW w:w="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54E91">
            <w:pPr>
              <w:jc w:val="center"/>
              <w:rPr>
                <w:rFonts w:hint="eastAsia" w:ascii="宋体" w:hAnsi="宋体" w:eastAsia="宋体" w:cs="宋体"/>
                <w:i w:val="0"/>
                <w:iCs w:val="0"/>
                <w:color w:val="000000"/>
                <w:sz w:val="20"/>
                <w:szCs w:val="20"/>
                <w:highlight w:val="none"/>
                <w:u w:val="none"/>
              </w:rPr>
            </w:pPr>
          </w:p>
        </w:tc>
        <w:tc>
          <w:tcPr>
            <w:tcW w:w="2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041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合计（小写）：</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E12C2">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1B39D">
            <w:pPr>
              <w:jc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1790000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5E53">
            <w:pPr>
              <w:jc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1790000</w:t>
            </w:r>
          </w:p>
        </w:tc>
        <w:tc>
          <w:tcPr>
            <w:tcW w:w="822" w:type="dxa"/>
            <w:vMerge w:val="continue"/>
            <w:tcBorders>
              <w:left w:val="single" w:color="000000" w:sz="4" w:space="0"/>
              <w:bottom w:val="single" w:color="000000" w:sz="4" w:space="0"/>
              <w:right w:val="single" w:color="000000" w:sz="4" w:space="0"/>
            </w:tcBorders>
            <w:shd w:val="clear" w:color="auto" w:fill="auto"/>
            <w:vAlign w:val="center"/>
          </w:tcPr>
          <w:p w14:paraId="6285482D">
            <w:pPr>
              <w:rPr>
                <w:rFonts w:hint="eastAsia" w:ascii="宋体" w:hAnsi="宋体" w:eastAsia="宋体" w:cs="宋体"/>
                <w:i w:val="0"/>
                <w:iCs w:val="0"/>
                <w:color w:val="000000"/>
                <w:sz w:val="20"/>
                <w:szCs w:val="20"/>
                <w:highlight w:val="none"/>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939BF">
            <w:pPr>
              <w:jc w:val="center"/>
              <w:rPr>
                <w:rFonts w:hint="eastAsia" w:ascii="宋体" w:hAnsi="宋体" w:eastAsia="宋体" w:cs="宋体"/>
                <w:i w:val="0"/>
                <w:iCs w:val="0"/>
                <w:color w:val="000000"/>
                <w:sz w:val="20"/>
                <w:szCs w:val="20"/>
                <w:highlight w:val="none"/>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F56A5">
            <w:pPr>
              <w:rPr>
                <w:rFonts w:hint="eastAsia" w:ascii="宋体" w:hAnsi="宋体" w:eastAsia="宋体" w:cs="宋体"/>
                <w:i w:val="0"/>
                <w:iCs w:val="0"/>
                <w:color w:val="000000"/>
                <w:sz w:val="20"/>
                <w:szCs w:val="20"/>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D72E3">
            <w:pPr>
              <w:rPr>
                <w:rFonts w:hint="eastAsia" w:ascii="宋体" w:hAnsi="宋体" w:eastAsia="宋体" w:cs="宋体"/>
                <w:i w:val="0"/>
                <w:iCs w:val="0"/>
                <w:color w:val="000000"/>
                <w:sz w:val="20"/>
                <w:szCs w:val="20"/>
                <w:highlight w:val="none"/>
                <w:u w:val="none"/>
              </w:rPr>
            </w:pPr>
          </w:p>
        </w:tc>
      </w:tr>
    </w:tbl>
    <w:p w14:paraId="4122F5EE">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14:paraId="2BFEE249">
      <w:pPr>
        <w:pStyle w:val="2"/>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59FCD448">
      <w:pPr>
        <w:pStyle w:val="9"/>
        <w:ind w:firstLine="480" w:firstLineChars="200"/>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金额报价，同时填报投标下浮率。投标下浮率＝[1－(投标报价/最高投标限价）×100%（保留两位小数，如：8.88%）。当投标金额报价与投标下浮率计算结果不一致时，以投标金额报价为准，按公式修订投标下浮率。</w:t>
      </w:r>
    </w:p>
    <w:p w14:paraId="02092EC8">
      <w:pPr>
        <w:pStyle w:val="9"/>
        <w:ind w:firstLine="480" w:firstLineChars="200"/>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w:t>
      </w:r>
      <w:r>
        <w:rPr>
          <w:rFonts w:ascii="宋体" w:hAnsi="宋体" w:eastAsia="宋体" w:cs="宋体"/>
          <w:b w:val="0"/>
          <w:bCs w:val="0"/>
          <w:color w:val="auto"/>
          <w:sz w:val="24"/>
          <w:szCs w:val="24"/>
          <w:highlight w:val="none"/>
          <w:u w:val="single"/>
        </w:rPr>
        <w:t>投标下浮率不低于0%为有效报价；当投标下浮率＞</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u w:val="single"/>
        </w:rPr>
        <w:t>15%</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u w:val="single"/>
        </w:rPr>
        <w:t>时应附成本分析报告，充分说明单价和费用的组成、降低成本的合理措施及在其他工程中应用过的经验等，经评审通过后方可视为有效报价。</w:t>
      </w:r>
      <w:r>
        <w:rPr>
          <w:rFonts w:hint="eastAsia" w:ascii="宋体" w:hAnsi="宋体" w:eastAsia="宋体" w:cs="宋体"/>
          <w:color w:val="auto"/>
          <w:kern w:val="2"/>
          <w:sz w:val="24"/>
          <w:szCs w:val="24"/>
          <w:highlight w:val="none"/>
          <w:u w:val="single"/>
          <w:lang w:val="en-US" w:eastAsia="zh-CN" w:bidi="ar-SA"/>
        </w:rPr>
        <w:t xml:space="preserve">                                                                           </w:t>
      </w:r>
    </w:p>
    <w:p w14:paraId="73747180">
      <w:pPr>
        <w:numPr>
          <w:ilvl w:val="0"/>
          <w:numId w:val="0"/>
        </w:numPr>
        <w:ind w:left="240" w:leftChars="0"/>
        <w:rPr>
          <w:rFonts w:hint="default"/>
          <w:highlight w:val="none"/>
          <w:lang w:val="en-US" w:eastAsia="zh-CN"/>
        </w:rPr>
      </w:pPr>
    </w:p>
    <w:p w14:paraId="406B6AE1">
      <w:pPr>
        <w:rPr>
          <w:rFonts w:hint="eastAsia"/>
          <w:highlight w:val="none"/>
          <w:lang w:val="en-US" w:eastAsia="zh-CN"/>
        </w:rPr>
      </w:pPr>
    </w:p>
    <w:p w14:paraId="2E76DCE1">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0AB4FB8C">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b/>
          <w:bCs/>
          <w:color w:val="auto"/>
          <w:kern w:val="2"/>
          <w:sz w:val="24"/>
          <w:szCs w:val="24"/>
          <w:u w:val="single"/>
          <w:lang w:val="en-US" w:eastAsia="zh-CN" w:bidi="ar-SA"/>
        </w:rPr>
        <w:t>结算方式：本工程合同价总价包干。结算时总价包干部分，除合同约定可调整的情况外，结算不予调整，中标合同价款中的漏项、错项结算时视为已包括在其他子项的报价中，不予调整。</w:t>
      </w:r>
    </w:p>
    <w:p w14:paraId="1561DA95">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5BDC3764">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022362D9">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3AF2F20F">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14:paraId="141A4C77">
      <w:pPr>
        <w:rPr>
          <w:rFonts w:hint="eastAsia" w:ascii="宋体" w:hAnsi="宋体" w:eastAsia="宋体" w:cs="宋体"/>
          <w:color w:val="auto"/>
          <w:kern w:val="2"/>
          <w:sz w:val="24"/>
          <w:szCs w:val="24"/>
          <w:highlight w:val="none"/>
          <w:u w:val="single"/>
          <w:lang w:val="en-US" w:eastAsia="zh-CN" w:bidi="ar-SA"/>
        </w:rPr>
      </w:pPr>
    </w:p>
    <w:p w14:paraId="56C71505">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14:paraId="44C5BD6D">
      <w:pPr>
        <w:pStyle w:val="8"/>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27381190">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2C6F40F1">
      <w:pPr>
        <w:pStyle w:val="8"/>
        <w:rPr>
          <w:rFonts w:hint="eastAsia" w:asciiTheme="minorEastAsia" w:hAnsiTheme="minorEastAsia" w:eastAsiaTheme="minorEastAsia" w:cstheme="minorEastAsia"/>
          <w:i w:val="0"/>
          <w:iCs/>
          <w:color w:val="auto"/>
          <w:sz w:val="24"/>
          <w:szCs w:val="24"/>
          <w:highlight w:val="none"/>
        </w:rPr>
      </w:pPr>
    </w:p>
    <w:p w14:paraId="6D575FCD">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2F76B549">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199DBA9E">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14:paraId="72313013">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775AF759">
      <w:pPr>
        <w:rPr>
          <w:rFonts w:hint="eastAsia"/>
          <w:lang w:val="en-US" w:eastAsia="zh-CN"/>
        </w:rPr>
      </w:pPr>
    </w:p>
    <w:p w14:paraId="1901B807">
      <w:pPr>
        <w:pStyle w:val="8"/>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4A24F71"/>
    <w:rsid w:val="076F3B3B"/>
    <w:rsid w:val="07CA37DF"/>
    <w:rsid w:val="07DA6874"/>
    <w:rsid w:val="07E41C6E"/>
    <w:rsid w:val="0A403398"/>
    <w:rsid w:val="0B4A6210"/>
    <w:rsid w:val="0BC07002"/>
    <w:rsid w:val="0E2F4C02"/>
    <w:rsid w:val="0E3616E0"/>
    <w:rsid w:val="0E394169"/>
    <w:rsid w:val="0EB14A06"/>
    <w:rsid w:val="0F81532F"/>
    <w:rsid w:val="0F820548"/>
    <w:rsid w:val="107144D2"/>
    <w:rsid w:val="10C41430"/>
    <w:rsid w:val="116419AD"/>
    <w:rsid w:val="11DF6CFE"/>
    <w:rsid w:val="13383335"/>
    <w:rsid w:val="14440D4B"/>
    <w:rsid w:val="14781EB9"/>
    <w:rsid w:val="14B666F3"/>
    <w:rsid w:val="15056A61"/>
    <w:rsid w:val="16A175CB"/>
    <w:rsid w:val="17722603"/>
    <w:rsid w:val="18E57496"/>
    <w:rsid w:val="1A386933"/>
    <w:rsid w:val="1A4F176B"/>
    <w:rsid w:val="1B663F82"/>
    <w:rsid w:val="1C2D4629"/>
    <w:rsid w:val="1C43636C"/>
    <w:rsid w:val="1C8618B6"/>
    <w:rsid w:val="1D904223"/>
    <w:rsid w:val="1F653C49"/>
    <w:rsid w:val="1FF914D4"/>
    <w:rsid w:val="20383A0C"/>
    <w:rsid w:val="20735046"/>
    <w:rsid w:val="216F4D5B"/>
    <w:rsid w:val="21C11DC8"/>
    <w:rsid w:val="23B738BA"/>
    <w:rsid w:val="24E67795"/>
    <w:rsid w:val="24F737D8"/>
    <w:rsid w:val="2525523D"/>
    <w:rsid w:val="26EB3B6A"/>
    <w:rsid w:val="291D5E51"/>
    <w:rsid w:val="2BE07E0A"/>
    <w:rsid w:val="2CA17C08"/>
    <w:rsid w:val="2DDF66E3"/>
    <w:rsid w:val="2FF65FF8"/>
    <w:rsid w:val="300D195C"/>
    <w:rsid w:val="30BF37B5"/>
    <w:rsid w:val="313B0851"/>
    <w:rsid w:val="31A1649A"/>
    <w:rsid w:val="31C955A9"/>
    <w:rsid w:val="33B200AF"/>
    <w:rsid w:val="33C75702"/>
    <w:rsid w:val="33E61BE2"/>
    <w:rsid w:val="361736AD"/>
    <w:rsid w:val="36D200CF"/>
    <w:rsid w:val="379951F8"/>
    <w:rsid w:val="38382DC3"/>
    <w:rsid w:val="38DE045C"/>
    <w:rsid w:val="3987396D"/>
    <w:rsid w:val="3B595AEE"/>
    <w:rsid w:val="3BF24D81"/>
    <w:rsid w:val="3BFE7BEA"/>
    <w:rsid w:val="3C4750A3"/>
    <w:rsid w:val="3C4A35F1"/>
    <w:rsid w:val="420455E6"/>
    <w:rsid w:val="42E73C50"/>
    <w:rsid w:val="43F128EA"/>
    <w:rsid w:val="44982260"/>
    <w:rsid w:val="44A15F9D"/>
    <w:rsid w:val="44D414C9"/>
    <w:rsid w:val="46472D5E"/>
    <w:rsid w:val="485D3F87"/>
    <w:rsid w:val="493D012B"/>
    <w:rsid w:val="496A657E"/>
    <w:rsid w:val="49843C09"/>
    <w:rsid w:val="49AF5757"/>
    <w:rsid w:val="4B3A1BDA"/>
    <w:rsid w:val="4BF83760"/>
    <w:rsid w:val="4C5B4768"/>
    <w:rsid w:val="4C8349B8"/>
    <w:rsid w:val="4F5E7A81"/>
    <w:rsid w:val="504766FD"/>
    <w:rsid w:val="552A0C96"/>
    <w:rsid w:val="55BB16B6"/>
    <w:rsid w:val="55C3156A"/>
    <w:rsid w:val="560A4CB8"/>
    <w:rsid w:val="5782183A"/>
    <w:rsid w:val="57BD355E"/>
    <w:rsid w:val="58D21C48"/>
    <w:rsid w:val="59FA564E"/>
    <w:rsid w:val="5B0320E2"/>
    <w:rsid w:val="5B8B11A7"/>
    <w:rsid w:val="5B9E2EC4"/>
    <w:rsid w:val="5BCB35CB"/>
    <w:rsid w:val="5CD10D7E"/>
    <w:rsid w:val="60002310"/>
    <w:rsid w:val="608606DE"/>
    <w:rsid w:val="610E324A"/>
    <w:rsid w:val="61F31EFD"/>
    <w:rsid w:val="63066BC7"/>
    <w:rsid w:val="63D0487B"/>
    <w:rsid w:val="64672037"/>
    <w:rsid w:val="64911DA0"/>
    <w:rsid w:val="65945D8D"/>
    <w:rsid w:val="66C35559"/>
    <w:rsid w:val="67D57489"/>
    <w:rsid w:val="68570F93"/>
    <w:rsid w:val="6A287B5E"/>
    <w:rsid w:val="6A8B3391"/>
    <w:rsid w:val="6B303A1A"/>
    <w:rsid w:val="6BF80D65"/>
    <w:rsid w:val="6C704794"/>
    <w:rsid w:val="6DAA2FDF"/>
    <w:rsid w:val="6DE86C1C"/>
    <w:rsid w:val="6DF95579"/>
    <w:rsid w:val="6E121228"/>
    <w:rsid w:val="6F8447F5"/>
    <w:rsid w:val="70D1495F"/>
    <w:rsid w:val="70ED510D"/>
    <w:rsid w:val="712F63C0"/>
    <w:rsid w:val="72717CD1"/>
    <w:rsid w:val="743E1546"/>
    <w:rsid w:val="74614F7E"/>
    <w:rsid w:val="74695E39"/>
    <w:rsid w:val="754C6F3B"/>
    <w:rsid w:val="75B11AFF"/>
    <w:rsid w:val="75D32619"/>
    <w:rsid w:val="76307412"/>
    <w:rsid w:val="76334E79"/>
    <w:rsid w:val="768D126A"/>
    <w:rsid w:val="780B6A75"/>
    <w:rsid w:val="79F83E18"/>
    <w:rsid w:val="7CED7DC5"/>
    <w:rsid w:val="7D0F76D8"/>
    <w:rsid w:val="7E3420E0"/>
    <w:rsid w:val="7E707A96"/>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Indent"/>
    <w:basedOn w:val="1"/>
    <w:qFormat/>
    <w:uiPriority w:val="0"/>
    <w:pPr>
      <w:spacing w:after="120"/>
      <w:ind w:left="420" w:leftChars="200"/>
    </w:pPr>
  </w:style>
  <w:style w:type="paragraph" w:styleId="8">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Body Text First Indent"/>
    <w:basedOn w:val="2"/>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1988</Words>
  <Characters>2135</Characters>
  <Lines>0</Lines>
  <Paragraphs>0</Paragraphs>
  <TotalTime>34</TotalTime>
  <ScaleCrop>false</ScaleCrop>
  <LinksUpToDate>false</LinksUpToDate>
  <CharactersWithSpaces>2385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cp:lastPrinted>2026-02-09T09:00:00Z</cp:lastPrinted>
  <dcterms:modified xsi:type="dcterms:W3CDTF">2026-02-28T07:47:15Z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EDF1AA3B88D44F0F8FEC517A4732750F</vt:lpwstr>
  </property>
  <property fmtid="{D5CDD505-2E9C-101B-9397-08002B2CF9AE}" pid="4" name="KSOTemplateDocerSaveRecord">
    <vt:lpwstr>eyJoZGlkIjoiYTIwYjFiYWIwYzVjMGU2NjE2M2NjNGRkMTNlOWRkOGQiLCJ1c2VySWQiOiI3MDM5OTYzMzMifQ==</vt:lpwstr>
  </property>
</Properties>
</file>