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8BE7B">
      <w:pPr>
        <w:pStyle w:val="8"/>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广州供电局2026年输电线路杆塔沉降远距离检测及预警专题技术服务</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招标）</w:t>
      </w:r>
    </w:p>
    <w:bookmarkEnd w:id="0"/>
    <w:p w14:paraId="061A228B">
      <w:pPr>
        <w:pStyle w:val="8"/>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2752D62F">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465"/>
        <w:gridCol w:w="5568"/>
      </w:tblGrid>
      <w:tr w14:paraId="769F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14:paraId="747E35CF">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465" w:type="dxa"/>
            <w:noWrap w:val="0"/>
            <w:vAlign w:val="top"/>
          </w:tcPr>
          <w:p w14:paraId="7230819B">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568" w:type="dxa"/>
            <w:noWrap w:val="0"/>
            <w:vAlign w:val="top"/>
          </w:tcPr>
          <w:p w14:paraId="61743BE5">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501E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776" w:type="dxa"/>
            <w:noWrap w:val="0"/>
            <w:vAlign w:val="center"/>
          </w:tcPr>
          <w:p w14:paraId="6F50D0B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465" w:type="dxa"/>
            <w:noWrap w:val="0"/>
            <w:vAlign w:val="center"/>
          </w:tcPr>
          <w:p w14:paraId="071C0235">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项目立项(可研批复)文号</w:t>
            </w:r>
          </w:p>
        </w:tc>
        <w:tc>
          <w:tcPr>
            <w:tcW w:w="5568" w:type="dxa"/>
            <w:noWrap w:val="0"/>
            <w:vAlign w:val="center"/>
          </w:tcPr>
          <w:p w14:paraId="14CB5AA9">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局电力设施搬迁领导小组会会议纪要</w:t>
            </w:r>
          </w:p>
        </w:tc>
      </w:tr>
      <w:tr w14:paraId="39D90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776" w:type="dxa"/>
            <w:noWrap w:val="0"/>
            <w:vAlign w:val="center"/>
          </w:tcPr>
          <w:p w14:paraId="6134F86B">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465" w:type="dxa"/>
            <w:noWrap w:val="0"/>
            <w:vAlign w:val="center"/>
          </w:tcPr>
          <w:p w14:paraId="73EEF3E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资金落实情况</w:t>
            </w:r>
          </w:p>
        </w:tc>
        <w:tc>
          <w:tcPr>
            <w:tcW w:w="5568" w:type="dxa"/>
            <w:noWrap w:val="0"/>
            <w:vAlign w:val="center"/>
          </w:tcPr>
          <w:p w14:paraId="28A12E13">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资金已落实。资金来源为迁改项目的资金补偿协议。</w:t>
            </w:r>
          </w:p>
        </w:tc>
      </w:tr>
      <w:tr w14:paraId="60925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3C6A63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465" w:type="dxa"/>
            <w:noWrap w:val="0"/>
            <w:vAlign w:val="center"/>
          </w:tcPr>
          <w:p w14:paraId="1CF9E11E">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568" w:type="dxa"/>
            <w:noWrap w:val="0"/>
            <w:vAlign w:val="center"/>
          </w:tcPr>
          <w:p w14:paraId="1384C73C">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3D83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4BBD1C2">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465" w:type="dxa"/>
            <w:noWrap w:val="0"/>
            <w:vAlign w:val="center"/>
          </w:tcPr>
          <w:p w14:paraId="0296BE76">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568" w:type="dxa"/>
            <w:noWrap w:val="0"/>
            <w:vAlign w:val="center"/>
          </w:tcPr>
          <w:p w14:paraId="0E84E108">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7832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exact"/>
          <w:jc w:val="center"/>
        </w:trPr>
        <w:tc>
          <w:tcPr>
            <w:tcW w:w="776" w:type="dxa"/>
            <w:noWrap w:val="0"/>
            <w:vAlign w:val="center"/>
          </w:tcPr>
          <w:p w14:paraId="472D113D">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465" w:type="dxa"/>
            <w:noWrap w:val="0"/>
            <w:vAlign w:val="center"/>
          </w:tcPr>
          <w:p w14:paraId="1B1B35B2">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服务期/框架有效期</w:t>
            </w:r>
          </w:p>
        </w:tc>
        <w:tc>
          <w:tcPr>
            <w:tcW w:w="5568" w:type="dxa"/>
            <w:noWrap w:val="0"/>
            <w:vAlign w:val="bottom"/>
          </w:tcPr>
          <w:p w14:paraId="396E1443">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合同签订之日起365日历天，实际服务期以委托函上载明的时间为准。</w:t>
            </w:r>
          </w:p>
          <w:p w14:paraId="374077F4">
            <w:pPr>
              <w:pStyle w:val="8"/>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宋体" w:hAnsi="宋体" w:eastAsia="宋体" w:cs="宋体"/>
                <w:bCs/>
                <w:color w:val="auto"/>
                <w:kern w:val="0"/>
                <w:sz w:val="21"/>
                <w:szCs w:val="21"/>
                <w:highlight w:val="none"/>
                <w:u w:val="none"/>
                <w:lang w:val="en-US" w:eastAsia="zh-CN"/>
              </w:rPr>
            </w:pPr>
          </w:p>
        </w:tc>
      </w:tr>
    </w:tbl>
    <w:p w14:paraId="0DD029BC">
      <w:pPr>
        <w:keepNext w:val="0"/>
        <w:keepLines w:val="0"/>
        <w:pageBreakBefore w:val="0"/>
        <w:widowControl w:val="0"/>
        <w:numPr>
          <w:ilvl w:val="0"/>
          <w:numId w:val="0"/>
        </w:numPr>
        <w:kinsoku/>
        <w:wordWrap/>
        <w:overflowPunct/>
        <w:topLinePunct w:val="0"/>
        <w:bidi w:val="0"/>
        <w:snapToGrid/>
        <w:spacing w:before="157" w:beforeLines="50" w:after="157" w:afterLines="50" w:line="480" w:lineRule="auto"/>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08AF36D6">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lang w:val="en-US" w:eastAsia="zh-CN"/>
        </w:rPr>
      </w:pPr>
      <w:r>
        <w:rPr>
          <w:rFonts w:hint="eastAsia" w:ascii="Wingdings" w:hAnsi="Wingdings" w:cs="Wingdings" w:eastAsiaTheme="minorEastAsia"/>
          <w:b w:val="0"/>
          <w:bCs w:val="0"/>
          <w:i w:val="0"/>
          <w:iCs/>
          <w:color w:val="auto"/>
          <w:kern w:val="2"/>
          <w:sz w:val="24"/>
          <w:szCs w:val="24"/>
          <w:highlight w:val="none"/>
          <w:u w:val="single"/>
          <w:lang w:val="en-US" w:eastAsia="zh-CN" w:bidi="ar-SA"/>
        </w:rPr>
        <w:t>利用单光子探测与量子传感多源融合技术，研发恶劣天气下输电线路杆塔沉降远距离高精度防灾智能预警系统，自动判别杆塔基础微小沉降形态与边坡地质体深部应力变化情况，实现全天候监测、毫米级感知、趋势研判和灾害预警，强化输电通道地质灾害的主动防御手段，为电网运维决策与隐患治理提供重要依据</w:t>
      </w:r>
      <w:r>
        <w:rPr>
          <w:rFonts w:hint="eastAsia" w:ascii="Wingdings" w:hAnsi="Wingdings" w:cs="Wingdings" w:eastAsiaTheme="minorEastAsia"/>
          <w:b w:val="0"/>
          <w:bCs w:val="0"/>
          <w:i w:val="0"/>
          <w:iCs/>
          <w:color w:val="auto"/>
          <w:kern w:val="2"/>
          <w:sz w:val="24"/>
          <w:szCs w:val="24"/>
          <w:highlight w:val="none"/>
          <w:u w:val="single"/>
          <w:lang w:val="en-US" w:eastAsia="zh-Hans" w:bidi="ar-SA"/>
        </w:rPr>
        <w:t>，</w:t>
      </w:r>
      <w:r>
        <w:rPr>
          <w:rFonts w:hint="eastAsia" w:ascii="Wingdings" w:hAnsi="Wingdings" w:cs="Wingdings" w:eastAsiaTheme="minorEastAsia"/>
          <w:b w:val="0"/>
          <w:bCs w:val="0"/>
          <w:i w:val="0"/>
          <w:iCs/>
          <w:color w:val="auto"/>
          <w:kern w:val="2"/>
          <w:sz w:val="24"/>
          <w:szCs w:val="24"/>
          <w:highlight w:val="none"/>
          <w:u w:val="single"/>
          <w:lang w:val="en-US" w:eastAsia="zh-CN" w:bidi="ar-SA"/>
        </w:rPr>
        <w:t>优化复杂环境下电网安全管理体系，降低灾害运维成本与停电风险，促进输电线路防灾减灾智能化转型。</w:t>
      </w:r>
      <w:r>
        <w:rPr>
          <w:rFonts w:hint="eastAsia" w:ascii="Wingdings" w:hAnsi="Wingdings" w:cs="Wingdings" w:eastAsiaTheme="minorEastAsia"/>
          <w:b/>
          <w:bCs/>
          <w:i w:val="0"/>
          <w:iCs/>
          <w:color w:val="auto"/>
          <w:kern w:val="2"/>
          <w:sz w:val="24"/>
          <w:szCs w:val="24"/>
          <w:highlight w:val="none"/>
          <w:u w:val="none"/>
          <w:lang w:val="en-US" w:eastAsia="zh-CN" w:bidi="ar-SA"/>
        </w:rPr>
        <w:t xml:space="preserve">                                   </w:t>
      </w:r>
    </w:p>
    <w:p w14:paraId="373D8C06">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二、采购范围</w:t>
      </w:r>
    </w:p>
    <w:p w14:paraId="48E6A841">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ascii="Wingdings" w:hAnsi="Wingdings" w:cs="Wingdings" w:eastAsiaTheme="minorEastAsia"/>
          <w:b w:val="0"/>
          <w:bCs w:val="0"/>
          <w:i w:val="0"/>
          <w:iCs/>
          <w:color w:val="auto"/>
          <w:kern w:val="2"/>
          <w:sz w:val="24"/>
          <w:szCs w:val="24"/>
          <w:highlight w:val="none"/>
          <w:u w:val="single"/>
          <w:lang w:val="en-US" w:eastAsia="zh-CN" w:bidi="ar-SA"/>
        </w:rPr>
      </w:pPr>
      <w:r>
        <w:rPr>
          <w:rFonts w:hint="eastAsia" w:ascii="Wingdings" w:hAnsi="Wingdings" w:cs="Wingdings" w:eastAsiaTheme="minorEastAsia"/>
          <w:b w:val="0"/>
          <w:bCs w:val="0"/>
          <w:i w:val="0"/>
          <w:iCs/>
          <w:color w:val="auto"/>
          <w:kern w:val="2"/>
          <w:sz w:val="24"/>
          <w:szCs w:val="24"/>
          <w:highlight w:val="none"/>
          <w:u w:val="single"/>
          <w:lang w:val="en-US" w:eastAsia="zh-CN" w:bidi="ar-SA"/>
        </w:rPr>
        <w:t>开展输电线路杆塔沉降远距离检测及预警技术提升研究。</w:t>
      </w:r>
    </w:p>
    <w:p w14:paraId="6C033B73">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ascii="Wingdings" w:hAnsi="Wingdings" w:cs="Wingdings" w:eastAsiaTheme="minorEastAsia"/>
          <w:b w:val="0"/>
          <w:bCs w:val="0"/>
          <w:i w:val="0"/>
          <w:iCs/>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t>1</w:t>
      </w:r>
      <w:r>
        <w:rPr>
          <w:rFonts w:hint="eastAsia" w:ascii="Wingdings" w:hAnsi="Wingdings" w:cs="Wingdings" w:eastAsiaTheme="minorEastAsia"/>
          <w:b w:val="0"/>
          <w:bCs w:val="0"/>
          <w:i w:val="0"/>
          <w:iCs/>
          <w:color w:val="auto"/>
          <w:kern w:val="2"/>
          <w:sz w:val="24"/>
          <w:szCs w:val="24"/>
          <w:highlight w:val="none"/>
          <w:u w:val="single"/>
          <w:lang w:val="en-US" w:eastAsia="zh-CN" w:bidi="ar-SA"/>
        </w:rPr>
        <w:t>、研究单光子激光雷达在夜间、烟、雾等极端环境下的三维点云数据获取能力，深入挖掘其基于时间相关光子计数技术在微弱信号探测与高精度测距方面的独特优势。开发物理机理与深度学习协同驱动的单光子点云去噪与智能分割算法，实现输电杆塔本体、基础及周边地貌的高精度特征提取。通过对多期高密度点云数据进行时序配准与差分对比，构建输电杆塔三维形变场的精细化模拟方法，建立毫米级沉降、位移及倾斜的自动化解算与分级预警模型。</w:t>
      </w:r>
    </w:p>
    <w:p w14:paraId="2514FD3C">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ascii="Wingdings" w:hAnsi="Wingdings" w:cs="Wingdings" w:eastAsiaTheme="minorEastAsia"/>
          <w:b w:val="0"/>
          <w:bCs w:val="0"/>
          <w:i w:val="0"/>
          <w:iCs/>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t>2</w:t>
      </w:r>
      <w:r>
        <w:rPr>
          <w:rFonts w:hint="eastAsia" w:ascii="Wingdings" w:hAnsi="Wingdings" w:cs="Wingdings" w:eastAsiaTheme="minorEastAsia"/>
          <w:b w:val="0"/>
          <w:bCs w:val="0"/>
          <w:i w:val="0"/>
          <w:iCs/>
          <w:color w:val="auto"/>
          <w:kern w:val="2"/>
          <w:sz w:val="24"/>
          <w:szCs w:val="24"/>
          <w:highlight w:val="none"/>
          <w:u w:val="single"/>
          <w:lang w:val="en-US" w:eastAsia="zh-CN" w:bidi="ar-SA"/>
        </w:rPr>
        <w:t>、针对输电线路边坡地质灾害具有隐蔽性强、突发性高且易受环境干扰的特点，利用量子传感（单光子计数）技术的高灵敏度、强穿透性与经典光学传感（可见光红外热成像）的高分辨率、丰富纹理优势，构建主被动协同的多源异构数据融合监测体系。</w:t>
      </w:r>
    </w:p>
    <w:p w14:paraId="2F2DD324">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ascii="Wingdings" w:hAnsi="Wingdings" w:cs="Wingdings" w:eastAsiaTheme="minorEastAsia"/>
          <w:b w:val="0"/>
          <w:bCs w:val="0"/>
          <w:i w:val="0"/>
          <w:iCs/>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t>3</w:t>
      </w:r>
      <w:r>
        <w:rPr>
          <w:rFonts w:hint="eastAsia" w:ascii="Wingdings" w:hAnsi="Wingdings" w:cs="Wingdings" w:eastAsiaTheme="minorEastAsia"/>
          <w:b w:val="0"/>
          <w:bCs w:val="0"/>
          <w:i w:val="0"/>
          <w:iCs/>
          <w:color w:val="auto"/>
          <w:kern w:val="2"/>
          <w:sz w:val="24"/>
          <w:szCs w:val="24"/>
          <w:highlight w:val="none"/>
          <w:u w:val="single"/>
          <w:lang w:val="en-US" w:eastAsia="zh-CN" w:bidi="ar-SA"/>
        </w:rPr>
        <w:t>、研发自动化的输电通道地质灾害全流程监测与预警工作流，涵盖单光子多源数据协同感知、沉降形变特征解算、实时分级风险预警、灾害演化证据留档和防灾决策报告生成等关键环节。开发原型系统并在典型地质灾害易发区输电线路中进行应用验证，实现对杆塔沉降与边坡滑移隐患的快速响应与闭环处置。</w:t>
      </w:r>
    </w:p>
    <w:p w14:paraId="1D393D90">
      <w:pPr>
        <w:keepNext w:val="0"/>
        <w:keepLines w:val="0"/>
        <w:pageBreakBefore w:val="0"/>
        <w:widowControl w:val="0"/>
        <w:shd w:val="clear" w:color="auto" w:fill="auto"/>
        <w:kinsoku/>
        <w:wordWrap/>
        <w:overflowPunct/>
        <w:topLinePunct w:val="0"/>
        <w:bidi w:val="0"/>
        <w:snapToGrid/>
        <w:spacing w:before="157" w:beforeLines="50" w:after="157" w:afterLines="50" w:line="360" w:lineRule="auto"/>
        <w:ind w:firstLine="480" w:firstLineChars="200"/>
        <w:textAlignment w:val="auto"/>
        <w:rPr>
          <w:rFonts w:hint="eastAsia"/>
          <w:b w:val="0"/>
          <w:bCs w:val="0"/>
          <w:u w:val="none"/>
          <w:lang w:val="en-US" w:eastAsia="zh-CN"/>
        </w:rPr>
      </w:pPr>
      <w:r>
        <w:rPr>
          <w:rFonts w:hint="eastAsia" w:asciiTheme="minorEastAsia" w:hAnsiTheme="minorEastAsia" w:eastAsiaTheme="minorEastAsia" w:cstheme="minorEastAsia"/>
          <w:b w:val="0"/>
          <w:bCs w:val="0"/>
          <w:i w:val="0"/>
          <w:iCs/>
          <w:color w:val="auto"/>
          <w:kern w:val="2"/>
          <w:sz w:val="24"/>
          <w:szCs w:val="24"/>
          <w:highlight w:val="none"/>
          <w:u w:val="single"/>
          <w:lang w:val="en-US" w:eastAsia="zh-CN" w:bidi="ar-SA"/>
        </w:rPr>
        <w:t>4、交付成果：输电线路远距离高精度防灾智能预警数字化核查体系1套；输电线路远距离高精度防灾智能预警数字化核查体系使用指导手册1本。</w:t>
      </w:r>
      <w:r>
        <w:rPr>
          <w:rFonts w:hint="eastAsia" w:ascii="Wingdings" w:hAnsi="Wingdings" w:cs="Wingdings" w:eastAsiaTheme="minorEastAsia"/>
          <w:b w:val="0"/>
          <w:bCs w:val="0"/>
          <w:i w:val="0"/>
          <w:iCs/>
          <w:color w:val="auto"/>
          <w:kern w:val="2"/>
          <w:sz w:val="24"/>
          <w:szCs w:val="24"/>
          <w:highlight w:val="none"/>
          <w:u w:val="single"/>
          <w:lang w:val="en-US" w:eastAsia="zh-CN" w:bidi="ar-SA"/>
        </w:rPr>
        <w:t xml:space="preserve"> </w:t>
      </w:r>
      <w:r>
        <w:rPr>
          <w:rFonts w:hint="eastAsia" w:ascii="Wingdings" w:hAnsi="Wingdings" w:cs="Wingdings" w:eastAsiaTheme="minorEastAsia"/>
          <w:b w:val="0"/>
          <w:bCs w:val="0"/>
          <w:i w:val="0"/>
          <w:iCs/>
          <w:color w:val="auto"/>
          <w:kern w:val="2"/>
          <w:sz w:val="24"/>
          <w:szCs w:val="24"/>
          <w:highlight w:val="none"/>
          <w:u w:val="none"/>
          <w:lang w:val="en-US" w:eastAsia="zh-CN" w:bidi="ar-SA"/>
        </w:rPr>
        <w:t xml:space="preserve">                        </w:t>
      </w:r>
    </w:p>
    <w:p w14:paraId="43CC592D">
      <w:pPr>
        <w:pStyle w:val="4"/>
        <w:keepNext w:val="0"/>
        <w:keepLines w:val="0"/>
        <w:pageBreakBefore w:val="0"/>
        <w:numPr>
          <w:ilvl w:val="0"/>
          <w:numId w:val="0"/>
        </w:numPr>
        <w:kinsoku/>
        <w:wordWrap/>
        <w:overflowPunct/>
        <w:topLinePunct w:val="0"/>
        <w:bidi w:val="0"/>
        <w:spacing w:line="360" w:lineRule="auto"/>
        <w:outlineLvl w:val="1"/>
        <w:rPr>
          <w:rFonts w:hint="eastAsia"/>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三、报价表及报价要求</w:t>
      </w:r>
    </w:p>
    <w:tbl>
      <w:tblPr>
        <w:tblStyle w:val="11"/>
        <w:tblpPr w:leftFromText="180" w:rightFromText="180" w:vertAnchor="text" w:horzAnchor="page" w:tblpX="1272" w:tblpY="66"/>
        <w:tblOverlap w:val="never"/>
        <w:tblW w:w="93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0"/>
        <w:gridCol w:w="2311"/>
        <w:gridCol w:w="664"/>
        <w:gridCol w:w="1006"/>
        <w:gridCol w:w="938"/>
        <w:gridCol w:w="715"/>
        <w:gridCol w:w="1004"/>
        <w:gridCol w:w="1049"/>
        <w:gridCol w:w="1056"/>
      </w:tblGrid>
      <w:tr w14:paraId="07570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trPr>
        <w:tc>
          <w:tcPr>
            <w:tcW w:w="630" w:type="dxa"/>
            <w:vMerge w:val="restart"/>
            <w:tcBorders>
              <w:top w:val="single" w:color="000000" w:sz="4" w:space="0"/>
              <w:left w:val="single" w:color="000000" w:sz="4" w:space="0"/>
              <w:right w:val="single" w:color="000000" w:sz="4" w:space="0"/>
            </w:tcBorders>
            <w:shd w:val="clear" w:color="auto" w:fill="auto"/>
            <w:noWrap/>
            <w:vAlign w:val="center"/>
          </w:tcPr>
          <w:p w14:paraId="14FF6F6D">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序号</w:t>
            </w:r>
          </w:p>
        </w:tc>
        <w:tc>
          <w:tcPr>
            <w:tcW w:w="2311" w:type="dxa"/>
            <w:vMerge w:val="restart"/>
            <w:tcBorders>
              <w:top w:val="single" w:color="000000" w:sz="4" w:space="0"/>
              <w:left w:val="single" w:color="000000" w:sz="4" w:space="0"/>
              <w:right w:val="single" w:color="000000" w:sz="4" w:space="0"/>
            </w:tcBorders>
            <w:shd w:val="clear" w:color="auto" w:fill="auto"/>
            <w:noWrap/>
            <w:vAlign w:val="center"/>
          </w:tcPr>
          <w:p w14:paraId="68A3872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工程或费用名称</w:t>
            </w:r>
          </w:p>
        </w:tc>
        <w:tc>
          <w:tcPr>
            <w:tcW w:w="664" w:type="dxa"/>
            <w:vMerge w:val="restart"/>
            <w:tcBorders>
              <w:top w:val="single" w:color="000000" w:sz="4" w:space="0"/>
              <w:left w:val="single" w:color="000000" w:sz="4" w:space="0"/>
              <w:right w:val="single" w:color="000000" w:sz="4" w:space="0"/>
            </w:tcBorders>
            <w:shd w:val="clear" w:color="auto" w:fill="auto"/>
            <w:noWrap/>
            <w:vAlign w:val="center"/>
          </w:tcPr>
          <w:p w14:paraId="7F561E40">
            <w:pPr>
              <w:keepNext w:val="0"/>
              <w:keepLines w:val="0"/>
              <w:widowControl/>
              <w:suppressLineNumbers w:val="0"/>
              <w:jc w:val="center"/>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预计</w:t>
            </w:r>
          </w:p>
          <w:p w14:paraId="455809C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数量</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3618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最高投标限价</w:t>
            </w:r>
          </w:p>
        </w:tc>
        <w:tc>
          <w:tcPr>
            <w:tcW w:w="715" w:type="dxa"/>
            <w:vMerge w:val="restart"/>
            <w:tcBorders>
              <w:top w:val="single" w:color="000000" w:sz="4" w:space="0"/>
              <w:left w:val="single" w:color="000000" w:sz="4" w:space="0"/>
              <w:right w:val="single" w:color="000000" w:sz="4" w:space="0"/>
            </w:tcBorders>
            <w:shd w:val="clear" w:color="auto" w:fill="auto"/>
            <w:vAlign w:val="center"/>
          </w:tcPr>
          <w:p w14:paraId="1DDFF5F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投标下浮率</w:t>
            </w:r>
          </w:p>
        </w:tc>
        <w:tc>
          <w:tcPr>
            <w:tcW w:w="20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A5874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投标报价</w:t>
            </w:r>
          </w:p>
        </w:tc>
        <w:tc>
          <w:tcPr>
            <w:tcW w:w="1056" w:type="dxa"/>
            <w:vMerge w:val="restart"/>
            <w:tcBorders>
              <w:top w:val="single" w:color="000000" w:sz="4" w:space="0"/>
              <w:left w:val="single" w:color="auto" w:sz="4" w:space="0"/>
              <w:right w:val="single" w:color="000000" w:sz="4" w:space="0"/>
            </w:tcBorders>
            <w:shd w:val="clear" w:color="auto" w:fill="auto"/>
            <w:noWrap/>
            <w:vAlign w:val="center"/>
          </w:tcPr>
          <w:p w14:paraId="49FE8AE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备  注</w:t>
            </w:r>
          </w:p>
        </w:tc>
      </w:tr>
      <w:tr w14:paraId="5C3E1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630" w:type="dxa"/>
            <w:vMerge w:val="continue"/>
            <w:tcBorders>
              <w:left w:val="single" w:color="000000" w:sz="4" w:space="0"/>
              <w:bottom w:val="single" w:color="000000" w:sz="4" w:space="0"/>
              <w:right w:val="single" w:color="000000" w:sz="4" w:space="0"/>
            </w:tcBorders>
            <w:shd w:val="clear" w:color="auto" w:fill="auto"/>
            <w:noWrap/>
            <w:vAlign w:val="center"/>
          </w:tcPr>
          <w:p w14:paraId="19629104">
            <w:pPr>
              <w:keepNext w:val="0"/>
              <w:keepLines w:val="0"/>
              <w:widowControl/>
              <w:suppressLineNumbers w:val="0"/>
              <w:jc w:val="center"/>
              <w:textAlignment w:val="center"/>
              <w:rPr>
                <w:highlight w:val="none"/>
              </w:rPr>
            </w:pPr>
          </w:p>
        </w:tc>
        <w:tc>
          <w:tcPr>
            <w:tcW w:w="2311" w:type="dxa"/>
            <w:vMerge w:val="continue"/>
            <w:tcBorders>
              <w:left w:val="single" w:color="000000" w:sz="4" w:space="0"/>
              <w:bottom w:val="nil"/>
              <w:right w:val="single" w:color="000000" w:sz="4" w:space="0"/>
            </w:tcBorders>
            <w:shd w:val="clear" w:color="auto" w:fill="auto"/>
            <w:noWrap/>
            <w:vAlign w:val="center"/>
          </w:tcPr>
          <w:p w14:paraId="542544EA">
            <w:pPr>
              <w:keepNext w:val="0"/>
              <w:keepLines w:val="0"/>
              <w:widowControl/>
              <w:suppressLineNumbers w:val="0"/>
              <w:jc w:val="center"/>
              <w:textAlignment w:val="center"/>
              <w:rPr>
                <w:highlight w:val="none"/>
              </w:rPr>
            </w:pPr>
          </w:p>
        </w:tc>
        <w:tc>
          <w:tcPr>
            <w:tcW w:w="664" w:type="dxa"/>
            <w:vMerge w:val="continue"/>
            <w:tcBorders>
              <w:left w:val="single" w:color="000000" w:sz="4" w:space="0"/>
              <w:bottom w:val="single" w:color="000000" w:sz="4" w:space="0"/>
              <w:right w:val="single" w:color="000000" w:sz="4" w:space="0"/>
            </w:tcBorders>
            <w:shd w:val="clear" w:color="auto" w:fill="auto"/>
            <w:noWrap/>
            <w:vAlign w:val="center"/>
          </w:tcPr>
          <w:p w14:paraId="6435F62D">
            <w:pPr>
              <w:keepNext w:val="0"/>
              <w:keepLines w:val="0"/>
              <w:widowControl/>
              <w:suppressLineNumbers w:val="0"/>
              <w:jc w:val="center"/>
              <w:textAlignment w:val="center"/>
              <w:rPr>
                <w:highlight w:val="none"/>
              </w:rPr>
            </w:pP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15B0D">
            <w:pPr>
              <w:keepNext w:val="0"/>
              <w:keepLines w:val="0"/>
              <w:widowControl/>
              <w:suppressLineNumbers w:val="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单价</w:t>
            </w:r>
            <w:r>
              <w:rPr>
                <w:rFonts w:hint="eastAsia" w:ascii="宋体" w:hAnsi="宋体" w:eastAsia="宋体" w:cs="宋体"/>
                <w:i w:val="0"/>
                <w:iCs w:val="0"/>
                <w:color w:val="000000"/>
                <w:kern w:val="0"/>
                <w:sz w:val="20"/>
                <w:szCs w:val="20"/>
                <w:highlight w:val="none"/>
                <w:u w:val="none"/>
                <w:lang w:val="en-US" w:eastAsia="zh-CN" w:bidi="ar"/>
              </w:rPr>
              <w:t>（元）</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5E1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r>
              <w:rPr>
                <w:rFonts w:hint="eastAsia" w:ascii="宋体" w:hAnsi="宋体" w:eastAsia="宋体" w:cs="宋体"/>
                <w:i w:val="0"/>
                <w:iCs w:val="0"/>
                <w:color w:val="000000"/>
                <w:kern w:val="0"/>
                <w:sz w:val="20"/>
                <w:szCs w:val="20"/>
                <w:highlight w:val="none"/>
                <w:u w:val="none"/>
                <w:lang w:val="en-US" w:eastAsia="zh-CN" w:bidi="ar"/>
              </w:rPr>
              <w:t>（元）</w:t>
            </w:r>
          </w:p>
        </w:tc>
        <w:tc>
          <w:tcPr>
            <w:tcW w:w="715" w:type="dxa"/>
            <w:vMerge w:val="continue"/>
            <w:tcBorders>
              <w:left w:val="single" w:color="000000" w:sz="4" w:space="0"/>
              <w:bottom w:val="single" w:color="000000" w:sz="4" w:space="0"/>
              <w:right w:val="single" w:color="000000" w:sz="4" w:space="0"/>
            </w:tcBorders>
            <w:shd w:val="clear" w:color="auto" w:fill="auto"/>
            <w:vAlign w:val="center"/>
          </w:tcPr>
          <w:p w14:paraId="3D125C3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004" w:type="dxa"/>
            <w:tcBorders>
              <w:top w:val="single" w:color="auto" w:sz="4" w:space="0"/>
              <w:left w:val="single" w:color="auto" w:sz="4" w:space="0"/>
              <w:bottom w:val="single" w:color="auto" w:sz="4" w:space="0"/>
              <w:right w:val="single" w:color="auto" w:sz="4" w:space="0"/>
            </w:tcBorders>
            <w:shd w:val="clear" w:color="auto" w:fill="auto"/>
            <w:vAlign w:val="center"/>
          </w:tcPr>
          <w:p w14:paraId="0E5DE95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单价</w:t>
            </w:r>
            <w:r>
              <w:rPr>
                <w:rFonts w:hint="eastAsia" w:ascii="宋体" w:hAnsi="宋体" w:eastAsia="宋体" w:cs="宋体"/>
                <w:i w:val="0"/>
                <w:iCs w:val="0"/>
                <w:color w:val="000000"/>
                <w:kern w:val="0"/>
                <w:sz w:val="20"/>
                <w:szCs w:val="20"/>
                <w:highlight w:val="none"/>
                <w:u w:val="none"/>
                <w:lang w:val="en-US" w:eastAsia="zh-CN" w:bidi="ar"/>
              </w:rPr>
              <w:t>（元）</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3BCD0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r>
              <w:rPr>
                <w:rFonts w:hint="eastAsia" w:ascii="宋体" w:hAnsi="宋体" w:eastAsia="宋体" w:cs="宋体"/>
                <w:i w:val="0"/>
                <w:iCs w:val="0"/>
                <w:color w:val="000000"/>
                <w:kern w:val="0"/>
                <w:sz w:val="20"/>
                <w:szCs w:val="20"/>
                <w:highlight w:val="none"/>
                <w:u w:val="none"/>
                <w:lang w:val="en-US" w:eastAsia="zh-CN" w:bidi="ar"/>
              </w:rPr>
              <w:t>（元）</w:t>
            </w:r>
          </w:p>
        </w:tc>
        <w:tc>
          <w:tcPr>
            <w:tcW w:w="1056" w:type="dxa"/>
            <w:vMerge w:val="continue"/>
            <w:tcBorders>
              <w:left w:val="single" w:color="auto" w:sz="4" w:space="0"/>
              <w:bottom w:val="single" w:color="000000" w:sz="4" w:space="0"/>
              <w:right w:val="single" w:color="000000" w:sz="4" w:space="0"/>
            </w:tcBorders>
            <w:shd w:val="clear" w:color="auto" w:fill="auto"/>
            <w:noWrap/>
            <w:vAlign w:val="center"/>
          </w:tcPr>
          <w:p w14:paraId="47CDD50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r>
      <w:tr w14:paraId="1E9C9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9"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E283A">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2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C2948">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广州供电局2026年输电线路杆塔沉降远距离检测及预警专题技术服务</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EB040">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C7B03">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1970000</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624CF">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val="en-US" w:eastAsia="zh-CN"/>
              </w:rPr>
              <w:t>1970000</w:t>
            </w:r>
          </w:p>
        </w:tc>
        <w:tc>
          <w:tcPr>
            <w:tcW w:w="715" w:type="dxa"/>
            <w:vMerge w:val="restart"/>
            <w:tcBorders>
              <w:top w:val="single" w:color="000000" w:sz="4" w:space="0"/>
              <w:left w:val="single" w:color="000000" w:sz="4" w:space="0"/>
              <w:right w:val="single" w:color="000000" w:sz="4" w:space="0"/>
            </w:tcBorders>
            <w:shd w:val="clear" w:color="auto" w:fill="auto"/>
            <w:vAlign w:val="center"/>
          </w:tcPr>
          <w:p w14:paraId="1953BB68">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single"/>
                <w:lang w:val="en-US" w:eastAsia="zh-CN" w:bidi="ar"/>
              </w:rPr>
              <w:t xml:space="preserve">   </w:t>
            </w:r>
            <w:r>
              <w:rPr>
                <w:rFonts w:hint="eastAsia" w:ascii="宋体" w:hAnsi="宋体" w:eastAsia="宋体" w:cs="宋体"/>
                <w:i w:val="0"/>
                <w:iCs w:val="0"/>
                <w:color w:val="000000"/>
                <w:kern w:val="0"/>
                <w:sz w:val="20"/>
                <w:szCs w:val="20"/>
                <w:highlight w:val="none"/>
                <w:u w:val="none"/>
                <w:lang w:val="en-US" w:eastAsia="zh-CN" w:bidi="ar"/>
              </w:rPr>
              <w:t>%</w:t>
            </w:r>
          </w:p>
        </w:tc>
        <w:tc>
          <w:tcPr>
            <w:tcW w:w="1004" w:type="dxa"/>
            <w:tcBorders>
              <w:top w:val="single" w:color="auto" w:sz="4" w:space="0"/>
              <w:left w:val="single" w:color="000000" w:sz="4" w:space="0"/>
              <w:bottom w:val="single" w:color="000000" w:sz="4" w:space="0"/>
              <w:right w:val="single" w:color="000000" w:sz="4" w:space="0"/>
            </w:tcBorders>
            <w:shd w:val="clear" w:color="auto" w:fill="auto"/>
            <w:vAlign w:val="center"/>
          </w:tcPr>
          <w:p w14:paraId="1BC2D303">
            <w:pPr>
              <w:jc w:val="center"/>
              <w:rPr>
                <w:rFonts w:hint="eastAsia" w:ascii="宋体" w:hAnsi="宋体" w:eastAsia="宋体" w:cs="宋体"/>
                <w:i w:val="0"/>
                <w:iCs w:val="0"/>
                <w:color w:val="000000"/>
                <w:sz w:val="20"/>
                <w:szCs w:val="20"/>
                <w:highlight w:val="none"/>
                <w:u w:val="none"/>
              </w:rPr>
            </w:pPr>
          </w:p>
        </w:tc>
        <w:tc>
          <w:tcPr>
            <w:tcW w:w="104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2C61A524">
            <w:pPr>
              <w:jc w:val="center"/>
              <w:rPr>
                <w:rFonts w:hint="eastAsia" w:ascii="宋体" w:hAnsi="宋体" w:eastAsia="宋体" w:cs="宋体"/>
                <w:i w:val="0"/>
                <w:iCs w:val="0"/>
                <w:color w:val="000000"/>
                <w:sz w:val="20"/>
                <w:szCs w:val="20"/>
                <w:highlight w:val="none"/>
                <w:u w:val="none"/>
                <w:lang w:val="en-US" w:eastAsia="zh-CN"/>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83BD">
            <w:pPr>
              <w:jc w:val="center"/>
              <w:rPr>
                <w:rFonts w:hint="eastAsia" w:ascii="宋体" w:hAnsi="宋体" w:eastAsia="宋体" w:cs="宋体"/>
                <w:i w:val="0"/>
                <w:iCs w:val="0"/>
                <w:color w:val="000000"/>
                <w:sz w:val="20"/>
                <w:szCs w:val="20"/>
                <w:highlight w:val="none"/>
                <w:u w:val="none"/>
              </w:rPr>
            </w:pPr>
          </w:p>
        </w:tc>
      </w:tr>
      <w:tr w14:paraId="2D67B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54E91">
            <w:pPr>
              <w:jc w:val="center"/>
              <w:rPr>
                <w:rFonts w:hint="eastAsia" w:ascii="宋体" w:hAnsi="宋体" w:eastAsia="宋体" w:cs="宋体"/>
                <w:i w:val="0"/>
                <w:iCs w:val="0"/>
                <w:color w:val="000000"/>
                <w:sz w:val="20"/>
                <w:szCs w:val="20"/>
                <w:highlight w:val="none"/>
                <w:u w:val="none"/>
              </w:rPr>
            </w:pPr>
          </w:p>
        </w:tc>
        <w:tc>
          <w:tcPr>
            <w:tcW w:w="23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041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合计（小写）：</w:t>
            </w:r>
          </w:p>
        </w:tc>
        <w:tc>
          <w:tcPr>
            <w:tcW w:w="6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E12C2">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w:t>
            </w:r>
          </w:p>
        </w:tc>
        <w:tc>
          <w:tcPr>
            <w:tcW w:w="1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1B39D">
            <w:pPr>
              <w:jc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1970000</w:t>
            </w:r>
          </w:p>
        </w:tc>
        <w:tc>
          <w:tcPr>
            <w:tcW w:w="9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5E53">
            <w:pPr>
              <w:jc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1970000</w:t>
            </w:r>
          </w:p>
        </w:tc>
        <w:tc>
          <w:tcPr>
            <w:tcW w:w="715" w:type="dxa"/>
            <w:vMerge w:val="continue"/>
            <w:tcBorders>
              <w:left w:val="single" w:color="000000" w:sz="4" w:space="0"/>
              <w:bottom w:val="single" w:color="000000" w:sz="4" w:space="0"/>
              <w:right w:val="single" w:color="000000" w:sz="4" w:space="0"/>
            </w:tcBorders>
            <w:shd w:val="clear" w:color="auto" w:fill="auto"/>
            <w:vAlign w:val="center"/>
          </w:tcPr>
          <w:p w14:paraId="6285482D">
            <w:pPr>
              <w:rPr>
                <w:rFonts w:hint="eastAsia" w:ascii="宋体" w:hAnsi="宋体" w:eastAsia="宋体" w:cs="宋体"/>
                <w:i w:val="0"/>
                <w:iCs w:val="0"/>
                <w:color w:val="000000"/>
                <w:sz w:val="20"/>
                <w:szCs w:val="20"/>
                <w:highlight w:val="none"/>
                <w:u w:val="none"/>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939BF">
            <w:pPr>
              <w:jc w:val="center"/>
              <w:rPr>
                <w:rFonts w:hint="eastAsia" w:ascii="宋体" w:hAnsi="宋体" w:eastAsia="宋体" w:cs="宋体"/>
                <w:i w:val="0"/>
                <w:iCs w:val="0"/>
                <w:color w:val="000000"/>
                <w:sz w:val="20"/>
                <w:szCs w:val="20"/>
                <w:highlight w:val="none"/>
                <w:u w:val="none"/>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F56A5">
            <w:pPr>
              <w:rPr>
                <w:rFonts w:hint="eastAsia" w:ascii="宋体" w:hAnsi="宋体" w:eastAsia="宋体" w:cs="宋体"/>
                <w:i w:val="0"/>
                <w:iCs w:val="0"/>
                <w:color w:val="000000"/>
                <w:sz w:val="20"/>
                <w:szCs w:val="20"/>
                <w:highlight w:val="none"/>
                <w:u w:val="none"/>
              </w:rPr>
            </w:pPr>
          </w:p>
        </w:tc>
        <w:tc>
          <w:tcPr>
            <w:tcW w:w="10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D72E3">
            <w:pPr>
              <w:rPr>
                <w:rFonts w:hint="eastAsia" w:ascii="宋体" w:hAnsi="宋体" w:eastAsia="宋体" w:cs="宋体"/>
                <w:i w:val="0"/>
                <w:iCs w:val="0"/>
                <w:color w:val="000000"/>
                <w:sz w:val="20"/>
                <w:szCs w:val="20"/>
                <w:highlight w:val="none"/>
                <w:u w:val="none"/>
              </w:rPr>
            </w:pPr>
          </w:p>
        </w:tc>
      </w:tr>
    </w:tbl>
    <w:p w14:paraId="4122F5EE">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14:paraId="2BFEE249">
      <w:pPr>
        <w:pStyle w:val="2"/>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59FCD448">
      <w:pPr>
        <w:pStyle w:val="9"/>
        <w:ind w:firstLine="480" w:firstLineChars="200"/>
        <w:jc w:val="left"/>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金额报价，同时填报投标下浮率。投标下浮率＝[1－(投标报价/最高投标限价）×100%（保留两位小数，如：8.88%）。当投标金额报价与投标下浮率计算结果不一致时，以投标金额报价为准，按公式修订投标下浮率。</w:t>
      </w:r>
    </w:p>
    <w:p w14:paraId="02092EC8">
      <w:pPr>
        <w:pStyle w:val="9"/>
        <w:ind w:firstLine="480" w:firstLineChars="200"/>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w:t>
      </w:r>
      <w:r>
        <w:rPr>
          <w:rFonts w:ascii="宋体" w:hAnsi="宋体" w:eastAsia="宋体" w:cs="宋体"/>
          <w:b w:val="0"/>
          <w:bCs w:val="0"/>
          <w:color w:val="auto"/>
          <w:sz w:val="24"/>
          <w:szCs w:val="24"/>
          <w:highlight w:val="none"/>
          <w:u w:val="single"/>
        </w:rPr>
        <w:t>投标下浮率不低于0%为有效报价；当投标下浮率＞</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15%</w:t>
      </w:r>
      <w:r>
        <w:rPr>
          <w:rFonts w:hint="eastAsia" w:ascii="宋体" w:hAnsi="宋体" w:eastAsia="宋体" w:cs="宋体"/>
          <w:b w:val="0"/>
          <w:bCs w:val="0"/>
          <w:color w:val="auto"/>
          <w:sz w:val="24"/>
          <w:szCs w:val="24"/>
          <w:highlight w:val="none"/>
          <w:u w:val="single"/>
          <w:lang w:val="en-US" w:eastAsia="zh-CN"/>
        </w:rPr>
        <w:t xml:space="preserve"> </w:t>
      </w:r>
      <w:r>
        <w:rPr>
          <w:rFonts w:ascii="宋体" w:hAnsi="宋体" w:eastAsia="宋体" w:cs="宋体"/>
          <w:b w:val="0"/>
          <w:bCs w:val="0"/>
          <w:color w:val="auto"/>
          <w:sz w:val="24"/>
          <w:szCs w:val="24"/>
          <w:highlight w:val="none"/>
          <w:u w:val="single"/>
        </w:rPr>
        <w:t>时应附成本分析报告，充分说明单价和费用的组成、降低成本的合理措施及在其他工程中应用过的经验等，经评审通过后方可视为有效报价。</w:t>
      </w:r>
      <w:r>
        <w:rPr>
          <w:rFonts w:hint="eastAsia" w:ascii="宋体" w:hAnsi="宋体" w:eastAsia="宋体" w:cs="宋体"/>
          <w:color w:val="auto"/>
          <w:kern w:val="2"/>
          <w:sz w:val="24"/>
          <w:szCs w:val="24"/>
          <w:highlight w:val="none"/>
          <w:u w:val="single"/>
          <w:lang w:val="en-US" w:eastAsia="zh-CN" w:bidi="ar-SA"/>
        </w:rPr>
        <w:t xml:space="preserve">                                                                           </w:t>
      </w:r>
    </w:p>
    <w:p w14:paraId="73747180">
      <w:pPr>
        <w:numPr>
          <w:ilvl w:val="0"/>
          <w:numId w:val="0"/>
        </w:numPr>
        <w:ind w:left="240" w:leftChars="0"/>
        <w:rPr>
          <w:rFonts w:hint="default"/>
          <w:highlight w:val="none"/>
          <w:lang w:val="en-US" w:eastAsia="zh-CN"/>
        </w:rPr>
      </w:pPr>
    </w:p>
    <w:p w14:paraId="2E76DCE1">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0AB4FB8C">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b/>
          <w:bCs/>
          <w:color w:val="auto"/>
          <w:kern w:val="2"/>
          <w:sz w:val="24"/>
          <w:szCs w:val="24"/>
          <w:u w:val="single"/>
          <w:lang w:val="en-US" w:eastAsia="zh-CN" w:bidi="ar-SA"/>
        </w:rPr>
        <w:t>结算方式：本工程合同价总价包干。结算时总价包干部分，除合同约定可调整的情况外，结算不予调整，中标合同价款中的漏项、错项结算时视为已包括在其他子项的报价中，不予调整。</w:t>
      </w:r>
    </w:p>
    <w:p w14:paraId="1561DA95">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5BDC3764">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022362D9">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3AF2F20F">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eastAsia" w:ascii="Wingdings" w:hAnsi="Wingdings" w:cs="Wingdings" w:eastAsiaTheme="minorEastAsia"/>
          <w:b/>
          <w:bCs/>
          <w:i w:val="0"/>
          <w:iCs/>
          <w:color w:val="auto"/>
          <w:kern w:val="2"/>
          <w:sz w:val="24"/>
          <w:szCs w:val="24"/>
          <w:highlight w:val="none"/>
          <w:u w:val="single"/>
          <w:lang w:val="en-US" w:eastAsia="zh-CN" w:bidi="ar-SA"/>
        </w:rPr>
      </w:pPr>
      <w:r>
        <w:rPr>
          <w:rFonts w:hint="eastAsia" w:ascii="Wingdings" w:hAnsi="Wingdings" w:cs="Wingdings" w:eastAsiaTheme="minorEastAsia"/>
          <w:b/>
          <w:bCs/>
          <w:i w:val="0"/>
          <w:iCs/>
          <w:color w:val="auto"/>
          <w:kern w:val="2"/>
          <w:sz w:val="24"/>
          <w:szCs w:val="24"/>
          <w:highlight w:val="none"/>
          <w:u w:val="single"/>
          <w:lang w:val="en-US" w:eastAsia="zh-CN" w:bidi="ar-SA"/>
        </w:rPr>
        <w:t xml:space="preserve">                                       </w:t>
      </w:r>
    </w:p>
    <w:p w14:paraId="141A4C77">
      <w:pPr>
        <w:rPr>
          <w:rFonts w:hint="eastAsia" w:ascii="宋体" w:hAnsi="宋体" w:eastAsia="宋体" w:cs="宋体"/>
          <w:color w:val="auto"/>
          <w:kern w:val="2"/>
          <w:sz w:val="24"/>
          <w:szCs w:val="24"/>
          <w:highlight w:val="none"/>
          <w:u w:val="single"/>
          <w:lang w:val="en-US" w:eastAsia="zh-CN" w:bidi="ar-SA"/>
        </w:rPr>
      </w:pPr>
    </w:p>
    <w:p w14:paraId="56C71505">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default"/>
          <w:highlight w:val="none"/>
          <w:lang w:val="en-US" w:eastAsia="zh-CN"/>
        </w:rPr>
        <w:br w:type="page"/>
      </w:r>
    </w:p>
    <w:p w14:paraId="44C5BD6D">
      <w:pPr>
        <w:pStyle w:val="8"/>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27381190">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p>
    <w:p w14:paraId="2C6F40F1">
      <w:pPr>
        <w:pStyle w:val="8"/>
        <w:rPr>
          <w:rFonts w:hint="eastAsia" w:asciiTheme="minorEastAsia" w:hAnsiTheme="minorEastAsia" w:eastAsiaTheme="minorEastAsia" w:cstheme="minorEastAsia"/>
          <w:i w:val="0"/>
          <w:iCs/>
          <w:color w:val="auto"/>
          <w:sz w:val="24"/>
          <w:szCs w:val="24"/>
          <w:highlight w:val="none"/>
        </w:rPr>
      </w:pPr>
    </w:p>
    <w:p w14:paraId="6D575FCD">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p>
    <w:p w14:paraId="2F76B549">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199DBA9E">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（二）符合图纸及技术文件的要求（如有，详见招标文件附件）。</w:t>
      </w:r>
    </w:p>
    <w:p w14:paraId="72313013">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775AF759">
      <w:pPr>
        <w:rPr>
          <w:rFonts w:hint="eastAsia"/>
          <w:lang w:val="en-US" w:eastAsia="zh-CN"/>
        </w:rPr>
      </w:pPr>
    </w:p>
    <w:p w14:paraId="1901B807">
      <w:pPr>
        <w:pStyle w:val="8"/>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E20F8"/>
    <w:multiLevelType w:val="singleLevel"/>
    <w:tmpl w:val="EAEE20F8"/>
    <w:lvl w:ilvl="0" w:tentative="0">
      <w:start w:val="2"/>
      <w:numFmt w:val="chineseCounting"/>
      <w:suff w:val="nothing"/>
      <w:lvlText w:val="第%1部分."/>
      <w:lvlJc w:val="left"/>
      <w:rPr>
        <w:rFonts w:hint="eastAsia"/>
      </w:rPr>
    </w:lvl>
  </w:abstractNum>
  <w:abstractNum w:abstractNumId="1">
    <w:nsid w:val="0D7920FF"/>
    <w:multiLevelType w:val="singleLevel"/>
    <w:tmpl w:val="0D7920FF"/>
    <w:lvl w:ilvl="0" w:tentative="0">
      <w:start w:val="1"/>
      <w:numFmt w:val="chineseCounting"/>
      <w:suff w:val="nothing"/>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4A24F71"/>
    <w:rsid w:val="076F3B3B"/>
    <w:rsid w:val="07CA37DF"/>
    <w:rsid w:val="07E41C6E"/>
    <w:rsid w:val="0A403398"/>
    <w:rsid w:val="0AFA6B87"/>
    <w:rsid w:val="0B4A6210"/>
    <w:rsid w:val="0BC07002"/>
    <w:rsid w:val="0E2F4C02"/>
    <w:rsid w:val="0E3616E0"/>
    <w:rsid w:val="0E394169"/>
    <w:rsid w:val="0F81532F"/>
    <w:rsid w:val="0F820548"/>
    <w:rsid w:val="107144D2"/>
    <w:rsid w:val="10C41430"/>
    <w:rsid w:val="116419AD"/>
    <w:rsid w:val="11DF6CFE"/>
    <w:rsid w:val="13383335"/>
    <w:rsid w:val="14440D4B"/>
    <w:rsid w:val="14781EB9"/>
    <w:rsid w:val="14B666F3"/>
    <w:rsid w:val="15056A61"/>
    <w:rsid w:val="16A175CB"/>
    <w:rsid w:val="17722603"/>
    <w:rsid w:val="18E57496"/>
    <w:rsid w:val="1A386933"/>
    <w:rsid w:val="1A4F176B"/>
    <w:rsid w:val="1B663F82"/>
    <w:rsid w:val="1BB07A74"/>
    <w:rsid w:val="1C2D4629"/>
    <w:rsid w:val="1C43636C"/>
    <w:rsid w:val="1C8618B6"/>
    <w:rsid w:val="1D904223"/>
    <w:rsid w:val="1F653C49"/>
    <w:rsid w:val="1FF914D4"/>
    <w:rsid w:val="20735046"/>
    <w:rsid w:val="216F4D5B"/>
    <w:rsid w:val="21C11DC8"/>
    <w:rsid w:val="23B738BA"/>
    <w:rsid w:val="24E67795"/>
    <w:rsid w:val="24F737D8"/>
    <w:rsid w:val="2525523D"/>
    <w:rsid w:val="26EB3B6A"/>
    <w:rsid w:val="291D5E51"/>
    <w:rsid w:val="2BE07E0A"/>
    <w:rsid w:val="2CA17C08"/>
    <w:rsid w:val="2DDF66E3"/>
    <w:rsid w:val="2FF65FF8"/>
    <w:rsid w:val="300D195C"/>
    <w:rsid w:val="30BF37B5"/>
    <w:rsid w:val="313B0851"/>
    <w:rsid w:val="31A1649A"/>
    <w:rsid w:val="31C955A9"/>
    <w:rsid w:val="33B200AF"/>
    <w:rsid w:val="33C75702"/>
    <w:rsid w:val="33E61BE2"/>
    <w:rsid w:val="361736AD"/>
    <w:rsid w:val="36D200CF"/>
    <w:rsid w:val="379951F8"/>
    <w:rsid w:val="38382DC3"/>
    <w:rsid w:val="38DE045C"/>
    <w:rsid w:val="3987396D"/>
    <w:rsid w:val="3B595AEE"/>
    <w:rsid w:val="3BF24D81"/>
    <w:rsid w:val="3BFE7BEA"/>
    <w:rsid w:val="3C4750A3"/>
    <w:rsid w:val="3C4A35F1"/>
    <w:rsid w:val="420455E6"/>
    <w:rsid w:val="42E73C50"/>
    <w:rsid w:val="43F128EA"/>
    <w:rsid w:val="44982260"/>
    <w:rsid w:val="44D414C9"/>
    <w:rsid w:val="46472D5E"/>
    <w:rsid w:val="485D3F87"/>
    <w:rsid w:val="496A657E"/>
    <w:rsid w:val="49843C09"/>
    <w:rsid w:val="4B3A1BDA"/>
    <w:rsid w:val="4BF83760"/>
    <w:rsid w:val="4C5B4768"/>
    <w:rsid w:val="4C8349B8"/>
    <w:rsid w:val="504766FD"/>
    <w:rsid w:val="552A0C96"/>
    <w:rsid w:val="55BB16B6"/>
    <w:rsid w:val="55C3156A"/>
    <w:rsid w:val="560A4CB8"/>
    <w:rsid w:val="5782183A"/>
    <w:rsid w:val="57BD355E"/>
    <w:rsid w:val="58D21C48"/>
    <w:rsid w:val="5B0320E2"/>
    <w:rsid w:val="5B8B11A7"/>
    <w:rsid w:val="5B9E2EC4"/>
    <w:rsid w:val="5BCB35CB"/>
    <w:rsid w:val="5CD10D7E"/>
    <w:rsid w:val="60002310"/>
    <w:rsid w:val="608606DE"/>
    <w:rsid w:val="610E324A"/>
    <w:rsid w:val="61F31EFD"/>
    <w:rsid w:val="63066BC7"/>
    <w:rsid w:val="63D0487B"/>
    <w:rsid w:val="64672037"/>
    <w:rsid w:val="64911DA0"/>
    <w:rsid w:val="65945D8D"/>
    <w:rsid w:val="66C35559"/>
    <w:rsid w:val="67D57489"/>
    <w:rsid w:val="68570F93"/>
    <w:rsid w:val="6A287B5E"/>
    <w:rsid w:val="6B303A1A"/>
    <w:rsid w:val="6BF80D65"/>
    <w:rsid w:val="6C704794"/>
    <w:rsid w:val="6DAA2FDF"/>
    <w:rsid w:val="6DF95579"/>
    <w:rsid w:val="6E121228"/>
    <w:rsid w:val="6F8447F5"/>
    <w:rsid w:val="70D1495F"/>
    <w:rsid w:val="70ED510D"/>
    <w:rsid w:val="712F63C0"/>
    <w:rsid w:val="72717CD1"/>
    <w:rsid w:val="743E1546"/>
    <w:rsid w:val="74614F7E"/>
    <w:rsid w:val="74695E39"/>
    <w:rsid w:val="754C6F3B"/>
    <w:rsid w:val="75B11AFF"/>
    <w:rsid w:val="75D32619"/>
    <w:rsid w:val="76307412"/>
    <w:rsid w:val="768D126A"/>
    <w:rsid w:val="780B6A75"/>
    <w:rsid w:val="78595B97"/>
    <w:rsid w:val="79F83E18"/>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Indent"/>
    <w:basedOn w:val="1"/>
    <w:qFormat/>
    <w:uiPriority w:val="0"/>
    <w:pPr>
      <w:spacing w:after="120"/>
      <w:ind w:left="420" w:leftChars="200"/>
    </w:pPr>
  </w:style>
  <w:style w:type="paragraph" w:styleId="8">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Body Text First Indent"/>
    <w:basedOn w:val="2"/>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1588</Words>
  <Characters>1730</Characters>
  <Lines>0</Lines>
  <Paragraphs>0</Paragraphs>
  <TotalTime>266</TotalTime>
  <ScaleCrop>false</ScaleCrop>
  <LinksUpToDate>false</LinksUpToDate>
  <CharactersWithSpaces>1979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dcterms:modified xsi:type="dcterms:W3CDTF">2026-02-28T07:48:41Z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EDF1AA3B88D44F0F8FEC517A4732750F</vt:lpwstr>
  </property>
  <property fmtid="{D5CDD505-2E9C-101B-9397-08002B2CF9AE}" pid="4" name="KSOTemplateDocerSaveRecord">
    <vt:lpwstr>eyJoZGlkIjoiYTIwYjFiYWIwYzVjMGU2NjE2M2NjNGRkMTNlOWRkOGQiLCJ1c2VySWQiOiI3MDM5OTYzMzMifQ==</vt:lpwstr>
  </property>
</Properties>
</file>