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500千伏华厦阳西电厂二期7、8号机组项目接入系统工程（广州段）涉天然气、燃油管道杂散电流技术服务</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招标）</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3"/>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可研批复(项目立项)文号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南方电网规划〔2023〕81号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广供电资〔2025〕3号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广州市番禺区、南沙区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合同签订之日起至2026年12月30日，实际服务期以委托函上载明的时间为准。</w:t>
            </w:r>
          </w:p>
        </w:tc>
      </w:tr>
    </w:tbl>
    <w:p>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default" w:ascii="Wingdings" w:hAnsi="Wingdings" w:cs="Wingdings" w:eastAsiaTheme="minorEastAsia"/>
          <w:b/>
          <w:bCs/>
          <w:i w:val="0"/>
          <w:iCs/>
          <w:color w:val="auto"/>
          <w:kern w:val="2"/>
          <w:sz w:val="24"/>
          <w:szCs w:val="24"/>
          <w:highlight w:val="none"/>
          <w:u w:val="single"/>
          <w:lang w:val="en-US" w:eastAsia="zh-CN" w:bidi="ar-SA"/>
        </w:rPr>
      </w:pPr>
      <w:r>
        <w:rPr>
          <w:rFonts w:hint="eastAsia" w:ascii="宋体" w:hAnsi="宋体" w:eastAsia="宋体" w:cs="宋体"/>
          <w:b w:val="0"/>
          <w:bCs w:val="0"/>
          <w:i w:val="0"/>
          <w:iCs/>
          <w:color w:val="auto"/>
          <w:kern w:val="2"/>
          <w:sz w:val="24"/>
          <w:szCs w:val="24"/>
          <w:highlight w:val="none"/>
          <w:u w:val="single"/>
          <w:lang w:val="en-US" w:eastAsia="zh-CN" w:bidi="ar-SA"/>
        </w:rPr>
        <w:t>新建铜鼓电厂至番南500千伏双回线路工程约16.5公里架空线路（含中山-广州洪奇沥水道大跨越约2000米），含配套架空光缆及10kV-500kV线路改造。新建约16.5公里架空线路及光缆，含配套10kV-500kV线路改造。新建约15.5公里架空线路及光缆，含配套10kV-500kV线路改造。</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cs="宋体"/>
          <w:b/>
          <w:bCs/>
          <w:i w:val="0"/>
          <w:iCs/>
          <w:color w:val="auto"/>
          <w:kern w:val="2"/>
          <w:sz w:val="24"/>
          <w:szCs w:val="24"/>
          <w:highlight w:val="none"/>
          <w:u w:val="none"/>
          <w:lang w:val="en-US" w:eastAsia="zh-CN" w:bidi="ar-SA"/>
        </w:rPr>
      </w:pPr>
      <w:r>
        <w:rPr>
          <w:rFonts w:hint="eastAsia" w:ascii="宋体" w:hAnsi="宋体" w:cs="宋体"/>
          <w:b/>
          <w:bCs/>
          <w:i w:val="0"/>
          <w:iCs/>
          <w:color w:val="auto"/>
          <w:kern w:val="2"/>
          <w:sz w:val="24"/>
          <w:szCs w:val="24"/>
          <w:highlight w:val="none"/>
          <w:u w:val="none"/>
          <w:lang w:val="en-US" w:eastAsia="zh-CN" w:bidi="ar-SA"/>
        </w:rPr>
        <w:t>标包1：500千伏华厦阳西电厂二期7、8号机组项目接入系统工程（广州段）涉天然气、燃油管道杂散电流缓解措施技术服务</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涉及产权单位：广东大鹏液化天然气有限公司，中海广东天然气有限责任公司，国家管网集团华南公司中珠作业区</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default"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实施内容：</w:t>
      </w:r>
    </w:p>
    <w:p>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1.</w:t>
      </w:r>
      <w:r>
        <w:rPr>
          <w:rFonts w:hint="eastAsia" w:ascii="Wingdings" w:hAnsi="Wingdings" w:cs="Wingdings" w:eastAsiaTheme="minorEastAsia"/>
          <w:b w:val="0"/>
          <w:bCs w:val="0"/>
          <w:i w:val="0"/>
          <w:iCs/>
          <w:color w:val="auto"/>
          <w:kern w:val="2"/>
          <w:sz w:val="24"/>
          <w:szCs w:val="24"/>
          <w:highlight w:val="none"/>
          <w:u w:val="none"/>
          <w:lang w:val="en-US" w:eastAsia="zh-CN" w:bidi="ar-SA"/>
        </w:rPr>
        <w:t>根据杂散电流模拟计算结果编制实施方案；</w:t>
      </w:r>
    </w:p>
    <w:p>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val="0"/>
          <w:bCs w:val="0"/>
          <w:i w:val="0"/>
          <w:iCs/>
          <w:color w:val="auto"/>
          <w:kern w:val="2"/>
          <w:sz w:val="24"/>
          <w:szCs w:val="24"/>
          <w:highlight w:val="none"/>
          <w:u w:val="none"/>
          <w:lang w:val="en-US" w:eastAsia="zh-CN" w:bidi="ar-SA"/>
        </w:rPr>
      </w:pPr>
      <w:r>
        <w:rPr>
          <w:rFonts w:hint="eastAsia" w:ascii="宋体" w:hAnsi="宋体" w:cs="宋体"/>
          <w:b w:val="0"/>
          <w:bCs w:val="0"/>
          <w:i w:val="0"/>
          <w:iCs/>
          <w:color w:val="auto"/>
          <w:kern w:val="2"/>
          <w:sz w:val="24"/>
          <w:szCs w:val="24"/>
          <w:highlight w:val="none"/>
          <w:u w:val="none"/>
          <w:lang w:val="en-US" w:eastAsia="zh-CN" w:bidi="ar-SA"/>
        </w:rPr>
        <w:t>2</w:t>
      </w:r>
      <w:r>
        <w:rPr>
          <w:rFonts w:hint="eastAsia" w:ascii="宋体" w:hAnsi="宋体" w:eastAsia="宋体" w:cs="宋体"/>
          <w:b w:val="0"/>
          <w:bCs w:val="0"/>
          <w:i w:val="0"/>
          <w:iCs/>
          <w:color w:val="auto"/>
          <w:kern w:val="2"/>
          <w:sz w:val="24"/>
          <w:szCs w:val="24"/>
          <w:highlight w:val="none"/>
          <w:u w:val="none"/>
          <w:lang w:val="en-US" w:eastAsia="zh-CN" w:bidi="ar-SA"/>
        </w:rPr>
        <w:t>.</w:t>
      </w:r>
      <w:r>
        <w:rPr>
          <w:rFonts w:hint="eastAsia" w:ascii="Wingdings" w:hAnsi="Wingdings" w:cs="Wingdings" w:eastAsiaTheme="minorEastAsia"/>
          <w:b w:val="0"/>
          <w:bCs w:val="0"/>
          <w:i w:val="0"/>
          <w:iCs/>
          <w:color w:val="auto"/>
          <w:kern w:val="2"/>
          <w:sz w:val="24"/>
          <w:szCs w:val="24"/>
          <w:highlight w:val="none"/>
          <w:u w:val="none"/>
          <w:lang w:val="en-US" w:eastAsia="zh-CN" w:bidi="ar-SA"/>
        </w:rPr>
        <w:t>根据实施方案落实缓解措施，并取得管道产权单位验收意见；</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3.配合输电线路总包单位落实管道产权单位提出的相关要求，包括但不限于：管道定位、防腐层检测、管道探勘开挖、进场道路管涵保护等。</w:t>
      </w:r>
    </w:p>
    <w:p>
      <w:pPr>
        <w:pStyle w:val="2"/>
        <w:rPr>
          <w:rFonts w:hint="eastAsia"/>
          <w:lang w:val="en-US" w:eastAsia="zh-CN"/>
        </w:rPr>
      </w:pP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cs="宋体"/>
          <w:b/>
          <w:bCs/>
          <w:i w:val="0"/>
          <w:iCs/>
          <w:color w:val="auto"/>
          <w:kern w:val="2"/>
          <w:sz w:val="24"/>
          <w:szCs w:val="24"/>
          <w:highlight w:val="none"/>
          <w:u w:val="none"/>
          <w:lang w:val="en-US" w:eastAsia="zh-CN" w:bidi="ar-SA"/>
        </w:rPr>
      </w:pPr>
      <w:r>
        <w:rPr>
          <w:rFonts w:hint="eastAsia" w:ascii="宋体" w:hAnsi="宋体" w:cs="宋体"/>
          <w:b/>
          <w:bCs/>
          <w:i w:val="0"/>
          <w:iCs/>
          <w:color w:val="auto"/>
          <w:kern w:val="2"/>
          <w:sz w:val="24"/>
          <w:szCs w:val="24"/>
          <w:highlight w:val="none"/>
          <w:u w:val="none"/>
          <w:lang w:val="en-US" w:eastAsia="zh-CN" w:bidi="ar-SA"/>
        </w:rPr>
        <w:t>标包2：500千伏华厦阳西电厂二期7、8号机组项目接入系统工程（广州段）涉天然气、燃油管道杂散电流缓解措施技术服务</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涉及产权单位：广州燃气集团有限公司，广州南沙新澳燃气有限公司</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default"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实施内容：</w:t>
      </w:r>
    </w:p>
    <w:p>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1.</w:t>
      </w:r>
      <w:r>
        <w:rPr>
          <w:rFonts w:hint="eastAsia" w:ascii="Wingdings" w:hAnsi="Wingdings" w:cs="Wingdings" w:eastAsiaTheme="minorEastAsia"/>
          <w:b w:val="0"/>
          <w:bCs w:val="0"/>
          <w:i w:val="0"/>
          <w:iCs/>
          <w:color w:val="auto"/>
          <w:kern w:val="2"/>
          <w:sz w:val="24"/>
          <w:szCs w:val="24"/>
          <w:highlight w:val="none"/>
          <w:u w:val="none"/>
          <w:lang w:val="en-US" w:eastAsia="zh-CN" w:bidi="ar-SA"/>
        </w:rPr>
        <w:t>根据杂散电流模拟计算结果编制实施方案；</w:t>
      </w:r>
    </w:p>
    <w:p>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val="0"/>
          <w:bCs w:val="0"/>
          <w:i w:val="0"/>
          <w:iCs/>
          <w:color w:val="auto"/>
          <w:kern w:val="2"/>
          <w:sz w:val="24"/>
          <w:szCs w:val="24"/>
          <w:highlight w:val="none"/>
          <w:u w:val="none"/>
          <w:lang w:val="en-US" w:eastAsia="zh-CN" w:bidi="ar-SA"/>
        </w:rPr>
      </w:pPr>
      <w:r>
        <w:rPr>
          <w:rFonts w:hint="eastAsia" w:ascii="宋体" w:hAnsi="宋体" w:cs="宋体"/>
          <w:b w:val="0"/>
          <w:bCs w:val="0"/>
          <w:i w:val="0"/>
          <w:iCs/>
          <w:color w:val="auto"/>
          <w:kern w:val="2"/>
          <w:sz w:val="24"/>
          <w:szCs w:val="24"/>
          <w:highlight w:val="none"/>
          <w:u w:val="none"/>
          <w:lang w:val="en-US" w:eastAsia="zh-CN" w:bidi="ar-SA"/>
        </w:rPr>
        <w:t>2</w:t>
      </w:r>
      <w:r>
        <w:rPr>
          <w:rFonts w:hint="eastAsia" w:ascii="宋体" w:hAnsi="宋体" w:eastAsia="宋体" w:cs="宋体"/>
          <w:b w:val="0"/>
          <w:bCs w:val="0"/>
          <w:i w:val="0"/>
          <w:iCs/>
          <w:color w:val="auto"/>
          <w:kern w:val="2"/>
          <w:sz w:val="24"/>
          <w:szCs w:val="24"/>
          <w:highlight w:val="none"/>
          <w:u w:val="none"/>
          <w:lang w:val="en-US" w:eastAsia="zh-CN" w:bidi="ar-SA"/>
        </w:rPr>
        <w:t>.</w:t>
      </w:r>
      <w:r>
        <w:rPr>
          <w:rFonts w:hint="eastAsia" w:ascii="Wingdings" w:hAnsi="Wingdings" w:cs="Wingdings" w:eastAsiaTheme="minorEastAsia"/>
          <w:b w:val="0"/>
          <w:bCs w:val="0"/>
          <w:i w:val="0"/>
          <w:iCs/>
          <w:color w:val="auto"/>
          <w:kern w:val="2"/>
          <w:sz w:val="24"/>
          <w:szCs w:val="24"/>
          <w:highlight w:val="none"/>
          <w:u w:val="none"/>
          <w:lang w:val="en-US" w:eastAsia="zh-CN" w:bidi="ar-SA"/>
        </w:rPr>
        <w:t>根据实施方案落实缓解措施，并取得管道产权单位验收意见；</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3.配合输电线路总包单位落实管道产权单位提出的相关要求，包括但不限于：管道定位、防腐层检测、管道探勘开挖、进场道路管涵保护等。</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cs="宋体"/>
          <w:b/>
          <w:bCs/>
          <w:i w:val="0"/>
          <w:iCs/>
          <w:color w:val="auto"/>
          <w:kern w:val="2"/>
          <w:sz w:val="24"/>
          <w:szCs w:val="24"/>
          <w:highlight w:val="none"/>
          <w:u w:val="none"/>
          <w:lang w:val="en-US" w:eastAsia="zh-CN" w:bidi="ar-SA"/>
        </w:rPr>
      </w:pP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cs="宋体"/>
          <w:b/>
          <w:bCs/>
          <w:i w:val="0"/>
          <w:iCs/>
          <w:color w:val="auto"/>
          <w:kern w:val="2"/>
          <w:sz w:val="24"/>
          <w:szCs w:val="24"/>
          <w:highlight w:val="none"/>
          <w:u w:val="none"/>
          <w:lang w:val="en-US" w:eastAsia="zh-CN" w:bidi="ar-SA"/>
        </w:rPr>
      </w:pPr>
      <w:r>
        <w:rPr>
          <w:rFonts w:hint="eastAsia" w:ascii="宋体" w:hAnsi="宋体" w:cs="宋体"/>
          <w:b/>
          <w:bCs/>
          <w:i w:val="0"/>
          <w:iCs/>
          <w:color w:val="auto"/>
          <w:kern w:val="2"/>
          <w:sz w:val="24"/>
          <w:szCs w:val="24"/>
          <w:highlight w:val="none"/>
          <w:u w:val="none"/>
          <w:lang w:val="en-US" w:eastAsia="zh-CN" w:bidi="ar-SA"/>
        </w:rPr>
        <w:t>标包3：500千伏华厦阳西电厂二期7、8号机组项目接入系统工程（广州段）涉天然气、燃油管道杂散电流模拟技术服务</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1、针对500千伏华厦阳西电厂二期7、8号机组项目接入系统工程送出线路开展油气管道杂散电流模拟计算，并且召开专家评审会并取得管道产权单位</w:t>
      </w:r>
      <w:r>
        <w:rPr>
          <w:rFonts w:hint="eastAsia" w:ascii="宋体" w:hAnsi="宋体" w:cs="宋体"/>
          <w:b w:val="0"/>
          <w:bCs w:val="0"/>
          <w:i w:val="0"/>
          <w:iCs/>
          <w:color w:val="auto"/>
          <w:kern w:val="2"/>
          <w:sz w:val="24"/>
          <w:szCs w:val="24"/>
          <w:highlight w:val="none"/>
          <w:u w:val="none"/>
          <w:lang w:val="en-US" w:eastAsia="zh-CN" w:bidi="ar-SA"/>
        </w:rPr>
        <w:t>（国家石油天然气管网集团有限公司、中海广东天然汽有限责任公司、广东大鹏液化天然气有限公司、广州燃气集团有限公司、广州南沙新奥燃气有限公司）批复资料</w:t>
      </w:r>
      <w:r>
        <w:rPr>
          <w:rFonts w:hint="eastAsia" w:ascii="宋体" w:hAnsi="宋体" w:eastAsia="宋体" w:cs="宋体"/>
          <w:b w:val="0"/>
          <w:bCs w:val="0"/>
          <w:i w:val="0"/>
          <w:iCs/>
          <w:color w:val="auto"/>
          <w:kern w:val="2"/>
          <w:sz w:val="24"/>
          <w:szCs w:val="24"/>
          <w:highlight w:val="none"/>
          <w:u w:val="none"/>
          <w:lang w:val="en-US" w:eastAsia="zh-CN" w:bidi="ar-SA"/>
        </w:rPr>
        <w:t>；</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2、本项目需对受影响的管道进行杂散电流腐蚀干扰评价。采用专业软件对受干扰管道进行建模和仿真计算，并进行评价，主要工作包括：</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1）收集管线、输电线路及环境信息；</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2）对交叉点附近管道进行杂散电流及土壤环境检测</w:t>
      </w:r>
      <w:r>
        <w:rPr>
          <w:rFonts w:hint="eastAsia" w:ascii="宋体" w:hAnsi="宋体" w:cs="宋体"/>
          <w:b w:val="0"/>
          <w:bCs w:val="0"/>
          <w:i w:val="0"/>
          <w:iCs/>
          <w:color w:val="auto"/>
          <w:kern w:val="2"/>
          <w:sz w:val="24"/>
          <w:szCs w:val="24"/>
          <w:highlight w:val="none"/>
          <w:u w:val="none"/>
          <w:lang w:val="en-US" w:eastAsia="zh-CN" w:bidi="ar-SA"/>
        </w:rPr>
        <w:t>，并出具检测报告</w:t>
      </w:r>
      <w:r>
        <w:rPr>
          <w:rFonts w:hint="eastAsia" w:ascii="宋体" w:hAnsi="宋体" w:eastAsia="宋体" w:cs="宋体"/>
          <w:b w:val="0"/>
          <w:bCs w:val="0"/>
          <w:i w:val="0"/>
          <w:iCs/>
          <w:color w:val="auto"/>
          <w:kern w:val="2"/>
          <w:sz w:val="24"/>
          <w:szCs w:val="24"/>
          <w:highlight w:val="none"/>
          <w:u w:val="none"/>
          <w:lang w:val="en-US" w:eastAsia="zh-CN" w:bidi="ar-SA"/>
        </w:rPr>
        <w:t>；</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3）根据现场测试管道目前交流电压情况及周围现有干扰源情况，完成模型绘制，对模型进行调试</w:t>
      </w:r>
      <w:r>
        <w:rPr>
          <w:rFonts w:hint="eastAsia" w:ascii="宋体" w:hAnsi="宋体" w:cs="宋体"/>
          <w:b w:val="0"/>
          <w:bCs w:val="0"/>
          <w:i w:val="0"/>
          <w:iCs/>
          <w:color w:val="auto"/>
          <w:kern w:val="2"/>
          <w:sz w:val="24"/>
          <w:szCs w:val="24"/>
          <w:highlight w:val="none"/>
          <w:u w:val="none"/>
          <w:lang w:val="en-US" w:eastAsia="zh-CN" w:bidi="ar-SA"/>
        </w:rPr>
        <w:t>，并出具调试报告</w:t>
      </w:r>
      <w:r>
        <w:rPr>
          <w:rFonts w:hint="eastAsia" w:ascii="宋体" w:hAnsi="宋体" w:eastAsia="宋体" w:cs="宋体"/>
          <w:b w:val="0"/>
          <w:bCs w:val="0"/>
          <w:i w:val="0"/>
          <w:iCs/>
          <w:color w:val="auto"/>
          <w:kern w:val="2"/>
          <w:sz w:val="24"/>
          <w:szCs w:val="24"/>
          <w:highlight w:val="none"/>
          <w:u w:val="none"/>
          <w:lang w:val="en-US" w:eastAsia="zh-CN" w:bidi="ar-SA"/>
        </w:rPr>
        <w:t>；</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4）完成输电线路稳态工况下对管道造成的干扰影响评估</w:t>
      </w:r>
      <w:r>
        <w:rPr>
          <w:rFonts w:hint="eastAsia" w:ascii="宋体" w:hAnsi="宋体" w:cs="宋体"/>
          <w:b w:val="0"/>
          <w:bCs w:val="0"/>
          <w:i w:val="0"/>
          <w:iCs/>
          <w:color w:val="auto"/>
          <w:kern w:val="2"/>
          <w:sz w:val="24"/>
          <w:szCs w:val="24"/>
          <w:highlight w:val="none"/>
          <w:u w:val="none"/>
          <w:lang w:val="en-US" w:eastAsia="zh-CN" w:bidi="ar-SA"/>
        </w:rPr>
        <w:t>，并出具评估报告</w:t>
      </w:r>
      <w:r>
        <w:rPr>
          <w:rFonts w:hint="eastAsia" w:ascii="宋体" w:hAnsi="宋体" w:eastAsia="宋体" w:cs="宋体"/>
          <w:b w:val="0"/>
          <w:bCs w:val="0"/>
          <w:i w:val="0"/>
          <w:iCs/>
          <w:color w:val="auto"/>
          <w:kern w:val="2"/>
          <w:sz w:val="24"/>
          <w:szCs w:val="24"/>
          <w:highlight w:val="none"/>
          <w:u w:val="none"/>
          <w:lang w:val="en-US" w:eastAsia="zh-CN" w:bidi="ar-SA"/>
        </w:rPr>
        <w:t>；</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5）完成输电线路故障工况下对管道造成的干扰影响评估</w:t>
      </w:r>
      <w:r>
        <w:rPr>
          <w:rFonts w:hint="eastAsia" w:ascii="宋体" w:hAnsi="宋体" w:cs="宋体"/>
          <w:b w:val="0"/>
          <w:bCs w:val="0"/>
          <w:i w:val="0"/>
          <w:iCs/>
          <w:color w:val="auto"/>
          <w:kern w:val="2"/>
          <w:sz w:val="24"/>
          <w:szCs w:val="24"/>
          <w:highlight w:val="none"/>
          <w:u w:val="none"/>
          <w:lang w:val="en-US" w:eastAsia="zh-CN" w:bidi="ar-SA"/>
        </w:rPr>
        <w:t>，并出具评估报告</w:t>
      </w:r>
      <w:r>
        <w:rPr>
          <w:rFonts w:hint="eastAsia" w:ascii="宋体" w:hAnsi="宋体" w:eastAsia="宋体" w:cs="宋体"/>
          <w:b w:val="0"/>
          <w:bCs w:val="0"/>
          <w:i w:val="0"/>
          <w:iCs/>
          <w:color w:val="auto"/>
          <w:kern w:val="2"/>
          <w:sz w:val="24"/>
          <w:szCs w:val="24"/>
          <w:highlight w:val="none"/>
          <w:u w:val="none"/>
          <w:lang w:val="en-US" w:eastAsia="zh-CN" w:bidi="ar-SA"/>
        </w:rPr>
        <w:t>；</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480" w:lineRule="auto"/>
        <w:textAlignment w:val="auto"/>
        <w:rPr>
          <w:rFonts w:hint="eastAsia" w:ascii="宋体" w:hAnsi="宋体" w:eastAsia="宋体" w:cs="宋体"/>
          <w:b w:val="0"/>
          <w:bCs w:val="0"/>
          <w:i w:val="0"/>
          <w:iCs/>
          <w:color w:val="auto"/>
          <w:kern w:val="2"/>
          <w:sz w:val="24"/>
          <w:szCs w:val="24"/>
          <w:highlight w:val="none"/>
          <w:u w:val="none"/>
          <w:lang w:val="en-US" w:eastAsia="zh-CN" w:bidi="ar-SA"/>
        </w:rPr>
      </w:pPr>
      <w:r>
        <w:rPr>
          <w:rFonts w:hint="eastAsia" w:ascii="宋体" w:hAnsi="宋体" w:eastAsia="宋体" w:cs="宋体"/>
          <w:b w:val="0"/>
          <w:bCs w:val="0"/>
          <w:i w:val="0"/>
          <w:iCs/>
          <w:color w:val="auto"/>
          <w:kern w:val="2"/>
          <w:sz w:val="24"/>
          <w:szCs w:val="24"/>
          <w:highlight w:val="none"/>
          <w:u w:val="none"/>
          <w:lang w:val="en-US" w:eastAsia="zh-CN" w:bidi="ar-SA"/>
        </w:rPr>
        <w:t>6）完成输电线路对管道电磁干扰评估项目报告编制</w:t>
      </w:r>
      <w:r>
        <w:rPr>
          <w:rFonts w:hint="eastAsia" w:ascii="宋体" w:hAnsi="宋体" w:cs="宋体"/>
          <w:b w:val="0"/>
          <w:bCs w:val="0"/>
          <w:i w:val="0"/>
          <w:iCs/>
          <w:color w:val="auto"/>
          <w:kern w:val="2"/>
          <w:sz w:val="24"/>
          <w:szCs w:val="24"/>
          <w:highlight w:val="none"/>
          <w:u w:val="none"/>
          <w:lang w:val="en-US" w:eastAsia="zh-CN" w:bidi="ar-SA"/>
        </w:rPr>
        <w:t>，并出具评估报告</w:t>
      </w:r>
      <w:r>
        <w:rPr>
          <w:rFonts w:hint="eastAsia" w:ascii="宋体" w:hAnsi="宋体" w:eastAsia="宋体" w:cs="宋体"/>
          <w:b w:val="0"/>
          <w:bCs w:val="0"/>
          <w:i w:val="0"/>
          <w:iCs/>
          <w:color w:val="auto"/>
          <w:kern w:val="2"/>
          <w:sz w:val="24"/>
          <w:szCs w:val="24"/>
          <w:highlight w:val="none"/>
          <w:u w:val="none"/>
          <w:lang w:val="en-US" w:eastAsia="zh-CN" w:bidi="ar-SA"/>
        </w:rPr>
        <w:t>；</w:t>
      </w:r>
    </w:p>
    <w:p>
      <w:pPr>
        <w:pStyle w:val="2"/>
        <w:rPr>
          <w:rFonts w:hint="eastAsia"/>
          <w:lang w:val="en-US" w:eastAsia="zh-CN"/>
        </w:rPr>
      </w:pPr>
      <w:r>
        <w:rPr>
          <w:rFonts w:hint="eastAsia" w:ascii="宋体" w:hAnsi="宋体" w:eastAsia="宋体" w:cs="宋体"/>
          <w:b w:val="0"/>
          <w:bCs w:val="0"/>
          <w:i w:val="0"/>
          <w:iCs/>
          <w:color w:val="auto"/>
          <w:kern w:val="2"/>
          <w:sz w:val="24"/>
          <w:szCs w:val="24"/>
          <w:highlight w:val="none"/>
          <w:u w:val="none"/>
          <w:lang w:val="en-US" w:eastAsia="zh-CN" w:bidi="ar-SA"/>
        </w:rPr>
        <w:t>7）</w:t>
      </w:r>
      <w:r>
        <w:rPr>
          <w:rFonts w:hint="eastAsia" w:ascii="宋体" w:hAnsi="宋体" w:cs="宋体"/>
          <w:b w:val="0"/>
          <w:bCs w:val="0"/>
          <w:i w:val="0"/>
          <w:iCs/>
          <w:color w:val="auto"/>
          <w:kern w:val="2"/>
          <w:sz w:val="24"/>
          <w:szCs w:val="24"/>
          <w:highlight w:val="none"/>
          <w:u w:val="none"/>
          <w:lang w:val="en-US" w:eastAsia="zh-CN" w:bidi="ar-SA"/>
        </w:rPr>
        <w:t>完成组织</w:t>
      </w:r>
      <w:r>
        <w:rPr>
          <w:rFonts w:hint="eastAsia" w:ascii="宋体" w:hAnsi="宋体" w:eastAsia="宋体" w:cs="宋体"/>
          <w:b w:val="0"/>
          <w:bCs w:val="0"/>
          <w:i w:val="0"/>
          <w:iCs/>
          <w:color w:val="auto"/>
          <w:kern w:val="2"/>
          <w:sz w:val="24"/>
          <w:szCs w:val="24"/>
          <w:highlight w:val="none"/>
          <w:u w:val="none"/>
          <w:lang w:val="en-US" w:eastAsia="zh-CN" w:bidi="ar-SA"/>
        </w:rPr>
        <w:t>通过专家评审</w:t>
      </w:r>
      <w:r>
        <w:rPr>
          <w:rFonts w:hint="eastAsia" w:ascii="宋体" w:hAnsi="宋体" w:cs="宋体"/>
          <w:b w:val="0"/>
          <w:bCs w:val="0"/>
          <w:i w:val="0"/>
          <w:iCs/>
          <w:color w:val="auto"/>
          <w:kern w:val="2"/>
          <w:sz w:val="24"/>
          <w:szCs w:val="24"/>
          <w:highlight w:val="none"/>
          <w:u w:val="none"/>
          <w:lang w:val="en-US" w:eastAsia="zh-CN" w:bidi="ar-SA"/>
        </w:rPr>
        <w:t>，并协调管道产权单位取得回复意见</w:t>
      </w:r>
      <w:r>
        <w:rPr>
          <w:rFonts w:hint="eastAsia" w:ascii="宋体" w:hAnsi="宋体" w:eastAsia="宋体" w:cs="宋体"/>
          <w:b w:val="0"/>
          <w:bCs w:val="0"/>
          <w:i w:val="0"/>
          <w:iCs/>
          <w:color w:val="auto"/>
          <w:kern w:val="2"/>
          <w:sz w:val="24"/>
          <w:szCs w:val="24"/>
          <w:highlight w:val="none"/>
          <w:u w:val="none"/>
          <w:lang w:val="en-US" w:eastAsia="zh-CN" w:bidi="ar-SA"/>
        </w:rPr>
        <w:t>。</w:t>
      </w:r>
    </w:p>
    <w:p>
      <w:pPr>
        <w:pStyle w:val="2"/>
        <w:rPr>
          <w:rFonts w:hint="default"/>
          <w:lang w:val="en-US" w:eastAsia="zh-CN"/>
        </w:rPr>
      </w:pPr>
    </w:p>
    <w:p>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tbl>
      <w:tblPr>
        <w:tblStyle w:val="12"/>
        <w:tblW w:w="8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1"/>
        <w:gridCol w:w="2904"/>
        <w:gridCol w:w="1500"/>
        <w:gridCol w:w="1290"/>
        <w:gridCol w:w="132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651"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2904"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标包名称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最高投标限价（元）</w:t>
            </w:r>
          </w:p>
        </w:tc>
        <w:tc>
          <w:tcPr>
            <w:tcW w:w="129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投标下浮率</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投标报价（元）</w:t>
            </w:r>
          </w:p>
        </w:tc>
        <w:tc>
          <w:tcPr>
            <w:tcW w:w="1095" w:type="dxa"/>
            <w:tcBorders>
              <w:top w:val="single" w:color="000000" w:sz="4" w:space="0"/>
              <w:left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val="en-US" w:eastAsia="zh-CN"/>
              </w:rPr>
              <w:t>标包1：</w:t>
            </w:r>
            <w:r>
              <w:rPr>
                <w:rFonts w:hint="eastAsia" w:ascii="宋体" w:hAnsi="宋体" w:eastAsia="宋体" w:cs="宋体"/>
                <w:i w:val="0"/>
                <w:iCs w:val="0"/>
                <w:color w:val="000000"/>
                <w:sz w:val="20"/>
                <w:szCs w:val="20"/>
                <w:highlight w:val="none"/>
                <w:u w:val="none"/>
                <w:lang w:val="en-US" w:eastAsia="zh-CN"/>
              </w:rPr>
              <w:t>500千伏华厦阳西电厂二期7、8号机组项目接入系统工程（广州段）涉天然气、燃油管道杂散电流缓解措施技术服务</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4891788</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w:t>
            </w:r>
          </w:p>
        </w:tc>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标包2：</w:t>
            </w:r>
            <w:r>
              <w:rPr>
                <w:rFonts w:hint="eastAsia" w:ascii="宋体" w:hAnsi="宋体" w:eastAsia="宋体" w:cs="宋体"/>
                <w:i w:val="0"/>
                <w:iCs w:val="0"/>
                <w:color w:val="000000"/>
                <w:sz w:val="20"/>
                <w:szCs w:val="20"/>
                <w:highlight w:val="none"/>
                <w:u w:val="none"/>
                <w:lang w:val="en-US" w:eastAsia="zh-CN"/>
              </w:rPr>
              <w:t>500千伏华厦阳西电厂二期7、8号机组项目接入系统工程（广州段）涉天然气、燃油管道杂散电流缓解措施技术服务</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6225912</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i w:val="0"/>
                <w:iCs w:val="0"/>
                <w:color w:val="000000"/>
                <w:kern w:val="0"/>
                <w:sz w:val="20"/>
                <w:szCs w:val="20"/>
                <w:highlight w:val="none"/>
                <w:u w:val="single"/>
                <w:lang w:val="en-US" w:eastAsia="zh-CN" w:bidi="ar"/>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w:t>
            </w:r>
          </w:p>
        </w:tc>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标包3：</w:t>
            </w:r>
            <w:r>
              <w:rPr>
                <w:rFonts w:hint="eastAsia" w:ascii="宋体" w:hAnsi="宋体" w:eastAsia="宋体" w:cs="宋体"/>
                <w:i w:val="0"/>
                <w:iCs w:val="0"/>
                <w:color w:val="000000"/>
                <w:sz w:val="20"/>
                <w:szCs w:val="20"/>
                <w:highlight w:val="none"/>
                <w:u w:val="none"/>
                <w:lang w:val="en-US" w:eastAsia="zh-CN"/>
              </w:rPr>
              <w:t>500千伏华厦阳西电厂二期7、8号机组项目接入系统工程（广州段）涉天然气、燃油管道杂散电流模拟技术服务</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val="en-US" w:eastAsia="zh-CN"/>
              </w:rPr>
              <w:t>1382300</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cs="宋体"/>
                <w:i w:val="0"/>
                <w:iCs w:val="0"/>
                <w:color w:val="000000"/>
                <w:kern w:val="0"/>
                <w:sz w:val="20"/>
                <w:szCs w:val="20"/>
                <w:highlight w:val="none"/>
                <w:u w:val="single"/>
                <w:lang w:val="en-US" w:eastAsia="zh-CN" w:bidi="ar"/>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r>
    </w:tbl>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pPr>
        <w:pStyle w:val="7"/>
        <w:keepNext w:val="0"/>
        <w:keepLines w:val="0"/>
        <w:pageBreakBefore w:val="0"/>
        <w:kinsoku/>
        <w:wordWrap/>
        <w:overflowPunct/>
        <w:topLinePunct w:val="0"/>
        <w:autoSpaceDE/>
        <w:autoSpaceDN/>
        <w:bidi w:val="0"/>
        <w:adjustRightInd/>
        <w:snapToGrid/>
        <w:spacing w:line="48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8"/>
        <w:keepNext w:val="0"/>
        <w:keepLines w:val="0"/>
        <w:pageBreakBefore w:val="0"/>
        <w:shd w:val="clear" w:color="auto" w:fill="auto"/>
        <w:kinsoku/>
        <w:wordWrap/>
        <w:overflowPunct/>
        <w:topLinePunct w:val="0"/>
        <w:autoSpaceDE/>
        <w:autoSpaceDN/>
        <w:bidi w:val="0"/>
        <w:adjustRightInd/>
        <w:snapToGrid/>
        <w:spacing w:line="480" w:lineRule="auto"/>
        <w:jc w:val="left"/>
        <w:textAlignment w:val="auto"/>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报投标下浮率，同时对应投标下浮率填写投标报价。投标报价=最高投标限价×（1-投标下浮率）（保留两位小数，如：8.88）。当投标报价金额与投标下浮率计算结果不一致时，以投标下浮率为准，按公式修正投标报价金额。</w:t>
      </w:r>
    </w:p>
    <w:p>
      <w:pPr>
        <w:pStyle w:val="8"/>
        <w:keepNext w:val="0"/>
        <w:keepLines w:val="0"/>
        <w:pageBreakBefore w:val="0"/>
        <w:kinsoku/>
        <w:wordWrap/>
        <w:overflowPunct/>
        <w:topLinePunct w:val="0"/>
        <w:autoSpaceDE/>
        <w:autoSpaceDN/>
        <w:bidi w:val="0"/>
        <w:adjustRightInd/>
        <w:snapToGrid/>
        <w:spacing w:line="480" w:lineRule="auto"/>
        <w:jc w:val="left"/>
        <w:textAlignment w:val="auto"/>
        <w:rPr>
          <w:rFonts w:hint="eastAsia"/>
          <w:highlight w:val="none"/>
          <w:lang w:val="en-US" w:eastAsia="zh-CN"/>
        </w:rPr>
      </w:pPr>
      <w:r>
        <w:rPr>
          <w:rFonts w:hint="eastAsia" w:ascii="宋体" w:hAnsi="宋体" w:eastAsia="宋体" w:cs="宋体"/>
          <w:b w:val="0"/>
          <w:bCs w:val="0"/>
          <w:color w:val="auto"/>
          <w:kern w:val="2"/>
          <w:sz w:val="24"/>
          <w:szCs w:val="24"/>
          <w:highlight w:val="none"/>
          <w:u w:val="single"/>
          <w:lang w:val="en-US" w:eastAsia="zh-CN" w:bidi="ar-SA"/>
        </w:rPr>
        <w:t>2.投标下浮率不低于0%为有效报价；当投标下浮率＞ 15% 时应附成本分析报告，充分说明单价和费用的组成、降低成本的合理措施及在其他工程中应用过的经验等，经评审通过后方可视为有效报价。</w:t>
      </w: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b w:val="0"/>
          <w:bCs w:val="0"/>
          <w:color w:val="000000"/>
          <w:sz w:val="24"/>
          <w:szCs w:val="24"/>
          <w:highlight w:val="none"/>
          <w:u w:val="single"/>
        </w:rPr>
      </w:pPr>
      <w:r>
        <w:rPr>
          <w:rFonts w:hint="eastAsia" w:ascii="宋体" w:hAnsi="宋体" w:cs="宋体"/>
          <w:b/>
          <w:bCs/>
          <w:i w:val="0"/>
          <w:iCs/>
          <w:color w:val="auto"/>
          <w:kern w:val="2"/>
          <w:sz w:val="24"/>
          <w:szCs w:val="24"/>
          <w:highlight w:val="none"/>
          <w:u w:val="none"/>
          <w:lang w:val="en-US" w:eastAsia="zh-CN" w:bidi="ar-SA"/>
        </w:rPr>
        <w:t>标包1：500千伏华厦阳西电厂二期7、8号机组项目接入系统工程（广州段）涉天然气、燃油管道杂散电流缓解措施技术服务</w:t>
      </w:r>
    </w:p>
    <w:p>
      <w:pPr>
        <w:pStyle w:val="8"/>
        <w:keepNext w:val="0"/>
        <w:keepLines w:val="0"/>
        <w:pageBreakBefore w:val="0"/>
        <w:widowControl/>
        <w:kinsoku/>
        <w:wordWrap/>
        <w:overflowPunct/>
        <w:topLinePunct w:val="0"/>
        <w:autoSpaceDE/>
        <w:autoSpaceDN/>
        <w:bidi w:val="0"/>
        <w:adjustRightInd/>
        <w:snapToGrid/>
        <w:spacing w:line="480" w:lineRule="auto"/>
        <w:jc w:val="left"/>
        <w:textAlignment w:val="auto"/>
        <w:rPr>
          <w:b w:val="0"/>
          <w:bCs w:val="0"/>
          <w:color w:val="000000"/>
          <w:sz w:val="24"/>
          <w:szCs w:val="24"/>
          <w:u w:val="single"/>
        </w:rPr>
      </w:pPr>
      <w:r>
        <w:rPr>
          <w:b w:val="0"/>
          <w:bCs w:val="0"/>
          <w:color w:val="000000"/>
          <w:sz w:val="24"/>
          <w:szCs w:val="24"/>
          <w:highlight w:val="none"/>
          <w:u w:val="single"/>
        </w:rPr>
        <w:t>按</w:t>
      </w:r>
      <w:r>
        <w:rPr>
          <w:rFonts w:hint="eastAsia"/>
          <w:b w:val="0"/>
          <w:bCs w:val="0"/>
          <w:color w:val="000000"/>
          <w:sz w:val="24"/>
          <w:szCs w:val="24"/>
          <w:highlight w:val="none"/>
          <w:u w:val="single"/>
          <w:lang w:val="en-US" w:eastAsia="zh-CN"/>
        </w:rPr>
        <w:t>油气管道杂散电流模拟计算</w:t>
      </w:r>
      <w:r>
        <w:rPr>
          <w:b w:val="0"/>
          <w:bCs w:val="0"/>
          <w:color w:val="000000"/>
          <w:sz w:val="24"/>
          <w:szCs w:val="24"/>
          <w:highlight w:val="none"/>
          <w:u w:val="single"/>
        </w:rPr>
        <w:t>实际工程量并计取中标下浮率进行结算。</w:t>
      </w:r>
      <w:r>
        <w:rPr>
          <w:b w:val="0"/>
          <w:bCs w:val="0"/>
          <w:color w:val="000000"/>
          <w:sz w:val="24"/>
          <w:szCs w:val="24"/>
          <w:u w:val="single"/>
        </w:rPr>
        <w:t>费用标准参照</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石油建设安装工程预算定额（2013）版</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长输管道检修维修工程预算定额（2018）</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不足部分参考</w:t>
      </w:r>
      <w:r>
        <w:rPr>
          <w:b w:val="0"/>
          <w:bCs w:val="0"/>
          <w:color w:val="000000"/>
          <w:sz w:val="24"/>
          <w:szCs w:val="24"/>
          <w:u w:val="single"/>
        </w:rPr>
        <w:t>《广东省市政工程综合定额（2018</w:t>
      </w:r>
      <w:r>
        <w:rPr>
          <w:rFonts w:hint="eastAsia"/>
          <w:b w:val="0"/>
          <w:bCs w:val="0"/>
          <w:color w:val="000000"/>
          <w:sz w:val="24"/>
          <w:szCs w:val="24"/>
          <w:u w:val="single"/>
          <w:lang w:eastAsia="zh-CN"/>
        </w:rPr>
        <w:t>）》、</w:t>
      </w:r>
      <w:r>
        <w:rPr>
          <w:b w:val="0"/>
          <w:bCs w:val="0"/>
          <w:color w:val="000000"/>
          <w:sz w:val="24"/>
          <w:szCs w:val="24"/>
          <w:u w:val="single"/>
        </w:rPr>
        <w:t>《广东省房屋建筑与装饰工程综合定额（2018）》</w:t>
      </w:r>
      <w:r>
        <w:rPr>
          <w:rFonts w:hint="eastAsia"/>
          <w:b w:val="0"/>
          <w:bCs w:val="0"/>
          <w:color w:val="000000"/>
          <w:sz w:val="24"/>
          <w:szCs w:val="24"/>
          <w:u w:val="single"/>
          <w:lang w:eastAsia="zh-CN"/>
        </w:rPr>
        <w:t>、</w:t>
      </w:r>
      <w:r>
        <w:rPr>
          <w:b w:val="0"/>
          <w:bCs w:val="0"/>
          <w:color w:val="000000"/>
          <w:sz w:val="24"/>
          <w:szCs w:val="24"/>
          <w:u w:val="single"/>
        </w:rPr>
        <w:t>《广东省通用安装工程综合定额（2018</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等及其</w:t>
      </w:r>
      <w:r>
        <w:rPr>
          <w:b w:val="0"/>
          <w:bCs w:val="0"/>
          <w:color w:val="000000"/>
          <w:sz w:val="24"/>
          <w:szCs w:val="24"/>
          <w:u w:val="single"/>
        </w:rPr>
        <w:t>计价程序；人工材料机械价差调整按广州市建设工程造价管理站发布的该项工作开工日期当月调差文件计取价差；中标下浮率（%）＝[1－(投标报价-暂估价）/（最高投标限价-暂估价)] ×100%。无可套取定额的，按相关收费文件或合同计算。</w:t>
      </w:r>
    </w:p>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cs="宋体"/>
          <w:b/>
          <w:bCs/>
          <w:i w:val="0"/>
          <w:iCs/>
          <w:color w:val="auto"/>
          <w:kern w:val="2"/>
          <w:sz w:val="24"/>
          <w:szCs w:val="24"/>
          <w:highlight w:val="none"/>
          <w:u w:val="none"/>
          <w:lang w:val="en-US" w:eastAsia="zh-CN" w:bidi="ar-SA"/>
        </w:rPr>
      </w:pPr>
      <w:r>
        <w:rPr>
          <w:rFonts w:hint="eastAsia" w:ascii="宋体" w:hAnsi="宋体" w:cs="宋体"/>
          <w:b/>
          <w:bCs/>
          <w:i w:val="0"/>
          <w:iCs/>
          <w:color w:val="auto"/>
          <w:kern w:val="2"/>
          <w:sz w:val="24"/>
          <w:szCs w:val="24"/>
          <w:highlight w:val="none"/>
          <w:u w:val="none"/>
          <w:lang w:val="en-US" w:eastAsia="zh-CN" w:bidi="ar-SA"/>
        </w:rPr>
        <w:t>标包2：500千伏华厦阳西电厂二期7、8号机组项目接入系统工程（广州段）涉天然气、燃油管道杂散电流缓解措施技术服务</w:t>
      </w:r>
    </w:p>
    <w:p>
      <w:pPr>
        <w:pStyle w:val="8"/>
        <w:keepNext w:val="0"/>
        <w:keepLines w:val="0"/>
        <w:pageBreakBefore w:val="0"/>
        <w:widowControl/>
        <w:kinsoku/>
        <w:wordWrap/>
        <w:overflowPunct/>
        <w:topLinePunct w:val="0"/>
        <w:autoSpaceDE/>
        <w:autoSpaceDN/>
        <w:bidi w:val="0"/>
        <w:adjustRightInd/>
        <w:snapToGrid/>
        <w:spacing w:line="480" w:lineRule="auto"/>
        <w:jc w:val="left"/>
        <w:textAlignment w:val="auto"/>
        <w:rPr>
          <w:b w:val="0"/>
          <w:bCs w:val="0"/>
          <w:color w:val="000000"/>
          <w:sz w:val="24"/>
          <w:szCs w:val="24"/>
          <w:u w:val="single"/>
        </w:rPr>
      </w:pPr>
      <w:r>
        <w:rPr>
          <w:b w:val="0"/>
          <w:bCs w:val="0"/>
          <w:color w:val="000000"/>
          <w:sz w:val="24"/>
          <w:szCs w:val="24"/>
          <w:highlight w:val="none"/>
          <w:u w:val="single"/>
        </w:rPr>
        <w:t>按</w:t>
      </w:r>
      <w:r>
        <w:rPr>
          <w:rFonts w:hint="eastAsia"/>
          <w:b w:val="0"/>
          <w:bCs w:val="0"/>
          <w:color w:val="000000"/>
          <w:sz w:val="24"/>
          <w:szCs w:val="24"/>
          <w:highlight w:val="none"/>
          <w:u w:val="single"/>
          <w:lang w:val="en-US" w:eastAsia="zh-CN"/>
        </w:rPr>
        <w:t>油气管道杂散电流模拟计算</w:t>
      </w:r>
      <w:r>
        <w:rPr>
          <w:b w:val="0"/>
          <w:bCs w:val="0"/>
          <w:color w:val="000000"/>
          <w:sz w:val="24"/>
          <w:szCs w:val="24"/>
          <w:highlight w:val="none"/>
          <w:u w:val="single"/>
        </w:rPr>
        <w:t>实际工程量并计取中标下浮率进行结算。</w:t>
      </w:r>
      <w:r>
        <w:rPr>
          <w:b w:val="0"/>
          <w:bCs w:val="0"/>
          <w:color w:val="000000"/>
          <w:sz w:val="24"/>
          <w:szCs w:val="24"/>
          <w:u w:val="single"/>
        </w:rPr>
        <w:t>费用标准参照</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石油建设安装工程预算定额（2013）版</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长输管道检修维修工程预算定额（2018）</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不足部分参考</w:t>
      </w:r>
      <w:r>
        <w:rPr>
          <w:b w:val="0"/>
          <w:bCs w:val="0"/>
          <w:color w:val="000000"/>
          <w:sz w:val="24"/>
          <w:szCs w:val="24"/>
          <w:u w:val="single"/>
        </w:rPr>
        <w:t>《广东省市政工程综合定额（2018</w:t>
      </w:r>
      <w:r>
        <w:rPr>
          <w:rFonts w:hint="eastAsia"/>
          <w:b w:val="0"/>
          <w:bCs w:val="0"/>
          <w:color w:val="000000"/>
          <w:sz w:val="24"/>
          <w:szCs w:val="24"/>
          <w:u w:val="single"/>
          <w:lang w:eastAsia="zh-CN"/>
        </w:rPr>
        <w:t>）》、</w:t>
      </w:r>
      <w:r>
        <w:rPr>
          <w:b w:val="0"/>
          <w:bCs w:val="0"/>
          <w:color w:val="000000"/>
          <w:sz w:val="24"/>
          <w:szCs w:val="24"/>
          <w:u w:val="single"/>
        </w:rPr>
        <w:t>《广东省房屋建筑与装饰工程综合定额（2018）》</w:t>
      </w:r>
      <w:r>
        <w:rPr>
          <w:rFonts w:hint="eastAsia"/>
          <w:b w:val="0"/>
          <w:bCs w:val="0"/>
          <w:color w:val="000000"/>
          <w:sz w:val="24"/>
          <w:szCs w:val="24"/>
          <w:u w:val="single"/>
          <w:lang w:eastAsia="zh-CN"/>
        </w:rPr>
        <w:t>、</w:t>
      </w:r>
      <w:r>
        <w:rPr>
          <w:b w:val="0"/>
          <w:bCs w:val="0"/>
          <w:color w:val="000000"/>
          <w:sz w:val="24"/>
          <w:szCs w:val="24"/>
          <w:u w:val="single"/>
        </w:rPr>
        <w:t>《广东省通用安装工程综合定额（2018</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等及其</w:t>
      </w:r>
      <w:r>
        <w:rPr>
          <w:b w:val="0"/>
          <w:bCs w:val="0"/>
          <w:color w:val="000000"/>
          <w:sz w:val="24"/>
          <w:szCs w:val="24"/>
          <w:u w:val="single"/>
        </w:rPr>
        <w:t>计价程序；人工材料机械价差调整按广州市建设工程造价管理站发布的该项工作开工日期当月调差文件计取价差；中标下浮率（%）＝[1－(投标报价-暂估价）/（最高投标限价-暂估价)] ×100%。无可套取定额的，按相关收费文件或合同计算。</w:t>
      </w:r>
    </w:p>
    <w:p>
      <w:pPr>
        <w:pStyle w:val="2"/>
        <w:rPr>
          <w:rFonts w:hint="eastAsia"/>
          <w:lang w:val="en-US" w:eastAsia="zh-CN"/>
        </w:rPr>
      </w:pP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textAlignment w:val="auto"/>
        <w:rPr>
          <w:rFonts w:hint="eastAsia" w:ascii="宋体" w:hAnsi="宋体" w:cs="宋体"/>
          <w:b/>
          <w:bCs/>
          <w:i w:val="0"/>
          <w:iCs/>
          <w:color w:val="auto"/>
          <w:kern w:val="2"/>
          <w:sz w:val="24"/>
          <w:szCs w:val="24"/>
          <w:highlight w:val="none"/>
          <w:u w:val="none"/>
          <w:lang w:val="en-US" w:eastAsia="zh-CN" w:bidi="ar-SA"/>
        </w:rPr>
      </w:pPr>
      <w:r>
        <w:rPr>
          <w:rFonts w:hint="eastAsia" w:ascii="宋体" w:hAnsi="宋体" w:cs="宋体"/>
          <w:b/>
          <w:bCs/>
          <w:i w:val="0"/>
          <w:iCs/>
          <w:color w:val="auto"/>
          <w:kern w:val="2"/>
          <w:sz w:val="24"/>
          <w:szCs w:val="24"/>
          <w:highlight w:val="none"/>
          <w:u w:val="none"/>
          <w:lang w:val="en-US" w:eastAsia="zh-CN" w:bidi="ar-SA"/>
        </w:rPr>
        <w:t>标包3：500千伏华厦阳西电厂二期7、8号机组项目接入系统工程（广州段）涉天然气、燃油管道杂散电流模拟技术服务</w:t>
      </w:r>
    </w:p>
    <w:p>
      <w:pPr>
        <w:pStyle w:val="8"/>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eastAsia="宋体" w:cs="宋体"/>
          <w:b w:val="0"/>
          <w:bCs w:val="0"/>
          <w:color w:val="auto"/>
          <w:kern w:val="2"/>
          <w:sz w:val="24"/>
          <w:szCs w:val="24"/>
          <w:highlight w:val="none"/>
          <w:u w:val="single"/>
          <w:lang w:val="en-US" w:eastAsia="zh-CN" w:bidi="ar-SA"/>
        </w:rPr>
      </w:pPr>
      <w:r>
        <w:rPr>
          <w:rFonts w:hint="eastAsia"/>
          <w:b w:val="0"/>
          <w:bCs w:val="0"/>
          <w:color w:val="000000"/>
          <w:sz w:val="24"/>
          <w:szCs w:val="24"/>
          <w:highlight w:val="none"/>
          <w:u w:val="single"/>
          <w:lang w:val="en-US" w:eastAsia="zh-CN"/>
        </w:rPr>
        <w:t>参照油气管道杂散电流模拟计算</w:t>
      </w:r>
      <w:r>
        <w:rPr>
          <w:b w:val="0"/>
          <w:bCs w:val="0"/>
          <w:color w:val="000000"/>
          <w:sz w:val="24"/>
          <w:szCs w:val="24"/>
          <w:highlight w:val="none"/>
          <w:u w:val="single"/>
        </w:rPr>
        <w:t>实际工程量并计取中标下浮率进行结算。</w:t>
      </w:r>
      <w:r>
        <w:rPr>
          <w:b w:val="0"/>
          <w:bCs w:val="0"/>
          <w:color w:val="000000"/>
          <w:sz w:val="24"/>
          <w:szCs w:val="24"/>
          <w:u w:val="single"/>
        </w:rPr>
        <w:t>费用标准参照</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石油建设项目工程量清单编制规则》（2017）</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石油建设安装工程预算定额</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2022</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长输管道检维修工程预算定额</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2018</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石油建设安装工程费用定额</w:t>
      </w:r>
      <w:r>
        <w:rPr>
          <w:rFonts w:hint="eastAsia"/>
          <w:b w:val="0"/>
          <w:bCs w:val="0"/>
          <w:color w:val="000000"/>
          <w:sz w:val="24"/>
          <w:szCs w:val="24"/>
          <w:u w:val="single"/>
          <w:lang w:eastAsia="zh-CN"/>
        </w:rPr>
        <w:t>》（</w:t>
      </w:r>
      <w:r>
        <w:rPr>
          <w:rFonts w:hint="eastAsia"/>
          <w:b w:val="0"/>
          <w:bCs w:val="0"/>
          <w:color w:val="000000"/>
          <w:sz w:val="24"/>
          <w:szCs w:val="24"/>
          <w:u w:val="single"/>
          <w:lang w:val="en-US" w:eastAsia="zh-CN"/>
        </w:rPr>
        <w:t>2022</w:t>
      </w:r>
      <w:r>
        <w:rPr>
          <w:rFonts w:hint="eastAsia"/>
          <w:b w:val="0"/>
          <w:bCs w:val="0"/>
          <w:color w:val="000000"/>
          <w:sz w:val="24"/>
          <w:szCs w:val="24"/>
          <w:u w:val="single"/>
          <w:lang w:eastAsia="zh-CN"/>
        </w:rPr>
        <w:t>）</w:t>
      </w:r>
      <w:r>
        <w:rPr>
          <w:b w:val="0"/>
          <w:bCs w:val="0"/>
          <w:color w:val="000000"/>
          <w:sz w:val="24"/>
          <w:szCs w:val="24"/>
          <w:u w:val="single"/>
        </w:rPr>
        <w:t>中标下浮率（%）＝[1－(投标报价-暂估价）/（最高投标限价-暂估价)] ×100%。无可套取定额的，按相关收费文件或合同计算。</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1"/>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1"/>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val="0"/>
          <w:bCs w:val="0"/>
          <w:i w:val="0"/>
          <w:iCs/>
          <w:color w:val="auto"/>
          <w:kern w:val="2"/>
          <w:sz w:val="24"/>
          <w:szCs w:val="24"/>
          <w:highlight w:val="none"/>
          <w:u w:val="single"/>
          <w:lang w:val="en-US" w:eastAsia="zh-CN" w:bidi="ar-SA"/>
        </w:rPr>
        <w:t>技术服务单位不具备全部专业技术资质的，经受托人书面申请，委托人可允许该技术服务单位将有关专业技术工作分包给具备相关专业资质和能力的服务单位，受托人具备相应资质的除外。</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keepNext w:val="0"/>
        <w:keepLines w:val="0"/>
        <w:pageBreakBefore w:val="0"/>
        <w:widowControl w:val="0"/>
        <w:kinsoku/>
        <w:wordWrap/>
        <w:overflowPunct/>
        <w:topLinePunct w:val="0"/>
        <w:bidi w:val="0"/>
        <w:snapToGrid/>
        <w:spacing w:before="0" w:after="0" w:line="480" w:lineRule="auto"/>
        <w:textAlignment w:val="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pPr>
        <w:pStyle w:val="4"/>
        <w:keepNext w:val="0"/>
        <w:keepLines w:val="0"/>
        <w:pageBreakBefore w:val="0"/>
        <w:widowControl w:val="0"/>
        <w:kinsoku/>
        <w:wordWrap/>
        <w:overflowPunct/>
        <w:topLinePunct w:val="0"/>
        <w:bidi w:val="0"/>
        <w:snapToGrid/>
        <w:spacing w:before="0" w:after="0" w:line="480" w:lineRule="auto"/>
        <w:textAlignment w:val="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pPr>
        <w:keepNext w:val="0"/>
        <w:keepLines w:val="0"/>
        <w:pageBreakBefore w:val="0"/>
        <w:widowControl w:val="0"/>
        <w:kinsoku/>
        <w:wordWrap/>
        <w:overflowPunct/>
        <w:topLinePunct w:val="0"/>
        <w:autoSpaceDE w:val="0"/>
        <w:autoSpaceDN w:val="0"/>
        <w:bidi w:val="0"/>
        <w:adjustRightInd w:val="0"/>
        <w:snapToGrid/>
        <w:spacing w:line="48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48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pPr>
        <w:pStyle w:val="2"/>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p>
      <w:pPr>
        <w:rPr>
          <w:rFonts w:hint="eastAsia" w:ascii="宋体" w:hAnsi="宋体" w:eastAsia="宋体" w:cs="宋体"/>
          <w:color w:val="auto"/>
          <w:sz w:val="24"/>
          <w:szCs w:val="24"/>
          <w:highlight w:val="none"/>
          <w:u w:val="singl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07D161F"/>
    <w:rsid w:val="008D5CF2"/>
    <w:rsid w:val="020770AD"/>
    <w:rsid w:val="02CF4F13"/>
    <w:rsid w:val="0405705D"/>
    <w:rsid w:val="04A24F71"/>
    <w:rsid w:val="052247C1"/>
    <w:rsid w:val="076F3B3B"/>
    <w:rsid w:val="07CA37DF"/>
    <w:rsid w:val="0A863386"/>
    <w:rsid w:val="0BAD1A87"/>
    <w:rsid w:val="0BC07002"/>
    <w:rsid w:val="0BC31E36"/>
    <w:rsid w:val="0BE66663"/>
    <w:rsid w:val="0CBC7910"/>
    <w:rsid w:val="0D112137"/>
    <w:rsid w:val="0E2F4C02"/>
    <w:rsid w:val="0E3616E0"/>
    <w:rsid w:val="0E394169"/>
    <w:rsid w:val="0E6A669B"/>
    <w:rsid w:val="0E793144"/>
    <w:rsid w:val="0EA62722"/>
    <w:rsid w:val="0F440713"/>
    <w:rsid w:val="0F81532F"/>
    <w:rsid w:val="107144D2"/>
    <w:rsid w:val="116419AD"/>
    <w:rsid w:val="11DF6CFE"/>
    <w:rsid w:val="127D1234"/>
    <w:rsid w:val="13383335"/>
    <w:rsid w:val="134F6128"/>
    <w:rsid w:val="13C07C74"/>
    <w:rsid w:val="14013F61"/>
    <w:rsid w:val="14440D4B"/>
    <w:rsid w:val="14492B16"/>
    <w:rsid w:val="14781EB9"/>
    <w:rsid w:val="14B666F3"/>
    <w:rsid w:val="15056A61"/>
    <w:rsid w:val="154718B6"/>
    <w:rsid w:val="17722603"/>
    <w:rsid w:val="17734FB8"/>
    <w:rsid w:val="18E57496"/>
    <w:rsid w:val="1A386933"/>
    <w:rsid w:val="1A4F176B"/>
    <w:rsid w:val="1B5D4814"/>
    <w:rsid w:val="1B663F82"/>
    <w:rsid w:val="1C0D0793"/>
    <w:rsid w:val="1C2D4629"/>
    <w:rsid w:val="1C43636C"/>
    <w:rsid w:val="1C8618B6"/>
    <w:rsid w:val="1CA007F4"/>
    <w:rsid w:val="1D904223"/>
    <w:rsid w:val="1DC0145E"/>
    <w:rsid w:val="1F6009BB"/>
    <w:rsid w:val="1F653C49"/>
    <w:rsid w:val="1FDC62E7"/>
    <w:rsid w:val="1FF914D4"/>
    <w:rsid w:val="20735046"/>
    <w:rsid w:val="214D012B"/>
    <w:rsid w:val="216F4D5B"/>
    <w:rsid w:val="21C11DC8"/>
    <w:rsid w:val="21E57A3D"/>
    <w:rsid w:val="232B387C"/>
    <w:rsid w:val="232B7B7A"/>
    <w:rsid w:val="23B738BA"/>
    <w:rsid w:val="24E67795"/>
    <w:rsid w:val="24F737D8"/>
    <w:rsid w:val="2525523D"/>
    <w:rsid w:val="26EB3B6A"/>
    <w:rsid w:val="271A6D80"/>
    <w:rsid w:val="2874680A"/>
    <w:rsid w:val="287958EB"/>
    <w:rsid w:val="291D5E51"/>
    <w:rsid w:val="29354ED8"/>
    <w:rsid w:val="298B4DF9"/>
    <w:rsid w:val="2A916E63"/>
    <w:rsid w:val="2BE07E0A"/>
    <w:rsid w:val="2CA17C08"/>
    <w:rsid w:val="2DDF66E3"/>
    <w:rsid w:val="2E790E17"/>
    <w:rsid w:val="2E9E7F69"/>
    <w:rsid w:val="2FF65FF8"/>
    <w:rsid w:val="300D195C"/>
    <w:rsid w:val="30BF37B5"/>
    <w:rsid w:val="313B0851"/>
    <w:rsid w:val="31C955A9"/>
    <w:rsid w:val="332A08D3"/>
    <w:rsid w:val="33B200AF"/>
    <w:rsid w:val="33C75702"/>
    <w:rsid w:val="33E61BE2"/>
    <w:rsid w:val="34D47C9B"/>
    <w:rsid w:val="34E15227"/>
    <w:rsid w:val="35506D58"/>
    <w:rsid w:val="361736AD"/>
    <w:rsid w:val="363E07F1"/>
    <w:rsid w:val="36D200CF"/>
    <w:rsid w:val="373A5E3B"/>
    <w:rsid w:val="379951F8"/>
    <w:rsid w:val="38382DC3"/>
    <w:rsid w:val="38DE045C"/>
    <w:rsid w:val="3987396D"/>
    <w:rsid w:val="39C60C6F"/>
    <w:rsid w:val="3A70215B"/>
    <w:rsid w:val="3B595AEE"/>
    <w:rsid w:val="3B67270D"/>
    <w:rsid w:val="3BF24D81"/>
    <w:rsid w:val="3BFE7BEA"/>
    <w:rsid w:val="3C4750A3"/>
    <w:rsid w:val="3C4A35F1"/>
    <w:rsid w:val="3D757E71"/>
    <w:rsid w:val="3E703D99"/>
    <w:rsid w:val="3E99313C"/>
    <w:rsid w:val="3EA736D1"/>
    <w:rsid w:val="3FDE6257"/>
    <w:rsid w:val="40DF167D"/>
    <w:rsid w:val="417328DE"/>
    <w:rsid w:val="420455E6"/>
    <w:rsid w:val="42E73C50"/>
    <w:rsid w:val="43475AEF"/>
    <w:rsid w:val="4355705E"/>
    <w:rsid w:val="44656170"/>
    <w:rsid w:val="44982260"/>
    <w:rsid w:val="44D414C9"/>
    <w:rsid w:val="44F02DD1"/>
    <w:rsid w:val="46472D5E"/>
    <w:rsid w:val="496A657E"/>
    <w:rsid w:val="49843C09"/>
    <w:rsid w:val="4AA40FFE"/>
    <w:rsid w:val="4B3A1BDA"/>
    <w:rsid w:val="4B86686C"/>
    <w:rsid w:val="4BF83760"/>
    <w:rsid w:val="4C5B4768"/>
    <w:rsid w:val="4C8349B8"/>
    <w:rsid w:val="504766FD"/>
    <w:rsid w:val="50941952"/>
    <w:rsid w:val="548D2D6B"/>
    <w:rsid w:val="54AE60C6"/>
    <w:rsid w:val="552A0C96"/>
    <w:rsid w:val="55BB16B6"/>
    <w:rsid w:val="55C3156A"/>
    <w:rsid w:val="560A4CB8"/>
    <w:rsid w:val="5623267F"/>
    <w:rsid w:val="5782183A"/>
    <w:rsid w:val="57BD355E"/>
    <w:rsid w:val="58D21C48"/>
    <w:rsid w:val="59172716"/>
    <w:rsid w:val="59886B03"/>
    <w:rsid w:val="5B0320E2"/>
    <w:rsid w:val="5B8B11A7"/>
    <w:rsid w:val="5B9E2EC4"/>
    <w:rsid w:val="5CD10D7E"/>
    <w:rsid w:val="5EC449F5"/>
    <w:rsid w:val="60002310"/>
    <w:rsid w:val="60533A3D"/>
    <w:rsid w:val="608606DE"/>
    <w:rsid w:val="610E324A"/>
    <w:rsid w:val="61F31EFD"/>
    <w:rsid w:val="63066BC7"/>
    <w:rsid w:val="63D0487B"/>
    <w:rsid w:val="64550EC5"/>
    <w:rsid w:val="64672037"/>
    <w:rsid w:val="64911DA0"/>
    <w:rsid w:val="650657F5"/>
    <w:rsid w:val="65945D8D"/>
    <w:rsid w:val="66B66D9B"/>
    <w:rsid w:val="66C35559"/>
    <w:rsid w:val="67D57489"/>
    <w:rsid w:val="68570F93"/>
    <w:rsid w:val="6936532B"/>
    <w:rsid w:val="6A287B5E"/>
    <w:rsid w:val="6B303A1A"/>
    <w:rsid w:val="6C704794"/>
    <w:rsid w:val="6D953167"/>
    <w:rsid w:val="6DAA2FDF"/>
    <w:rsid w:val="6DF95579"/>
    <w:rsid w:val="6E121228"/>
    <w:rsid w:val="70D1495F"/>
    <w:rsid w:val="70ED510D"/>
    <w:rsid w:val="712F63C0"/>
    <w:rsid w:val="71C775EF"/>
    <w:rsid w:val="72190F11"/>
    <w:rsid w:val="72351C54"/>
    <w:rsid w:val="72717CD1"/>
    <w:rsid w:val="732C3097"/>
    <w:rsid w:val="743022D7"/>
    <w:rsid w:val="743E1546"/>
    <w:rsid w:val="74614F7E"/>
    <w:rsid w:val="74695E39"/>
    <w:rsid w:val="746A1E3C"/>
    <w:rsid w:val="754C6F3B"/>
    <w:rsid w:val="75B11AFF"/>
    <w:rsid w:val="75D32619"/>
    <w:rsid w:val="768D126A"/>
    <w:rsid w:val="780B6A75"/>
    <w:rsid w:val="78E9549E"/>
    <w:rsid w:val="790C3269"/>
    <w:rsid w:val="79F83E18"/>
    <w:rsid w:val="7A2C1AAF"/>
    <w:rsid w:val="7A905722"/>
    <w:rsid w:val="7AAB65F2"/>
    <w:rsid w:val="7CED7DC5"/>
    <w:rsid w:val="7D0F76D8"/>
    <w:rsid w:val="7D8C7689"/>
    <w:rsid w:val="7DB70B54"/>
    <w:rsid w:val="7DD41A95"/>
    <w:rsid w:val="7E3420E0"/>
    <w:rsid w:val="7F1B3618"/>
    <w:rsid w:val="7F8C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paragraph" w:customStyle="1" w:styleId="16">
    <w:name w:val="正文首行缩进1"/>
    <w:basedOn w:val="1"/>
    <w:qFormat/>
    <w:uiPriority w:val="0"/>
    <w:pPr>
      <w:spacing w:line="360" w:lineRule="auto"/>
      <w:ind w:firstLine="200" w:firstLineChars="200"/>
    </w:pPr>
    <w:rPr>
      <w:kern w:val="2"/>
      <w:sz w:val="24"/>
      <w:szCs w:val="24"/>
    </w:rPr>
  </w:style>
  <w:style w:type="character" w:customStyle="1" w:styleId="17">
    <w:name w:val="font1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chenyueming</cp:lastModifiedBy>
  <cp:lastPrinted>2023-12-22T08:40:00Z</cp:lastPrinted>
  <dcterms:modified xsi:type="dcterms:W3CDTF">2026-03-13T02:50:47Z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EDF1AA3B88D44F0F8FEC517A4732750F</vt:lpwstr>
  </property>
</Properties>
</file>