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DFB4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4C61C14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03D4F20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b/>
          <w:bCs/>
          <w:color w:val="auto"/>
          <w:sz w:val="24"/>
          <w:szCs w:val="24"/>
          <w:lang w:val="en-US" w:eastAsia="zh-CN"/>
        </w:rPr>
      </w:pPr>
      <w:r>
        <w:rPr>
          <w:rFonts w:ascii="宋体" w:hAnsi="宋体"/>
        </w:rPr>
        <w:drawing>
          <wp:anchor distT="0" distB="0" distL="114300" distR="114300" simplePos="0" relativeHeight="251660288" behindDoc="0" locked="0" layoutInCell="1" allowOverlap="1">
            <wp:simplePos x="0" y="0"/>
            <wp:positionH relativeFrom="column">
              <wp:posOffset>-2118360</wp:posOffset>
            </wp:positionH>
            <wp:positionV relativeFrom="paragraph">
              <wp:posOffset>-1502410</wp:posOffset>
            </wp:positionV>
            <wp:extent cx="9010015" cy="2736850"/>
            <wp:effectExtent l="0" t="0" r="12065" b="6350"/>
            <wp:wrapNone/>
            <wp:docPr id="1" name="图片 6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1" descr="模板-3"/>
                    <pic:cNvPicPr>
                      <a:picLocks noChangeAspect="1"/>
                    </pic:cNvPicPr>
                  </pic:nvPicPr>
                  <pic:blipFill>
                    <a:blip r:embed="rId5"/>
                    <a:stretch>
                      <a:fillRect/>
                    </a:stretch>
                  </pic:blipFill>
                  <pic:spPr>
                    <a:xfrm>
                      <a:off x="0" y="0"/>
                      <a:ext cx="9010015" cy="2736850"/>
                    </a:xfrm>
                    <a:prstGeom prst="rect">
                      <a:avLst/>
                    </a:prstGeom>
                    <a:noFill/>
                    <a:ln>
                      <a:noFill/>
                    </a:ln>
                  </pic:spPr>
                </pic:pic>
              </a:graphicData>
            </a:graphic>
          </wp:anchor>
        </w:drawing>
      </w:r>
    </w:p>
    <w:p w14:paraId="50D677B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187C9E5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53C8A04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0ACD004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1904756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7687860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5A6823BC">
      <w:pPr>
        <w:spacing w:line="360" w:lineRule="auto"/>
        <w:jc w:val="center"/>
        <w:rPr>
          <w:rFonts w:hint="eastAsia"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广东电网能源投资有限公司</w:t>
      </w:r>
    </w:p>
    <w:p w14:paraId="3CB2D135">
      <w:pPr>
        <w:spacing w:line="360" w:lineRule="auto"/>
        <w:jc w:val="center"/>
        <w:rPr>
          <w:rFonts w:hint="default"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2026年本地服务器零星采购</w:t>
      </w:r>
    </w:p>
    <w:p w14:paraId="54A8BDF2">
      <w:pPr>
        <w:spacing w:line="360" w:lineRule="auto"/>
        <w:jc w:val="center"/>
        <w:rPr>
          <w:rFonts w:hint="default"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商务及技术规范书</w:t>
      </w:r>
    </w:p>
    <w:p w14:paraId="6E56856B">
      <w:pPr>
        <w:spacing w:line="360" w:lineRule="auto"/>
        <w:rPr>
          <w:rFonts w:ascii="宋体" w:hAnsi="宋体" w:cs="Arial"/>
          <w:b/>
          <w:sz w:val="30"/>
          <w:szCs w:val="30"/>
        </w:rPr>
      </w:pPr>
    </w:p>
    <w:p w14:paraId="186323E2">
      <w:pPr>
        <w:pStyle w:val="4"/>
        <w:numPr>
          <w:ilvl w:val="0"/>
          <w:numId w:val="0"/>
        </w:numPr>
        <w:tabs>
          <w:tab w:val="left" w:pos="420"/>
        </w:tabs>
        <w:ind w:leftChars="0"/>
      </w:pPr>
    </w:p>
    <w:p w14:paraId="5D45966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48F30B0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148597A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0E4D63E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699FB5B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1DE2BDD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51AF402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7FAE2A3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6556686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2C43A22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lang w:val="en-US" w:eastAsia="zh-CN"/>
        </w:rPr>
      </w:pPr>
    </w:p>
    <w:p w14:paraId="5A4B44C3">
      <w:pPr>
        <w:pStyle w:val="2"/>
        <w:rPr>
          <w:rFonts w:hint="eastAsia" w:ascii="宋体" w:hAnsi="宋体" w:eastAsia="宋体" w:cs="宋体"/>
          <w:b/>
          <w:bCs/>
          <w:color w:val="auto"/>
          <w:sz w:val="24"/>
          <w:szCs w:val="24"/>
          <w:lang w:val="en-US" w:eastAsia="zh-CN"/>
        </w:rPr>
      </w:pPr>
    </w:p>
    <w:p w14:paraId="636347FF">
      <w:pPr>
        <w:pStyle w:val="3"/>
        <w:rPr>
          <w:rFonts w:hint="eastAsia"/>
          <w:lang w:val="en-US" w:eastAsia="zh-CN"/>
        </w:rPr>
      </w:pPr>
    </w:p>
    <w:p w14:paraId="3A4EFE84">
      <w:pPr>
        <w:rPr>
          <w:rFonts w:hint="eastAsia"/>
          <w:lang w:val="en-US" w:eastAsia="zh-CN"/>
        </w:rPr>
      </w:pPr>
    </w:p>
    <w:p w14:paraId="16DE48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ascii="宋体" w:hAnsi="宋体" w:eastAsia="宋体" w:cs="宋体"/>
          <w:b/>
          <w:bCs w:val="0"/>
          <w:sz w:val="48"/>
          <w:szCs w:val="48"/>
          <w:lang w:val="en-US" w:eastAsia="zh-CN"/>
        </w:rPr>
        <w:t>第一部分：项目基本信息</w:t>
      </w:r>
    </w:p>
    <w:p w14:paraId="4300DBFA">
      <w:pPr>
        <w:pStyle w:val="4"/>
        <w:bidi w:val="0"/>
        <w:rPr>
          <w:rFonts w:hint="eastAsia"/>
        </w:rPr>
      </w:pPr>
      <w:bookmarkStart w:id="0" w:name="_Toc19589"/>
      <w:bookmarkStart w:id="1" w:name="_Toc25821"/>
      <w:bookmarkStart w:id="2" w:name="_Toc17586"/>
      <w:bookmarkStart w:id="3" w:name="_Toc198545910"/>
      <w:bookmarkStart w:id="4" w:name="_Toc32374"/>
      <w:bookmarkStart w:id="5" w:name="_Toc266713645"/>
      <w:r>
        <w:rPr>
          <w:rFonts w:hint="eastAsia"/>
          <w:lang w:val="en-US" w:eastAsia="zh-CN"/>
        </w:rPr>
        <w:t>1</w:t>
      </w:r>
      <w:r>
        <w:rPr>
          <w:rFonts w:hint="eastAsia"/>
        </w:rPr>
        <w:t>总则</w:t>
      </w:r>
      <w:bookmarkEnd w:id="0"/>
      <w:bookmarkEnd w:id="1"/>
      <w:bookmarkEnd w:id="2"/>
      <w:bookmarkEnd w:id="3"/>
      <w:bookmarkEnd w:id="4"/>
      <w:bookmarkEnd w:id="5"/>
    </w:p>
    <w:p w14:paraId="01DD656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1.1</w:t>
      </w:r>
      <w:r>
        <w:rPr>
          <w:rFonts w:hint="eastAsia" w:ascii="宋体" w:hAnsi="宋体"/>
          <w:bCs/>
          <w:sz w:val="24"/>
        </w:rPr>
        <w:t>本标书仅描述基本的技术需求，并未对一切技术细节做出规定，也未充分引述有关标准和技术条文，投标方应根据需求目标提供进一步具体的可满足要求的技术指标。</w:t>
      </w:r>
    </w:p>
    <w:p w14:paraId="65085E3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rPr>
      </w:pPr>
      <w:bookmarkStart w:id="6" w:name="_bookmark1"/>
      <w:bookmarkEnd w:id="6"/>
      <w:r>
        <w:rPr>
          <w:rFonts w:hint="eastAsia" w:ascii="宋体" w:hAnsi="宋体"/>
          <w:bCs/>
          <w:sz w:val="24"/>
          <w:lang w:val="en-US" w:eastAsia="zh-CN"/>
        </w:rPr>
        <w:t>1.2</w:t>
      </w:r>
      <w:r>
        <w:rPr>
          <w:rFonts w:hint="eastAsia" w:ascii="宋体" w:hAnsi="宋体" w:eastAsia="宋体" w:cs="宋体"/>
          <w:sz w:val="24"/>
          <w:szCs w:val="24"/>
        </w:rPr>
        <w:t>本</w:t>
      </w:r>
      <w:r>
        <w:rPr>
          <w:rFonts w:hint="eastAsia" w:ascii="宋体" w:hAnsi="宋体"/>
          <w:bCs/>
          <w:sz w:val="24"/>
        </w:rPr>
        <w:t>标书</w:t>
      </w:r>
      <w:r>
        <w:rPr>
          <w:rFonts w:hint="eastAsia" w:ascii="宋体" w:hAnsi="宋体" w:eastAsia="宋体" w:cs="宋体"/>
          <w:sz w:val="24"/>
          <w:szCs w:val="24"/>
        </w:rPr>
        <w:t>的内容如有遗漏，</w:t>
      </w:r>
      <w:r>
        <w:rPr>
          <w:rFonts w:hint="eastAsia" w:ascii="宋体" w:hAnsi="宋体" w:cs="宋体"/>
          <w:sz w:val="24"/>
          <w:szCs w:val="24"/>
          <w:lang w:eastAsia="zh-CN"/>
        </w:rPr>
        <w:t>报价方</w:t>
      </w:r>
      <w:r>
        <w:rPr>
          <w:rFonts w:hint="eastAsia" w:ascii="宋体" w:hAnsi="宋体" w:eastAsia="宋体" w:cs="宋体"/>
          <w:sz w:val="24"/>
          <w:szCs w:val="24"/>
        </w:rPr>
        <w:t>可予以补充，并对补充的内容或技术的必要性进行具体的论述。如需发生费用的应在报价中体现，否则一旦</w:t>
      </w:r>
      <w:r>
        <w:rPr>
          <w:rFonts w:hint="eastAsia" w:ascii="宋体" w:hAnsi="宋体" w:cs="宋体"/>
          <w:sz w:val="24"/>
          <w:szCs w:val="24"/>
          <w:lang w:val="en-US" w:eastAsia="zh-CN"/>
        </w:rPr>
        <w:t>成交</w:t>
      </w:r>
      <w:r>
        <w:rPr>
          <w:rFonts w:hint="eastAsia" w:ascii="宋体" w:hAnsi="宋体" w:eastAsia="宋体" w:cs="宋体"/>
          <w:sz w:val="24"/>
          <w:szCs w:val="24"/>
        </w:rPr>
        <w:t>将认为卖方对其补充部分为免费提供。</w:t>
      </w:r>
    </w:p>
    <w:p w14:paraId="76C0953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rPr>
      </w:pPr>
      <w:r>
        <w:rPr>
          <w:rFonts w:hint="eastAsia" w:ascii="宋体" w:hAnsi="宋体" w:eastAsia="宋体" w:cs="宋体"/>
          <w:sz w:val="24"/>
          <w:szCs w:val="24"/>
          <w:lang w:val="en-US" w:eastAsia="zh-CN"/>
        </w:rPr>
        <w:t>1.3</w:t>
      </w:r>
      <w:r>
        <w:rPr>
          <w:rFonts w:hint="eastAsia" w:ascii="宋体" w:hAnsi="宋体" w:eastAsia="宋体" w:cs="宋体"/>
          <w:sz w:val="24"/>
          <w:szCs w:val="24"/>
        </w:rPr>
        <w:t>本</w:t>
      </w:r>
      <w:r>
        <w:rPr>
          <w:rFonts w:hint="eastAsia" w:ascii="宋体" w:hAnsi="宋体"/>
          <w:bCs/>
          <w:sz w:val="24"/>
        </w:rPr>
        <w:t>标书</w:t>
      </w:r>
      <w:r>
        <w:rPr>
          <w:rFonts w:hint="eastAsia" w:ascii="宋体" w:hAnsi="宋体" w:eastAsia="宋体" w:cs="宋体"/>
          <w:sz w:val="24"/>
          <w:szCs w:val="24"/>
        </w:rPr>
        <w:t>作为</w:t>
      </w:r>
      <w:r>
        <w:rPr>
          <w:rFonts w:hint="eastAsia" w:ascii="宋体" w:hAnsi="宋体" w:cs="宋体"/>
          <w:sz w:val="24"/>
          <w:szCs w:val="24"/>
          <w:lang w:eastAsia="zh-CN"/>
        </w:rPr>
        <w:t>报价方</w:t>
      </w:r>
      <w:r>
        <w:rPr>
          <w:rFonts w:hint="eastAsia" w:ascii="宋体" w:hAnsi="宋体" w:eastAsia="宋体" w:cs="宋体"/>
          <w:sz w:val="24"/>
          <w:szCs w:val="24"/>
        </w:rPr>
        <w:t>编写项目方案设计建议书的依据，对于其中的某些部分，</w:t>
      </w:r>
      <w:r>
        <w:rPr>
          <w:rFonts w:hint="eastAsia" w:ascii="宋体" w:hAnsi="宋体" w:cs="宋体"/>
          <w:sz w:val="24"/>
          <w:szCs w:val="24"/>
          <w:lang w:eastAsia="zh-CN"/>
        </w:rPr>
        <w:t>报价方</w:t>
      </w:r>
      <w:r>
        <w:rPr>
          <w:rFonts w:hint="eastAsia" w:ascii="宋体" w:hAnsi="宋体" w:eastAsia="宋体" w:cs="宋体"/>
          <w:sz w:val="24"/>
          <w:szCs w:val="24"/>
        </w:rPr>
        <w:t>如不能满足要求，应在</w:t>
      </w:r>
      <w:r>
        <w:rPr>
          <w:rFonts w:hint="eastAsia" w:ascii="宋体" w:hAnsi="宋体" w:eastAsia="宋体" w:cs="宋体"/>
          <w:sz w:val="24"/>
          <w:szCs w:val="24"/>
          <w:lang w:val="en-US" w:eastAsia="zh-CN"/>
        </w:rPr>
        <w:t>响应文件</w:t>
      </w:r>
      <w:r>
        <w:rPr>
          <w:rFonts w:hint="eastAsia" w:ascii="宋体" w:hAnsi="宋体" w:eastAsia="宋体" w:cs="宋体"/>
          <w:sz w:val="24"/>
          <w:szCs w:val="24"/>
        </w:rPr>
        <w:t>中提出说明，否则，</w:t>
      </w:r>
      <w:r>
        <w:rPr>
          <w:rFonts w:hint="eastAsia" w:ascii="宋体" w:hAnsi="宋体" w:cs="宋体"/>
          <w:sz w:val="24"/>
          <w:szCs w:val="24"/>
          <w:lang w:eastAsia="zh-CN"/>
        </w:rPr>
        <w:t>采购方</w:t>
      </w:r>
      <w:r>
        <w:rPr>
          <w:rFonts w:hint="eastAsia" w:ascii="宋体" w:hAnsi="宋体" w:eastAsia="宋体" w:cs="宋体"/>
          <w:sz w:val="24"/>
          <w:szCs w:val="24"/>
        </w:rPr>
        <w:t>即认为</w:t>
      </w:r>
      <w:r>
        <w:rPr>
          <w:rFonts w:hint="eastAsia" w:ascii="宋体" w:hAnsi="宋体" w:cs="宋体"/>
          <w:sz w:val="24"/>
          <w:szCs w:val="24"/>
          <w:lang w:eastAsia="zh-CN"/>
        </w:rPr>
        <w:t>报价方</w:t>
      </w:r>
      <w:r>
        <w:rPr>
          <w:rFonts w:hint="eastAsia" w:ascii="宋体" w:hAnsi="宋体" w:eastAsia="宋体" w:cs="宋体"/>
          <w:sz w:val="24"/>
          <w:szCs w:val="24"/>
        </w:rPr>
        <w:t>提供的服务或设备可以满足本</w:t>
      </w:r>
      <w:r>
        <w:rPr>
          <w:rFonts w:hint="eastAsia" w:ascii="宋体" w:hAnsi="宋体" w:cs="宋体"/>
          <w:sz w:val="24"/>
          <w:szCs w:val="24"/>
          <w:lang w:val="en-US" w:eastAsia="zh-CN"/>
        </w:rPr>
        <w:t>技术</w:t>
      </w:r>
      <w:r>
        <w:rPr>
          <w:rFonts w:hint="eastAsia" w:ascii="宋体" w:hAnsi="宋体" w:eastAsia="宋体" w:cs="宋体"/>
          <w:sz w:val="24"/>
          <w:szCs w:val="24"/>
        </w:rPr>
        <w:t>规范书的要求。</w:t>
      </w:r>
    </w:p>
    <w:p w14:paraId="380C2F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1.4</w:t>
      </w:r>
      <w:r>
        <w:rPr>
          <w:rFonts w:hint="eastAsia" w:ascii="宋体" w:hAnsi="宋体"/>
          <w:bCs/>
          <w:sz w:val="24"/>
        </w:rPr>
        <w:t>投标方必须仔细阅读采购文件的全部条款，并作出明确响应。如采购文件带“★”号的条款及要求，报价方必须满足，若有一项不满足将可能导致废标。</w:t>
      </w:r>
    </w:p>
    <w:p w14:paraId="527718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1.5</w:t>
      </w:r>
      <w:r>
        <w:rPr>
          <w:rFonts w:hint="eastAsia" w:ascii="宋体" w:hAnsi="宋体" w:eastAsia="宋体" w:cs="宋体"/>
          <w:sz w:val="24"/>
          <w:szCs w:val="24"/>
        </w:rPr>
        <w:t>本</w:t>
      </w:r>
      <w:r>
        <w:rPr>
          <w:rFonts w:hint="eastAsia" w:ascii="宋体" w:hAnsi="宋体"/>
          <w:bCs/>
          <w:sz w:val="24"/>
        </w:rPr>
        <w:t>标书经买、卖双方确认后作为订货合同的技术附件，与合同正文具有同等的法律效力。</w:t>
      </w:r>
    </w:p>
    <w:p w14:paraId="39A9F53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1.6</w:t>
      </w:r>
      <w:r>
        <w:rPr>
          <w:rFonts w:hint="eastAsia" w:ascii="宋体" w:hAnsi="宋体"/>
          <w:bCs/>
          <w:sz w:val="24"/>
        </w:rPr>
        <w:t>本标书未尽事宜，由买、卖双方协商确定。</w:t>
      </w:r>
    </w:p>
    <w:p w14:paraId="455DBB1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Theme="minorEastAsia"/>
          <w:bCs/>
          <w:sz w:val="24"/>
          <w:lang w:eastAsia="zh-CN"/>
        </w:rPr>
      </w:pPr>
      <w:r>
        <w:rPr>
          <w:rFonts w:hint="eastAsia" w:ascii="宋体" w:hAnsi="宋体"/>
          <w:bCs/>
          <w:sz w:val="24"/>
          <w:lang w:val="en-US" w:eastAsia="zh-CN"/>
        </w:rPr>
        <w:t>1.7</w:t>
      </w:r>
      <w:r>
        <w:rPr>
          <w:rFonts w:hint="eastAsia" w:ascii="宋体" w:hAnsi="宋体"/>
          <w:bCs/>
          <w:sz w:val="24"/>
        </w:rPr>
        <w:t>本标书的最终解释权归招标方</w:t>
      </w:r>
      <w:r>
        <w:rPr>
          <w:rFonts w:hint="eastAsia" w:ascii="宋体" w:hAnsi="宋体"/>
          <w:bCs/>
          <w:sz w:val="24"/>
          <w:lang w:eastAsia="zh-CN"/>
        </w:rPr>
        <w:t>。</w:t>
      </w:r>
    </w:p>
    <w:p w14:paraId="4EF5172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eastAsiaTheme="minorEastAsia"/>
          <w:lang w:val="en-US" w:eastAsia="zh-CN"/>
        </w:rPr>
      </w:pPr>
      <w:r>
        <w:rPr>
          <w:rFonts w:hint="eastAsia" w:ascii="宋体" w:hAnsi="宋体"/>
          <w:bCs/>
          <w:sz w:val="24"/>
          <w:lang w:val="en-US" w:eastAsia="zh-CN"/>
        </w:rPr>
        <w:t>1.8总则部分的要求，适用于本采购的所有文件。</w:t>
      </w:r>
    </w:p>
    <w:p w14:paraId="0ED6C4E0">
      <w:pPr>
        <w:pStyle w:val="4"/>
        <w:bidi w:val="0"/>
        <w:rPr>
          <w:rFonts w:hint="default"/>
          <w:lang w:val="en-US" w:eastAsia="zh-CN"/>
        </w:rPr>
      </w:pPr>
      <w:r>
        <w:rPr>
          <w:rFonts w:hint="eastAsia"/>
          <w:lang w:val="en-US" w:eastAsia="zh-CN"/>
        </w:rPr>
        <w:t>2项目概况</w:t>
      </w:r>
    </w:p>
    <w:p w14:paraId="5C6407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宋体" w:hAnsi="宋体" w:eastAsia="宋体" w:cs="宋体"/>
          <w:sz w:val="24"/>
          <w:szCs w:val="24"/>
          <w:highlight w:val="none"/>
          <w:lang w:val="en-US" w:eastAsia="zh-CN"/>
        </w:rPr>
        <w:t>因业务发展需要，广东电网能源投资有限公司拟采购1台本地服务器，用于自研团队搭建测试环境、规范代码管理。</w:t>
      </w:r>
    </w:p>
    <w:p w14:paraId="417BB703">
      <w:pPr>
        <w:pStyle w:val="4"/>
        <w:bidi w:val="0"/>
        <w:rPr>
          <w:rFonts w:hint="eastAsia"/>
          <w:lang w:val="en-US" w:eastAsia="zh-CN"/>
        </w:rPr>
      </w:pPr>
      <w:r>
        <w:rPr>
          <w:rFonts w:hint="eastAsia"/>
          <w:lang w:val="en-US" w:eastAsia="zh-CN"/>
        </w:rPr>
        <w:t>3资格条件</w:t>
      </w:r>
    </w:p>
    <w:p w14:paraId="2BB85E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投标方应同时符合以下条件。</w:t>
      </w:r>
    </w:p>
    <w:p w14:paraId="03004F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1、中华人民共和国境内注册的法人，提供合法有效的营业执照(或事业单位法人证书等)。</w:t>
      </w:r>
    </w:p>
    <w:p w14:paraId="2888D7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2、投标人没有被国家市场监督管理机关在国家企业信用信息公示系统(www.gsxt.gov.cn)中列入严重违法失信企业名单。</w:t>
      </w:r>
    </w:p>
    <w:p w14:paraId="1A6CFF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宋体" w:hAnsi="宋体" w:eastAsia="宋体" w:cs="宋体"/>
          <w:sz w:val="24"/>
          <w:szCs w:val="24"/>
          <w:highlight w:val="none"/>
          <w:lang w:val="en-US" w:eastAsia="zh-CN"/>
        </w:rPr>
        <w:t>3、没有被“信用中国”网站(www.creditchina.gov.cn)或“中国执行信息公开网”(http://zxgk.court.gov.cn/shixin)列入失信被执行人名单。</w:t>
      </w:r>
    </w:p>
    <w:p w14:paraId="622836D9">
      <w:pPr>
        <w:pStyle w:val="4"/>
        <w:bidi w:val="0"/>
        <w:rPr>
          <w:rFonts w:hint="default"/>
          <w:lang w:val="en-US" w:eastAsia="zh-CN"/>
        </w:rPr>
      </w:pPr>
      <w:r>
        <w:rPr>
          <w:rFonts w:hint="eastAsia"/>
          <w:lang w:val="en-US" w:eastAsia="zh-CN"/>
        </w:rPr>
        <w:t>4概算金额与最高限价</w:t>
      </w:r>
    </w:p>
    <w:p w14:paraId="1544E4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本次采购概算金额、框架协议的上限价格为含税金额，具体金额详见采购公告，服务商的报价不得高于此金额。</w:t>
      </w:r>
    </w:p>
    <w:p w14:paraId="653BC66C">
      <w:pPr>
        <w:pStyle w:val="4"/>
        <w:bidi w:val="0"/>
        <w:rPr>
          <w:rFonts w:hint="eastAsia" w:ascii="宋体" w:hAnsi="宋体" w:eastAsia="宋体" w:cs="宋体"/>
          <w:sz w:val="24"/>
          <w:szCs w:val="24"/>
          <w:highlight w:val="none"/>
          <w:lang w:val="en-US" w:eastAsia="zh-CN"/>
        </w:rPr>
      </w:pPr>
      <w:r>
        <w:rPr>
          <w:rFonts w:hint="eastAsia"/>
          <w:lang w:val="en-US" w:eastAsia="zh-CN"/>
        </w:rPr>
        <w:t>5采购范围</w:t>
      </w:r>
    </w:p>
    <w:p w14:paraId="2FB8D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本次采购范围为本地服务器1台。</w:t>
      </w:r>
    </w:p>
    <w:p w14:paraId="0859CF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本次采购为总价包干制，除所报价格以外，服务商不得收取运输费、调试费、售后期内的售后服务费等费用。</w:t>
      </w:r>
    </w:p>
    <w:p w14:paraId="56A25C79">
      <w:pPr>
        <w:pStyle w:val="4"/>
        <w:bidi w:val="0"/>
        <w:rPr>
          <w:rFonts w:hint="eastAsia" w:ascii="Times New Roman" w:hAnsi="Times New Roman"/>
          <w:lang w:val="en-US" w:eastAsia="zh-CN"/>
        </w:rPr>
      </w:pPr>
      <w:r>
        <w:rPr>
          <w:rFonts w:hint="eastAsia"/>
          <w:lang w:val="en-US" w:eastAsia="zh-CN"/>
        </w:rPr>
        <w:t>6</w:t>
      </w:r>
      <w:r>
        <w:rPr>
          <w:rFonts w:hint="eastAsia" w:ascii="Times New Roman" w:hAnsi="Times New Roman"/>
          <w:lang w:val="en-US" w:eastAsia="zh-CN"/>
        </w:rPr>
        <w:t>投标方需提交的文件</w:t>
      </w:r>
    </w:p>
    <w:p w14:paraId="411AB5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b w:val="0"/>
          <w:bCs w:val="0"/>
          <w:color w:val="FF0000"/>
          <w:sz w:val="24"/>
          <w:szCs w:val="24"/>
          <w:highlight w:val="none"/>
          <w:lang w:val="en-US" w:eastAsia="zh-CN"/>
        </w:rPr>
        <w:t>投标方需递交</w:t>
      </w:r>
      <w:r>
        <w:rPr>
          <w:rFonts w:hint="eastAsia" w:ascii="宋体" w:hAnsi="宋体" w:eastAsia="宋体" w:cs="宋体"/>
          <w:b/>
          <w:bCs/>
          <w:color w:val="FF0000"/>
          <w:sz w:val="24"/>
          <w:szCs w:val="24"/>
          <w:highlight w:val="none"/>
          <w:lang w:val="en-US" w:eastAsia="zh-CN"/>
        </w:rPr>
        <w:t>逐页加盖公章</w:t>
      </w:r>
      <w:r>
        <w:rPr>
          <w:rFonts w:hint="eastAsia" w:ascii="宋体" w:hAnsi="宋体" w:eastAsia="宋体" w:cs="宋体"/>
          <w:b w:val="0"/>
          <w:bCs w:val="0"/>
          <w:color w:val="FF0000"/>
          <w:sz w:val="24"/>
          <w:szCs w:val="24"/>
          <w:highlight w:val="none"/>
          <w:lang w:val="en-US" w:eastAsia="zh-CN"/>
        </w:rPr>
        <w:t>后的《商务及技术响应文件》</w:t>
      </w:r>
      <w:r>
        <w:rPr>
          <w:rFonts w:hint="eastAsia" w:ascii="宋体" w:hAnsi="宋体" w:eastAsia="宋体" w:cs="宋体"/>
          <w:sz w:val="24"/>
          <w:szCs w:val="24"/>
          <w:highlight w:val="none"/>
          <w:lang w:val="en-US" w:eastAsia="zh-CN"/>
        </w:rPr>
        <w:t>，格式自拟，需整齐规范排版。请将所有材料及附件都合并至《商务及技术响应文件》。</w:t>
      </w:r>
    </w:p>
    <w:p w14:paraId="02D5B0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6.1必备内容</w:t>
      </w:r>
    </w:p>
    <w:p w14:paraId="1024B6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6.1.1本零星采购公告资格条件部分所要求的证明材料。</w:t>
      </w:r>
    </w:p>
    <w:p w14:paraId="5D055D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6.1.2技术规范书部分1.11、1.12、1.13项技术参数的证明文件。</w:t>
      </w:r>
    </w:p>
    <w:p w14:paraId="481DF2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宋体" w:hAnsi="宋体" w:eastAsia="宋体" w:cs="宋体"/>
          <w:color w:val="FF0000"/>
          <w:sz w:val="24"/>
          <w:szCs w:val="24"/>
          <w:highlight w:val="none"/>
          <w:lang w:val="en-US" w:eastAsia="zh-CN"/>
        </w:rPr>
        <w:t>6.1.3技术规范书部分的附件1-8及附表。</w:t>
      </w:r>
    </w:p>
    <w:p w14:paraId="390BB3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6.2非必备内容</w:t>
      </w:r>
    </w:p>
    <w:p w14:paraId="5C52AF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6.2.1响应偏差表（格式详见附件2）。供应商</w:t>
      </w:r>
      <w:r>
        <w:rPr>
          <w:rFonts w:hint="eastAsia" w:ascii="宋体" w:hAnsi="宋体" w:eastAsia="宋体" w:cs="宋体"/>
          <w:sz w:val="24"/>
          <w:szCs w:val="24"/>
          <w:highlight w:val="none"/>
          <w:lang w:val="en-US" w:eastAsia="zh-CN"/>
        </w:rPr>
        <w:t>需整齐规范排版</w:t>
      </w:r>
      <w:r>
        <w:rPr>
          <w:rFonts w:hint="eastAsia" w:ascii="宋体" w:hAnsi="宋体" w:eastAsia="宋体" w:cs="宋体"/>
          <w:color w:val="auto"/>
          <w:sz w:val="24"/>
          <w:szCs w:val="24"/>
          <w:highlight w:val="none"/>
          <w:lang w:val="en-US" w:eastAsia="zh-CN"/>
        </w:rPr>
        <w:t>。供应商对采购文件的所有条款、条件及规定的任何偏差，无论偏差多么微小，都应在偏差表中加以说明。对于供应商未在响应偏差表列明的偏差部分，或</w:t>
      </w:r>
      <w:r>
        <w:rPr>
          <w:rFonts w:hint="eastAsia" w:ascii="宋体" w:hAnsi="宋体" w:eastAsia="宋体" w:cs="宋体"/>
          <w:color w:val="FF0000"/>
          <w:sz w:val="24"/>
          <w:szCs w:val="24"/>
          <w:highlight w:val="none"/>
          <w:lang w:val="en-US" w:eastAsia="zh-CN"/>
        </w:rPr>
        <w:t>未递交响应偏差表的，采购人将视为供应商未提出偏差。</w:t>
      </w:r>
      <w:r>
        <w:rPr>
          <w:rFonts w:hint="eastAsia" w:ascii="宋体" w:hAnsi="宋体" w:eastAsia="宋体" w:cs="宋体"/>
          <w:color w:val="auto"/>
          <w:sz w:val="24"/>
          <w:szCs w:val="24"/>
          <w:highlight w:val="none"/>
          <w:lang w:val="en-US" w:eastAsia="zh-CN"/>
        </w:rPr>
        <w:t>响应偏差表内容和其他响应文件内容表述不一致时，以偏差表为准。</w:t>
      </w:r>
    </w:p>
    <w:p w14:paraId="6D821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6.2.2必要时，投标方可对采购文件及附件的所述内容，做出更完备、更完善、更全面的响应或提出实施方案。</w:t>
      </w:r>
    </w:p>
    <w:p w14:paraId="1A182FA1">
      <w:pPr>
        <w:rPr>
          <w:rFonts w:hint="eastAsia" w:ascii="宋体" w:hAnsi="宋体" w:eastAsia="宋体" w:cs="宋体"/>
          <w:sz w:val="24"/>
          <w:szCs w:val="24"/>
          <w:highlight w:val="none"/>
          <w:lang w:val="en-US" w:eastAsia="zh-CN"/>
        </w:rPr>
      </w:pPr>
    </w:p>
    <w:p w14:paraId="30250234">
      <w:pPr>
        <w:pStyle w:val="5"/>
        <w:rPr>
          <w:rFonts w:hint="eastAsia"/>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p>
    <w:p w14:paraId="7D9F9565">
      <w:pPr>
        <w:pStyle w:val="5"/>
        <w:numPr>
          <w:ilvl w:val="1"/>
          <w:numId w:val="0"/>
        </w:numPr>
        <w:ind w:leftChars="0"/>
        <w:rPr>
          <w:rFonts w:hint="eastAsia"/>
          <w:lang w:val="en-US" w:eastAsia="zh-CN"/>
        </w:rPr>
      </w:pPr>
    </w:p>
    <w:p w14:paraId="4CA818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sz w:val="24"/>
        </w:rPr>
      </w:pPr>
      <w:r>
        <w:rPr>
          <w:rFonts w:hint="eastAsia" w:ascii="宋体" w:hAnsi="宋体" w:eastAsia="宋体" w:cs="宋体"/>
          <w:b/>
          <w:bCs w:val="0"/>
          <w:sz w:val="48"/>
          <w:szCs w:val="48"/>
          <w:lang w:val="en-US" w:eastAsia="zh-CN"/>
        </w:rPr>
        <w:t>第二部分：商务规范书</w:t>
      </w:r>
    </w:p>
    <w:p w14:paraId="5DB890DC">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 定义</w:t>
      </w:r>
    </w:p>
    <w:p w14:paraId="53212D86">
      <w:pPr>
        <w:pStyle w:val="24"/>
        <w:keepNext w:val="0"/>
        <w:keepLines w:val="0"/>
        <w:pageBreakBefore w:val="0"/>
        <w:numPr>
          <w:ilvl w:val="0"/>
          <w:numId w:val="0"/>
        </w:numPr>
        <w:tabs>
          <w:tab w:val="clear" w:pos="72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bCs/>
          <w:color w:val="auto"/>
          <w:spacing w:val="0"/>
          <w:sz w:val="28"/>
          <w:szCs w:val="28"/>
          <w:highlight w:val="none"/>
          <w:shd w:val="clear" w:color="auto" w:fill="auto"/>
        </w:rPr>
      </w:pPr>
      <w:r>
        <w:rPr>
          <w:rFonts w:hint="eastAsia" w:ascii="宋体" w:hAnsi="宋体" w:eastAsia="宋体" w:cs="宋体"/>
          <w:bCs/>
          <w:color w:val="auto"/>
          <w:spacing w:val="0"/>
          <w:sz w:val="28"/>
          <w:szCs w:val="28"/>
          <w:highlight w:val="none"/>
          <w:shd w:val="clear" w:color="auto" w:fill="auto"/>
        </w:rPr>
        <w:t>本文件和附件中所用下列名词的含义在此予以确定。</w:t>
      </w:r>
    </w:p>
    <w:p w14:paraId="29B40ED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合同：指本</w:t>
      </w:r>
      <w:r>
        <w:rPr>
          <w:rFonts w:hint="eastAsia" w:ascii="宋体" w:hAnsi="宋体" w:eastAsia="宋体" w:cs="宋体"/>
          <w:color w:val="auto"/>
          <w:sz w:val="28"/>
          <w:szCs w:val="28"/>
          <w:highlight w:val="none"/>
          <w:shd w:val="clear" w:color="auto" w:fill="auto"/>
          <w:lang w:val="en-US" w:eastAsia="zh-CN"/>
        </w:rPr>
        <w:t>采购相关的</w:t>
      </w:r>
      <w:r>
        <w:rPr>
          <w:rFonts w:hint="eastAsia" w:ascii="宋体" w:hAnsi="宋体" w:eastAsia="宋体" w:cs="宋体"/>
          <w:color w:val="auto"/>
          <w:sz w:val="28"/>
          <w:szCs w:val="28"/>
          <w:highlight w:val="none"/>
          <w:shd w:val="clear" w:color="auto" w:fill="auto"/>
        </w:rPr>
        <w:t>文件及其附件中的所有部分。</w:t>
      </w:r>
    </w:p>
    <w:p w14:paraId="6AB86721">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合同价格：</w:t>
      </w:r>
      <w:r>
        <w:rPr>
          <w:rFonts w:hint="eastAsia" w:ascii="宋体" w:hAnsi="宋体" w:eastAsia="宋体" w:cs="宋体"/>
          <w:color w:val="auto"/>
          <w:sz w:val="28"/>
          <w:szCs w:val="28"/>
          <w:highlight w:val="none"/>
          <w:shd w:val="clear" w:color="auto" w:fill="auto"/>
          <w:lang w:val="en-US" w:eastAsia="zh-CN"/>
        </w:rPr>
        <w:t>服务商在本采购中的报价</w:t>
      </w:r>
      <w:r>
        <w:rPr>
          <w:rFonts w:hint="eastAsia" w:ascii="宋体" w:hAnsi="宋体" w:eastAsia="宋体" w:cs="宋体"/>
          <w:color w:val="auto"/>
          <w:sz w:val="28"/>
          <w:szCs w:val="28"/>
          <w:highlight w:val="none"/>
          <w:shd w:val="clear" w:color="auto" w:fill="auto"/>
        </w:rPr>
        <w:t>。</w:t>
      </w:r>
    </w:p>
    <w:p w14:paraId="1737809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合同产品：指乙方根据</w:t>
      </w:r>
      <w:r>
        <w:rPr>
          <w:rFonts w:hint="eastAsia" w:ascii="宋体" w:hAnsi="宋体" w:eastAsia="宋体" w:cs="宋体"/>
          <w:color w:val="auto"/>
          <w:sz w:val="28"/>
          <w:szCs w:val="28"/>
          <w:highlight w:val="none"/>
          <w:shd w:val="clear" w:color="auto" w:fill="auto"/>
          <w:lang w:val="en-US" w:eastAsia="zh-CN"/>
        </w:rPr>
        <w:t>本采购</w:t>
      </w:r>
      <w:r>
        <w:rPr>
          <w:rFonts w:hint="eastAsia" w:ascii="宋体" w:hAnsi="宋体" w:eastAsia="宋体" w:cs="宋体"/>
          <w:color w:val="auto"/>
          <w:sz w:val="28"/>
          <w:szCs w:val="28"/>
          <w:highlight w:val="none"/>
          <w:shd w:val="clear" w:color="auto" w:fill="auto"/>
        </w:rPr>
        <w:t>所要提供的硬件、</w:t>
      </w:r>
      <w:r>
        <w:rPr>
          <w:rFonts w:hint="eastAsia" w:ascii="宋体" w:hAnsi="宋体" w:eastAsia="宋体" w:cs="宋体"/>
          <w:bCs/>
          <w:color w:val="auto"/>
          <w:spacing w:val="0"/>
          <w:kern w:val="2"/>
          <w:sz w:val="28"/>
          <w:szCs w:val="28"/>
          <w:highlight w:val="none"/>
          <w:shd w:val="clear" w:color="auto" w:fill="auto"/>
          <w:lang w:val="en-US" w:eastAsia="zh-CN" w:bidi="ar-SA"/>
        </w:rPr>
        <w:t>软件</w:t>
      </w:r>
      <w:r>
        <w:rPr>
          <w:rFonts w:hint="eastAsia" w:ascii="宋体" w:hAnsi="宋体" w:eastAsia="宋体" w:cs="宋体"/>
          <w:color w:val="auto"/>
          <w:sz w:val="28"/>
          <w:szCs w:val="28"/>
          <w:highlight w:val="none"/>
          <w:shd w:val="clear" w:color="auto" w:fill="auto"/>
          <w:lang w:eastAsia="zh-CN"/>
        </w:rPr>
        <w:t>及</w:t>
      </w:r>
      <w:r>
        <w:rPr>
          <w:rFonts w:hint="eastAsia" w:ascii="宋体" w:hAnsi="宋体" w:eastAsia="宋体" w:cs="宋体"/>
          <w:color w:val="auto"/>
          <w:sz w:val="28"/>
          <w:szCs w:val="28"/>
          <w:highlight w:val="none"/>
          <w:shd w:val="clear" w:color="auto" w:fill="auto"/>
        </w:rPr>
        <w:t>培训、资料、服务等，又称“合同设备”或 “设备”或“货物”。</w:t>
      </w:r>
    </w:p>
    <w:p w14:paraId="2E6886F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技术资料：指合同产品的设计、开发、安装、测试、验收、技术指导、运行和维护等方面的所有技术文件（包括图纸、各种文字说明、标准等）。</w:t>
      </w:r>
    </w:p>
    <w:p w14:paraId="68C3DD1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1.5</w:t>
      </w:r>
      <w:r>
        <w:rPr>
          <w:rFonts w:hint="eastAsia" w:ascii="宋体" w:hAnsi="宋体" w:eastAsia="宋体" w:cs="宋体"/>
          <w:color w:val="auto"/>
          <w:sz w:val="28"/>
          <w:szCs w:val="28"/>
          <w:highlight w:val="none"/>
          <w:shd w:val="clear" w:color="auto" w:fill="auto"/>
        </w:rPr>
        <w:t>技术服务：指由乙方提供的与本合同产品有关的产品设计、施工安装、验收、技术督导等的全过程的服务。</w:t>
      </w:r>
    </w:p>
    <w:p w14:paraId="6DE99EC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1.6</w:t>
      </w:r>
      <w:r>
        <w:rPr>
          <w:rFonts w:hint="eastAsia" w:ascii="宋体" w:hAnsi="宋体" w:eastAsia="宋体" w:cs="宋体"/>
          <w:color w:val="auto"/>
          <w:sz w:val="28"/>
          <w:szCs w:val="28"/>
          <w:highlight w:val="none"/>
          <w:shd w:val="clear" w:color="auto" w:fill="auto"/>
        </w:rPr>
        <w:t>现场：指甲方使用和安装合同产品所在地。</w:t>
      </w:r>
    </w:p>
    <w:p w14:paraId="094385B4">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1.7</w:t>
      </w:r>
      <w:r>
        <w:rPr>
          <w:rFonts w:hint="eastAsia" w:ascii="宋体" w:hAnsi="宋体" w:eastAsia="宋体" w:cs="宋体"/>
          <w:color w:val="auto"/>
          <w:sz w:val="28"/>
          <w:szCs w:val="28"/>
          <w:highlight w:val="none"/>
          <w:shd w:val="clear" w:color="auto" w:fill="auto"/>
        </w:rPr>
        <w:t>交货：由乙方做出的将所有合同设备的控制转移给甲方的行为。</w:t>
      </w:r>
    </w:p>
    <w:p w14:paraId="4FF61E5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1.8</w:t>
      </w:r>
      <w:r>
        <w:rPr>
          <w:rFonts w:hint="eastAsia" w:ascii="宋体" w:hAnsi="宋体" w:eastAsia="宋体" w:cs="宋体"/>
          <w:color w:val="auto"/>
          <w:sz w:val="28"/>
          <w:szCs w:val="28"/>
          <w:highlight w:val="none"/>
          <w:shd w:val="clear" w:color="auto" w:fill="auto"/>
        </w:rPr>
        <w:t>质保期：指乙方免费修理或更换有缺陷的合同设备或部件，以保证合同产品正常运行的时期。</w:t>
      </w:r>
    </w:p>
    <w:p w14:paraId="02CD52A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1.9</w:t>
      </w:r>
      <w:r>
        <w:rPr>
          <w:rFonts w:hint="eastAsia" w:ascii="宋体" w:hAnsi="宋体" w:eastAsia="宋体" w:cs="宋体"/>
          <w:color w:val="auto"/>
          <w:sz w:val="28"/>
          <w:szCs w:val="28"/>
          <w:highlight w:val="none"/>
          <w:shd w:val="clear" w:color="auto" w:fill="auto"/>
        </w:rPr>
        <w:t>开箱检验：指乙方与甲方共同在甲方施工现场，依据乙方提供的开箱要求和环境要求，按照装箱清单对合同设备进行清点、检验。</w:t>
      </w:r>
    </w:p>
    <w:p w14:paraId="27B53E01">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1.10</w:t>
      </w:r>
      <w:r>
        <w:rPr>
          <w:rFonts w:hint="eastAsia" w:ascii="宋体" w:hAnsi="宋体" w:eastAsia="宋体" w:cs="宋体"/>
          <w:color w:val="auto"/>
          <w:sz w:val="28"/>
          <w:szCs w:val="28"/>
          <w:highlight w:val="none"/>
          <w:shd w:val="clear" w:color="auto" w:fill="auto"/>
        </w:rPr>
        <w:t>初验：指项目涉及的软硬件调试完毕并通过功能测试后或项目交付成果初步完成后，由甲方按照国家、行业及企业有关标准规范、设计文件及合同要求组织进行的验收。</w:t>
      </w:r>
    </w:p>
    <w:p w14:paraId="35EE6E3C">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终验：指项目通过初步验收后，试运行</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，项目涉及的软硬件运行稳定可靠或项目交付成果全部完成，由甲方按照国家、行业及企业有关标准规范、设计文件及合同要求组织进行的验收。</w:t>
      </w:r>
    </w:p>
    <w:p w14:paraId="00596D3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1.12甲方指招标方，乙方指投标方。</w:t>
      </w:r>
    </w:p>
    <w:p w14:paraId="3AD9689A">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7" w:name="_Toc353460835"/>
      <w:bookmarkStart w:id="8" w:name="_Toc291008570"/>
      <w:bookmarkStart w:id="9" w:name="_Toc353466722"/>
      <w:bookmarkStart w:id="10" w:name="_Toc289360765"/>
      <w:r>
        <w:rPr>
          <w:rFonts w:hint="eastAsia" w:ascii="黑体" w:hAnsi="黑体" w:eastAsia="黑体" w:cs="黑体"/>
          <w:color w:val="auto"/>
          <w:kern w:val="0"/>
          <w:sz w:val="28"/>
          <w:szCs w:val="28"/>
          <w:highlight w:val="none"/>
          <w:shd w:val="clear" w:color="auto" w:fill="auto"/>
          <w:lang w:val="zh-CN"/>
        </w:rPr>
        <w:t>2. 合同要求</w:t>
      </w:r>
      <w:bookmarkEnd w:id="7"/>
      <w:bookmarkEnd w:id="8"/>
      <w:bookmarkEnd w:id="9"/>
      <w:bookmarkEnd w:id="10"/>
    </w:p>
    <w:p w14:paraId="27F194A4">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2.1乙方提供的合同项下产品必须是全新的成熟可靠</w:t>
      </w:r>
      <w:r>
        <w:rPr>
          <w:rFonts w:hint="eastAsia" w:ascii="宋体" w:hAnsi="宋体" w:eastAsia="宋体" w:cs="宋体"/>
          <w:bCs/>
          <w:color w:val="auto"/>
          <w:sz w:val="28"/>
          <w:szCs w:val="28"/>
          <w:highlight w:val="none"/>
          <w:shd w:val="clear" w:color="auto" w:fill="auto"/>
          <w:lang w:val="en-US" w:eastAsia="zh-CN"/>
        </w:rPr>
        <w:t>产品</w:t>
      </w:r>
      <w:r>
        <w:rPr>
          <w:rFonts w:hint="eastAsia" w:ascii="宋体" w:hAnsi="宋体" w:eastAsia="宋体" w:cs="宋体"/>
          <w:bCs/>
          <w:color w:val="auto"/>
          <w:sz w:val="28"/>
          <w:szCs w:val="28"/>
          <w:highlight w:val="none"/>
          <w:shd w:val="clear" w:color="auto" w:fill="auto"/>
        </w:rPr>
        <w:t>。</w:t>
      </w:r>
    </w:p>
    <w:p w14:paraId="1A04BC39">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2.2乙方所提供的合同价格包括设备费、正版操作系统软件费、税费、技术资料费、运输保险费、包装费、上门安装调试费、培训费等费用。</w:t>
      </w:r>
    </w:p>
    <w:p w14:paraId="5348753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2.3乙方应提供</w:t>
      </w:r>
      <w:r>
        <w:rPr>
          <w:rFonts w:hint="eastAsia" w:ascii="宋体" w:hAnsi="宋体" w:eastAsia="宋体" w:cs="宋体"/>
          <w:color w:val="FF0000"/>
          <w:sz w:val="28"/>
          <w:szCs w:val="28"/>
          <w:highlight w:val="none"/>
          <w:shd w:val="clear" w:color="auto" w:fill="auto"/>
          <w:lang w:val="en-US" w:eastAsia="zh-CN"/>
        </w:rPr>
        <w:t>3年</w:t>
      </w:r>
      <w:r>
        <w:rPr>
          <w:rFonts w:hint="eastAsia" w:ascii="宋体" w:hAnsi="宋体" w:eastAsia="宋体" w:cs="宋体"/>
          <w:color w:val="auto"/>
          <w:sz w:val="28"/>
          <w:szCs w:val="28"/>
          <w:highlight w:val="none"/>
          <w:shd w:val="clear" w:color="auto" w:fill="auto"/>
          <w:lang w:val="en-US" w:eastAsia="zh-CN"/>
        </w:rPr>
        <w:t>的质保期，质保期自</w:t>
      </w:r>
      <w:r>
        <w:rPr>
          <w:rFonts w:hint="eastAsia" w:ascii="宋体" w:hAnsi="宋体" w:eastAsia="宋体" w:cs="宋体"/>
          <w:color w:val="FF0000"/>
          <w:sz w:val="28"/>
          <w:szCs w:val="28"/>
          <w:highlight w:val="none"/>
          <w:shd w:val="clear" w:color="auto" w:fill="auto"/>
          <w:lang w:val="en-US" w:eastAsia="zh-CN"/>
        </w:rPr>
        <w:t>终验通过日起</w:t>
      </w:r>
      <w:r>
        <w:rPr>
          <w:rFonts w:hint="eastAsia" w:ascii="宋体" w:hAnsi="宋体" w:eastAsia="宋体" w:cs="宋体"/>
          <w:color w:val="auto"/>
          <w:sz w:val="28"/>
          <w:szCs w:val="28"/>
          <w:highlight w:val="none"/>
          <w:shd w:val="clear" w:color="auto" w:fill="auto"/>
          <w:lang w:val="en-US" w:eastAsia="zh-CN"/>
        </w:rPr>
        <w:t>计算。质保期</w:t>
      </w:r>
      <w:r>
        <w:rPr>
          <w:rFonts w:hint="eastAsia" w:ascii="宋体" w:hAnsi="宋体" w:eastAsia="宋体" w:cs="宋体"/>
          <w:color w:val="FF0000"/>
          <w:sz w:val="28"/>
          <w:szCs w:val="28"/>
          <w:highlight w:val="none"/>
          <w:shd w:val="clear" w:color="auto" w:fill="auto"/>
          <w:lang w:val="en-US" w:eastAsia="zh-CN"/>
        </w:rPr>
        <w:t>前3个月为“以换代修”期，</w:t>
      </w:r>
      <w:r>
        <w:rPr>
          <w:rFonts w:hint="eastAsia" w:ascii="宋体" w:hAnsi="宋体" w:eastAsia="宋体" w:cs="宋体"/>
          <w:color w:val="auto"/>
          <w:sz w:val="28"/>
          <w:szCs w:val="28"/>
          <w:highlight w:val="none"/>
          <w:shd w:val="clear" w:color="auto" w:fill="auto"/>
          <w:lang w:val="en-US" w:eastAsia="zh-CN"/>
        </w:rPr>
        <w:t>期间若存在质量问题，乙方免费更新全新产品；</w:t>
      </w:r>
      <w:r>
        <w:rPr>
          <w:rFonts w:hint="eastAsia" w:ascii="宋体" w:hAnsi="宋体" w:eastAsia="宋体" w:cs="宋体"/>
          <w:color w:val="FF0000"/>
          <w:sz w:val="28"/>
          <w:szCs w:val="28"/>
          <w:highlight w:val="none"/>
          <w:shd w:val="clear" w:color="auto" w:fill="auto"/>
          <w:lang w:val="en-US" w:eastAsia="zh-CN"/>
        </w:rPr>
        <w:t>“以换代修”期结束后，</w:t>
      </w:r>
      <w:r>
        <w:rPr>
          <w:rFonts w:hint="eastAsia" w:ascii="宋体" w:hAnsi="宋体" w:eastAsia="宋体" w:cs="宋体"/>
          <w:color w:val="auto"/>
          <w:sz w:val="28"/>
          <w:szCs w:val="28"/>
          <w:highlight w:val="none"/>
          <w:shd w:val="clear" w:color="auto" w:fill="auto"/>
          <w:lang w:val="en-US" w:eastAsia="zh-CN"/>
        </w:rPr>
        <w:t>质保期内乙方免费原厂保修服务以及其他必须的费用等，乙方保证在质保期内免费升级、修理或更换出现故障的合同产品。</w:t>
      </w:r>
    </w:p>
    <w:p w14:paraId="0823DA3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default" w:ascii="宋体" w:hAnsi="宋体" w:eastAsia="宋体" w:cs="宋体"/>
          <w:color w:val="FF0000"/>
          <w:sz w:val="28"/>
          <w:szCs w:val="28"/>
          <w:highlight w:val="none"/>
          <w:shd w:val="clear" w:color="auto" w:fill="auto"/>
          <w:lang w:val="en-US" w:eastAsia="zh-CN"/>
        </w:rPr>
      </w:pPr>
      <w:r>
        <w:rPr>
          <w:rFonts w:hint="eastAsia" w:ascii="宋体" w:hAnsi="宋体" w:eastAsia="宋体" w:cs="宋体"/>
          <w:color w:val="FF0000"/>
          <w:sz w:val="28"/>
          <w:szCs w:val="28"/>
          <w:highlight w:val="none"/>
          <w:shd w:val="clear" w:color="auto" w:fill="auto"/>
          <w:lang w:val="en-US" w:eastAsia="zh-CN"/>
        </w:rPr>
        <w:t>2.4质保期的第1年，乙方免费提供操作系统软件原厂技术支持服务。</w:t>
      </w:r>
    </w:p>
    <w:p w14:paraId="25A1AF14">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 合同价款与支付</w:t>
      </w:r>
    </w:p>
    <w:p w14:paraId="2F7E8924">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宋体" w:hAnsi="宋体" w:eastAsia="宋体" w:cs="宋体"/>
          <w:b w:val="0"/>
          <w:bCs w:val="0"/>
          <w:color w:val="auto"/>
          <w:kern w:val="2"/>
          <w:sz w:val="28"/>
          <w:szCs w:val="28"/>
          <w:highlight w:val="none"/>
          <w:u w:val="none"/>
          <w:shd w:val="clear" w:color="auto" w:fill="auto"/>
          <w:lang w:val="en-US" w:eastAsia="zh-CN" w:bidi="ar-SA"/>
        </w:rPr>
      </w:pPr>
      <w:r>
        <w:rPr>
          <w:rFonts w:hint="eastAsia" w:ascii="宋体" w:hAnsi="宋体" w:eastAsia="宋体" w:cs="宋体"/>
          <w:b w:val="0"/>
          <w:bCs w:val="0"/>
          <w:color w:val="auto"/>
          <w:kern w:val="2"/>
          <w:sz w:val="28"/>
          <w:szCs w:val="28"/>
          <w:highlight w:val="none"/>
          <w:u w:val="none"/>
          <w:shd w:val="clear" w:color="auto" w:fill="auto"/>
          <w:lang w:val="en-US" w:eastAsia="zh-CN" w:bidi="ar-SA"/>
        </w:rPr>
        <w:t>本采购为先货后款的模式，合同价款在同时满足以下条件后</w:t>
      </w:r>
      <w:r>
        <w:rPr>
          <w:rFonts w:hint="eastAsia" w:ascii="宋体" w:hAnsi="宋体" w:eastAsia="宋体" w:cs="宋体"/>
          <w:b w:val="0"/>
          <w:bCs w:val="0"/>
          <w:color w:val="FF0000"/>
          <w:kern w:val="2"/>
          <w:sz w:val="28"/>
          <w:szCs w:val="28"/>
          <w:highlight w:val="none"/>
          <w:u w:val="none"/>
          <w:shd w:val="clear" w:color="auto" w:fill="auto"/>
          <w:lang w:val="en-US" w:eastAsia="zh-CN" w:bidi="ar-SA"/>
        </w:rPr>
        <w:t>30日</w:t>
      </w:r>
      <w:r>
        <w:rPr>
          <w:rFonts w:hint="eastAsia" w:ascii="宋体" w:hAnsi="宋体" w:eastAsia="宋体" w:cs="宋体"/>
          <w:b w:val="0"/>
          <w:bCs w:val="0"/>
          <w:color w:val="auto"/>
          <w:kern w:val="2"/>
          <w:sz w:val="28"/>
          <w:szCs w:val="28"/>
          <w:highlight w:val="none"/>
          <w:u w:val="none"/>
          <w:shd w:val="clear" w:color="auto" w:fill="auto"/>
          <w:lang w:val="en-US" w:eastAsia="zh-CN" w:bidi="ar-SA"/>
        </w:rPr>
        <w:t>内一次性支付：</w:t>
      </w:r>
    </w:p>
    <w:p w14:paraId="0E0AE67E">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宋体" w:hAnsi="宋体" w:eastAsia="宋体" w:cs="宋体"/>
          <w:b w:val="0"/>
          <w:bCs w:val="0"/>
          <w:color w:val="auto"/>
          <w:kern w:val="2"/>
          <w:sz w:val="28"/>
          <w:szCs w:val="28"/>
          <w:highlight w:val="none"/>
          <w:u w:val="none"/>
          <w:shd w:val="clear" w:color="auto" w:fill="auto"/>
          <w:lang w:val="en-US" w:eastAsia="zh-CN" w:bidi="ar-SA"/>
        </w:rPr>
      </w:pPr>
      <w:r>
        <w:rPr>
          <w:rFonts w:hint="eastAsia" w:ascii="宋体" w:hAnsi="宋体" w:eastAsia="宋体" w:cs="宋体"/>
          <w:b w:val="0"/>
          <w:bCs w:val="0"/>
          <w:color w:val="auto"/>
          <w:kern w:val="2"/>
          <w:sz w:val="28"/>
          <w:szCs w:val="28"/>
          <w:highlight w:val="none"/>
          <w:u w:val="none"/>
          <w:shd w:val="clear" w:color="auto" w:fill="auto"/>
          <w:lang w:val="en-US" w:eastAsia="zh-CN" w:bidi="ar-SA"/>
        </w:rPr>
        <w:t>3.1甲方完成终验。</w:t>
      </w:r>
    </w:p>
    <w:p w14:paraId="05231E62">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lang w:val="en-US" w:eastAsia="zh-CN"/>
        </w:rPr>
      </w:pPr>
      <w:r>
        <w:rPr>
          <w:rFonts w:hint="eastAsia" w:ascii="宋体" w:hAnsi="宋体" w:eastAsia="宋体" w:cs="宋体"/>
          <w:b w:val="0"/>
          <w:bCs w:val="0"/>
          <w:color w:val="auto"/>
          <w:kern w:val="2"/>
          <w:sz w:val="28"/>
          <w:szCs w:val="28"/>
          <w:highlight w:val="none"/>
          <w:u w:val="none"/>
          <w:shd w:val="clear" w:color="auto" w:fill="auto"/>
          <w:lang w:val="en-US" w:eastAsia="zh-CN" w:bidi="ar-SA"/>
        </w:rPr>
        <w:t>3.2乙方提供符合甲方要求的增值税发票。</w:t>
      </w:r>
    </w:p>
    <w:p w14:paraId="00805DBD">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11" w:name="_Toc289360768"/>
      <w:bookmarkStart w:id="12" w:name="_Toc353460838"/>
      <w:bookmarkStart w:id="13" w:name="_Toc291008573"/>
      <w:bookmarkStart w:id="14" w:name="_Toc353466725"/>
      <w:r>
        <w:rPr>
          <w:rFonts w:hint="eastAsia" w:ascii="黑体" w:hAnsi="黑体" w:eastAsia="黑体" w:cs="黑体"/>
          <w:color w:val="auto"/>
          <w:kern w:val="0"/>
          <w:sz w:val="28"/>
          <w:szCs w:val="28"/>
          <w:highlight w:val="none"/>
          <w:shd w:val="clear" w:color="auto" w:fill="auto"/>
          <w:lang w:val="en-US" w:eastAsia="zh-CN"/>
        </w:rPr>
        <w:t>4</w:t>
      </w:r>
      <w:r>
        <w:rPr>
          <w:rFonts w:hint="eastAsia" w:ascii="黑体" w:hAnsi="黑体" w:eastAsia="黑体" w:cs="黑体"/>
          <w:color w:val="auto"/>
          <w:kern w:val="0"/>
          <w:sz w:val="28"/>
          <w:szCs w:val="28"/>
          <w:highlight w:val="none"/>
          <w:shd w:val="clear" w:color="auto" w:fill="auto"/>
          <w:lang w:val="zh-CN"/>
        </w:rPr>
        <w:t>. 进度要求</w:t>
      </w:r>
      <w:bookmarkEnd w:id="11"/>
      <w:bookmarkEnd w:id="12"/>
      <w:bookmarkEnd w:id="13"/>
      <w:bookmarkEnd w:id="14"/>
    </w:p>
    <w:p w14:paraId="4FBBA760">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.1 乙方必须于中标通知书发出后</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内将全部合同设备和软件送货至甲方指定地点。</w:t>
      </w:r>
    </w:p>
    <w:p w14:paraId="1EF6A3AB">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 xml:space="preserve"> 乙方应在到货前一天通知甲方准备进行开箱验收。乙方送货人员应与甲方接货人员共同进行货物交接检查，双方人员确认设备型号及数量无误后，在材料交接清单上签字确认。该验收是对乙方提交货物的数量进行验收而非对其质量进行验收，质量的验收需待乙方安装调试完毕后进行。</w:t>
      </w:r>
    </w:p>
    <w:p w14:paraId="2CA633F4">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15" w:name="_Toc353466726"/>
      <w:bookmarkStart w:id="16" w:name="_Toc353460839"/>
      <w:bookmarkStart w:id="17" w:name="_Toc289360769"/>
      <w:bookmarkStart w:id="18" w:name="_Toc291008574"/>
      <w:r>
        <w:rPr>
          <w:rFonts w:hint="eastAsia" w:ascii="黑体" w:hAnsi="黑体" w:eastAsia="黑体" w:cs="黑体"/>
          <w:color w:val="auto"/>
          <w:kern w:val="0"/>
          <w:sz w:val="28"/>
          <w:szCs w:val="28"/>
          <w:highlight w:val="none"/>
          <w:shd w:val="clear" w:color="auto" w:fill="auto"/>
          <w:lang w:val="en-US" w:eastAsia="zh-CN"/>
        </w:rPr>
        <w:t>5</w:t>
      </w:r>
      <w:r>
        <w:rPr>
          <w:rFonts w:hint="eastAsia" w:ascii="黑体" w:hAnsi="黑体" w:eastAsia="黑体" w:cs="黑体"/>
          <w:color w:val="auto"/>
          <w:kern w:val="0"/>
          <w:sz w:val="28"/>
          <w:szCs w:val="28"/>
          <w:highlight w:val="none"/>
          <w:shd w:val="clear" w:color="auto" w:fill="auto"/>
          <w:lang w:val="zh-CN"/>
        </w:rPr>
        <w:t>. 双方责任</w:t>
      </w:r>
      <w:bookmarkEnd w:id="15"/>
      <w:bookmarkEnd w:id="16"/>
      <w:bookmarkEnd w:id="17"/>
      <w:bookmarkEnd w:id="18"/>
    </w:p>
    <w:p w14:paraId="642B8B54">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如在项目中采用了第三方软件，乙方应保证使用正版，乙方保证甲方使用其提供的硬件及软件不侵害任何第三方的合法权益，并可以长期使用而无需再支付任何费用。</w:t>
      </w:r>
    </w:p>
    <w:p w14:paraId="57C2BC64">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乙方有义务安排足够的人力物力，保证</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按照进度安排顺利实施。如果因为乙方原因导致</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建设延误的，乙方应承担相应的责任；如果因为甲方原因造成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建设延误的，实施计划进度顺延。</w:t>
      </w:r>
    </w:p>
    <w:p w14:paraId="623AD66B">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19" w:name="_Toc289360770"/>
      <w:bookmarkStart w:id="20" w:name="_Toc353460840"/>
      <w:bookmarkStart w:id="21" w:name="_Toc353466727"/>
      <w:bookmarkStart w:id="22" w:name="_Toc291008575"/>
      <w:r>
        <w:rPr>
          <w:rFonts w:hint="eastAsia" w:ascii="黑体" w:hAnsi="黑体" w:eastAsia="黑体" w:cs="黑体"/>
          <w:color w:val="auto"/>
          <w:kern w:val="0"/>
          <w:sz w:val="28"/>
          <w:szCs w:val="28"/>
          <w:highlight w:val="none"/>
          <w:shd w:val="clear" w:color="auto" w:fill="auto"/>
          <w:lang w:val="en-US" w:eastAsia="zh-CN"/>
        </w:rPr>
        <w:t>6</w:t>
      </w:r>
      <w:r>
        <w:rPr>
          <w:rFonts w:hint="eastAsia" w:ascii="黑体" w:hAnsi="黑体" w:eastAsia="黑体" w:cs="黑体"/>
          <w:color w:val="auto"/>
          <w:kern w:val="0"/>
          <w:sz w:val="28"/>
          <w:szCs w:val="28"/>
          <w:highlight w:val="none"/>
          <w:shd w:val="clear" w:color="auto" w:fill="auto"/>
          <w:lang w:val="zh-CN"/>
        </w:rPr>
        <w:t>. 验收标准和方式</w:t>
      </w:r>
      <w:bookmarkEnd w:id="19"/>
      <w:bookmarkEnd w:id="20"/>
      <w:bookmarkEnd w:id="21"/>
      <w:bookmarkEnd w:id="22"/>
    </w:p>
    <w:p w14:paraId="10B47ECB">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乙方</w:t>
      </w:r>
      <w:r>
        <w:rPr>
          <w:rFonts w:hint="eastAsia" w:ascii="宋体" w:hAnsi="宋体" w:eastAsia="宋体" w:cs="宋体"/>
          <w:color w:val="auto"/>
          <w:sz w:val="28"/>
          <w:szCs w:val="28"/>
          <w:highlight w:val="none"/>
          <w:shd w:val="clear" w:color="auto" w:fill="auto"/>
          <w:lang w:val="en-US" w:eastAsia="zh-CN"/>
        </w:rPr>
        <w:t>应在</w:t>
      </w:r>
      <w:r>
        <w:rPr>
          <w:rFonts w:hint="eastAsia" w:ascii="宋体" w:hAnsi="宋体" w:eastAsia="宋体" w:cs="宋体"/>
          <w:color w:val="auto"/>
          <w:sz w:val="28"/>
          <w:szCs w:val="28"/>
          <w:highlight w:val="none"/>
          <w:shd w:val="clear" w:color="auto" w:fill="auto"/>
        </w:rPr>
        <w:t>开箱验收后</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完成</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安装、调试、实施并达到初验要求，甲乙双方组织进行初验，如</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通过初验，双方应签署初验合格证明书；若不能通过初验，乙方在</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内完成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的相关完善工作，由甲方再次组织初验。若两次初验均未通过，甲方有权选择解除或继续履行合同，乙方根据本合同</w:t>
      </w:r>
      <w:r>
        <w:rPr>
          <w:rFonts w:hint="eastAsia" w:ascii="宋体" w:hAnsi="宋体" w:eastAsia="宋体" w:cs="宋体"/>
          <w:color w:val="auto"/>
          <w:sz w:val="28"/>
          <w:szCs w:val="28"/>
          <w:highlight w:val="none"/>
          <w:shd w:val="clear" w:color="auto" w:fill="auto"/>
          <w:lang w:val="en-US" w:eastAsia="zh-CN"/>
        </w:rPr>
        <w:t>约定承担相应</w:t>
      </w:r>
      <w:r>
        <w:rPr>
          <w:rFonts w:hint="eastAsia" w:ascii="宋体" w:hAnsi="宋体" w:eastAsia="宋体" w:cs="宋体"/>
          <w:color w:val="auto"/>
          <w:sz w:val="28"/>
          <w:szCs w:val="28"/>
          <w:highlight w:val="none"/>
          <w:shd w:val="clear" w:color="auto" w:fill="auto"/>
        </w:rPr>
        <w:t>的违约责任。</w:t>
      </w:r>
    </w:p>
    <w:p w14:paraId="51BC95DA">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初验</w:t>
      </w:r>
      <w:r>
        <w:rPr>
          <w:rFonts w:hint="eastAsia" w:ascii="宋体" w:hAnsi="宋体" w:eastAsia="宋体" w:cs="宋体"/>
          <w:color w:val="auto"/>
          <w:sz w:val="28"/>
          <w:szCs w:val="28"/>
          <w:highlight w:val="none"/>
          <w:shd w:val="clear" w:color="auto" w:fill="auto"/>
          <w:lang w:val="en-US" w:eastAsia="zh-CN"/>
        </w:rPr>
        <w:t>通过后，乙方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试运行期，</w:t>
      </w:r>
      <w:r>
        <w:rPr>
          <w:rFonts w:hint="eastAsia" w:ascii="宋体" w:hAnsi="宋体" w:eastAsia="宋体" w:cs="宋体"/>
          <w:color w:val="auto"/>
          <w:sz w:val="28"/>
          <w:szCs w:val="28"/>
          <w:highlight w:val="none"/>
          <w:shd w:val="clear" w:color="auto" w:fill="auto"/>
          <w:lang w:val="en-US" w:eastAsia="zh-CN"/>
        </w:rPr>
        <w:t>试运行期间</w:t>
      </w:r>
      <w:r>
        <w:rPr>
          <w:rFonts w:hint="eastAsia" w:ascii="宋体" w:hAnsi="宋体" w:eastAsia="宋体" w:cs="宋体"/>
          <w:color w:val="auto"/>
          <w:sz w:val="28"/>
          <w:szCs w:val="28"/>
          <w:highlight w:val="none"/>
          <w:shd w:val="clear" w:color="auto" w:fill="auto"/>
        </w:rPr>
        <w:t>甲方未提出异议的，视为通过终验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双方应签署终验合格证明书，</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正式交付甲方并转入质保期。若不能通过终验，乙方在</w:t>
      </w:r>
      <w:r>
        <w:rPr>
          <w:rFonts w:hint="eastAsia" w:ascii="宋体" w:hAnsi="宋体" w:eastAsia="宋体" w:cs="宋体"/>
          <w:color w:val="FF0000"/>
          <w:sz w:val="28"/>
          <w:szCs w:val="28"/>
          <w:highlight w:val="none"/>
          <w:shd w:val="clear" w:color="auto" w:fill="auto"/>
        </w:rPr>
        <w:t>7日</w:t>
      </w:r>
      <w:r>
        <w:rPr>
          <w:rFonts w:hint="eastAsia" w:ascii="宋体" w:hAnsi="宋体" w:eastAsia="宋体" w:cs="宋体"/>
          <w:color w:val="auto"/>
          <w:sz w:val="28"/>
          <w:szCs w:val="28"/>
          <w:highlight w:val="none"/>
          <w:shd w:val="clear" w:color="auto" w:fill="auto"/>
        </w:rPr>
        <w:t>内完成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的相关完善工作，由甲方再次组织终验。若两次终验均未通过，甲方有权选择解除或继续履行合同，乙方根据本合同承担相应的违约责任。</w:t>
      </w:r>
    </w:p>
    <w:p w14:paraId="1DA9A4F5">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7. 延期交货</w:t>
      </w:r>
    </w:p>
    <w:p w14:paraId="0BA29812">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7.1由于乙方原因未能按合同规定的交货期交货及安装调试时，（不可抗力除外），甲方有权按以下约定向乙方收取违约金及追究乙方其他违约责任：</w:t>
      </w:r>
    </w:p>
    <w:p w14:paraId="7121B248">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迟交1～4周，每周支付迟交产品价的</w:t>
      </w:r>
      <w:r>
        <w:rPr>
          <w:rFonts w:hint="eastAsia" w:ascii="宋体" w:hAnsi="宋体" w:eastAsia="宋体" w:cs="宋体"/>
          <w:color w:val="FF0000"/>
          <w:sz w:val="28"/>
          <w:szCs w:val="28"/>
          <w:highlight w:val="none"/>
          <w:shd w:val="clear" w:color="auto" w:fill="auto"/>
        </w:rPr>
        <w:t>1%</w:t>
      </w:r>
      <w:r>
        <w:rPr>
          <w:rFonts w:hint="eastAsia" w:ascii="宋体" w:hAnsi="宋体" w:eastAsia="宋体" w:cs="宋体"/>
          <w:color w:val="auto"/>
          <w:sz w:val="28"/>
          <w:szCs w:val="28"/>
          <w:highlight w:val="none"/>
          <w:shd w:val="clear" w:color="auto" w:fill="auto"/>
        </w:rPr>
        <w:t>；</w:t>
      </w:r>
    </w:p>
    <w:p w14:paraId="4B135EB9">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迟交5～8周，每周支付迟交产品价的</w:t>
      </w:r>
      <w:r>
        <w:rPr>
          <w:rFonts w:hint="eastAsia" w:ascii="宋体" w:hAnsi="宋体" w:eastAsia="宋体" w:cs="宋体"/>
          <w:color w:val="FF0000"/>
          <w:sz w:val="28"/>
          <w:szCs w:val="28"/>
          <w:highlight w:val="none"/>
          <w:shd w:val="clear" w:color="auto" w:fill="auto"/>
        </w:rPr>
        <w:t>3%</w:t>
      </w:r>
      <w:r>
        <w:rPr>
          <w:rFonts w:hint="eastAsia" w:ascii="宋体" w:hAnsi="宋体" w:eastAsia="宋体" w:cs="宋体"/>
          <w:color w:val="auto"/>
          <w:sz w:val="28"/>
          <w:szCs w:val="28"/>
          <w:highlight w:val="none"/>
          <w:shd w:val="clear" w:color="auto" w:fill="auto"/>
        </w:rPr>
        <w:t>；</w:t>
      </w:r>
    </w:p>
    <w:p w14:paraId="67653CF1">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迟交9周以上，每周支付迟交产品价的</w:t>
      </w:r>
      <w:r>
        <w:rPr>
          <w:rFonts w:hint="eastAsia" w:ascii="宋体" w:hAnsi="宋体" w:eastAsia="宋体" w:cs="宋体"/>
          <w:color w:val="FF0000"/>
          <w:sz w:val="28"/>
          <w:szCs w:val="28"/>
          <w:highlight w:val="none"/>
          <w:shd w:val="clear" w:color="auto" w:fill="auto"/>
        </w:rPr>
        <w:t>5%</w:t>
      </w:r>
      <w:r>
        <w:rPr>
          <w:rFonts w:hint="eastAsia" w:ascii="宋体" w:hAnsi="宋体" w:eastAsia="宋体" w:cs="宋体"/>
          <w:color w:val="auto"/>
          <w:sz w:val="28"/>
          <w:szCs w:val="28"/>
          <w:highlight w:val="none"/>
          <w:shd w:val="clear" w:color="auto" w:fill="auto"/>
        </w:rPr>
        <w:t>；</w:t>
      </w:r>
    </w:p>
    <w:p w14:paraId="2228EE3D">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不满一周按一周计算</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向上取整</w:t>
      </w:r>
      <w:r>
        <w:rPr>
          <w:rFonts w:hint="eastAsia" w:ascii="宋体" w:hAnsi="宋体" w:eastAsia="宋体" w:cs="宋体"/>
          <w:color w:val="auto"/>
          <w:sz w:val="28"/>
          <w:szCs w:val="28"/>
          <w:highlight w:val="none"/>
          <w:shd w:val="clear" w:color="auto" w:fill="auto"/>
        </w:rPr>
        <w:t>。</w:t>
      </w:r>
    </w:p>
    <w:p w14:paraId="03C275EE">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pPr>
      <w:r>
        <w:rPr>
          <w:rFonts w:hint="eastAsia" w:ascii="宋体" w:hAnsi="宋体" w:eastAsia="宋体" w:cs="宋体"/>
          <w:color w:val="auto"/>
          <w:sz w:val="28"/>
          <w:szCs w:val="28"/>
          <w:highlight w:val="none"/>
          <w:shd w:val="clear" w:color="auto" w:fill="auto"/>
          <w:lang w:val="en-US" w:eastAsia="zh-CN"/>
        </w:rPr>
        <w:t>7.2</w:t>
      </w:r>
      <w:r>
        <w:rPr>
          <w:rFonts w:hint="eastAsia" w:ascii="宋体" w:hAnsi="宋体" w:eastAsia="宋体" w:cs="宋体"/>
          <w:color w:val="auto"/>
          <w:sz w:val="28"/>
          <w:szCs w:val="28"/>
          <w:highlight w:val="none"/>
          <w:shd w:val="clear" w:color="auto" w:fill="auto"/>
        </w:rPr>
        <w:t>乙方逾期交货或逾期安装调试超过两个月时，则视为乙方严重违约，甲方有权终止全部或部分合同。甲方终止全部合同时，乙方应按甲方要求退还甲方已支付的合同款项，并赔偿甲方因此而产生的损失；甲方终止部分合同时，乙方应按甲方要求退还甲方已支付的与被解除部分合同对应的合同款项，并赔偿甲方因此而产生的损失。</w:t>
      </w:r>
      <w:bookmarkStart w:id="23" w:name="_Toc353460844"/>
      <w:bookmarkStart w:id="24" w:name="_Toc289360774"/>
      <w:bookmarkStart w:id="25" w:name="_Toc291008579"/>
      <w:bookmarkStart w:id="26" w:name="_Toc353466731"/>
    </w:p>
    <w:bookmarkEnd w:id="23"/>
    <w:bookmarkEnd w:id="24"/>
    <w:bookmarkEnd w:id="25"/>
    <w:bookmarkEnd w:id="26"/>
    <w:p w14:paraId="0C720178">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27" w:name="_Toc353466733"/>
      <w:bookmarkStart w:id="28" w:name="_Toc291008581"/>
      <w:bookmarkStart w:id="29" w:name="_Toc353460846"/>
      <w:bookmarkStart w:id="30" w:name="_Toc289360776"/>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rPr>
        <w:t>.不可抗力</w:t>
      </w:r>
      <w:bookmarkEnd w:id="27"/>
      <w:bookmarkEnd w:id="28"/>
      <w:bookmarkEnd w:id="29"/>
      <w:bookmarkEnd w:id="30"/>
    </w:p>
    <w:p w14:paraId="5B3C5E40">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bookmarkStart w:id="31" w:name="_Toc289360777"/>
      <w:bookmarkStart w:id="32" w:name="_Toc291008582"/>
      <w:bookmarkStart w:id="33" w:name="_Toc353466734"/>
      <w:bookmarkStart w:id="34" w:name="_Toc353460847"/>
      <w:r>
        <w:rPr>
          <w:rFonts w:hint="eastAsia" w:asciiTheme="minorEastAsia" w:hAnsiTheme="minorEastAsia" w:cstheme="minorEastAsia"/>
          <w:b w:val="0"/>
          <w:bCs/>
          <w:color w:val="auto"/>
          <w:sz w:val="28"/>
          <w:szCs w:val="28"/>
          <w:highlight w:val="none"/>
          <w:shd w:val="clear" w:color="auto" w:fill="auto"/>
          <w:lang w:val="en-US" w:eastAsia="zh-CN"/>
        </w:rPr>
        <w:t>8</w:t>
      </w:r>
      <w:r>
        <w:rPr>
          <w:rFonts w:asciiTheme="minorEastAsia" w:hAnsiTheme="minorEastAsia" w:cstheme="minorEastAsia"/>
          <w:b w:val="0"/>
          <w:bCs/>
          <w:color w:val="auto"/>
          <w:sz w:val="28"/>
          <w:szCs w:val="28"/>
          <w:highlight w:val="none"/>
          <w:shd w:val="clear" w:color="auto" w:fill="auto"/>
        </w:rPr>
        <w:t>.1</w:t>
      </w:r>
      <w:r>
        <w:rPr>
          <w:rFonts w:hint="eastAsia" w:asciiTheme="minorEastAsia" w:hAnsiTheme="minorEastAsia" w:cstheme="minorEastAsia"/>
          <w:color w:val="auto"/>
          <w:sz w:val="28"/>
          <w:szCs w:val="28"/>
          <w:highlight w:val="none"/>
          <w:shd w:val="clear" w:color="auto" w:fill="auto"/>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382B50B8">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r>
        <w:rPr>
          <w:rFonts w:hint="eastAsia" w:asciiTheme="minorEastAsia" w:hAnsiTheme="minorEastAsia" w:cstheme="minorEastAsia"/>
          <w:b w:val="0"/>
          <w:bCs/>
          <w:color w:val="auto"/>
          <w:sz w:val="28"/>
          <w:szCs w:val="28"/>
          <w:highlight w:val="none"/>
          <w:shd w:val="clear" w:color="auto" w:fill="auto"/>
          <w:lang w:val="en-US" w:eastAsia="zh-CN"/>
        </w:rPr>
        <w:t>8</w:t>
      </w:r>
      <w:r>
        <w:rPr>
          <w:rFonts w:asciiTheme="minorEastAsia" w:hAnsiTheme="minorEastAsia" w:cstheme="minorEastAsia"/>
          <w:b w:val="0"/>
          <w:bCs/>
          <w:color w:val="auto"/>
          <w:sz w:val="28"/>
          <w:szCs w:val="28"/>
          <w:highlight w:val="none"/>
          <w:shd w:val="clear" w:color="auto" w:fill="auto"/>
        </w:rPr>
        <w:t>.</w:t>
      </w:r>
      <w:r>
        <w:rPr>
          <w:rFonts w:hint="eastAsia" w:asciiTheme="minorEastAsia" w:hAnsiTheme="minorEastAsia" w:cstheme="minorEastAsia"/>
          <w:b w:val="0"/>
          <w:bCs/>
          <w:color w:val="auto"/>
          <w:sz w:val="28"/>
          <w:szCs w:val="28"/>
          <w:highlight w:val="none"/>
          <w:shd w:val="clear" w:color="auto" w:fill="auto"/>
          <w:lang w:val="en-US" w:eastAsia="zh-CN"/>
        </w:rPr>
        <w:t>2</w:t>
      </w:r>
      <w:r>
        <w:rPr>
          <w:rFonts w:hint="eastAsia" w:asciiTheme="minorEastAsia" w:hAnsiTheme="minorEastAsia" w:cstheme="minorEastAsia"/>
          <w:color w:val="auto"/>
          <w:sz w:val="28"/>
          <w:szCs w:val="28"/>
          <w:highlight w:val="none"/>
          <w:shd w:val="clear" w:color="auto" w:fill="auto"/>
        </w:rPr>
        <w:t>受不可抗力影响的一方应尽最大努力履行合同并减少因不可抗力给对方造成的损失。如因其未尽最大努力而给对方造成损失的，应承担相应赔偿责任。</w:t>
      </w:r>
    </w:p>
    <w:p w14:paraId="2E09CE94">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r>
        <w:rPr>
          <w:rFonts w:hint="eastAsia" w:asciiTheme="minorEastAsia" w:hAnsiTheme="minorEastAsia" w:cstheme="minorEastAsia"/>
          <w:b w:val="0"/>
          <w:bCs/>
          <w:color w:val="auto"/>
          <w:sz w:val="28"/>
          <w:szCs w:val="28"/>
          <w:highlight w:val="none"/>
          <w:shd w:val="clear" w:color="auto" w:fill="auto"/>
          <w:lang w:val="en-US" w:eastAsia="zh-CN"/>
        </w:rPr>
        <w:t>8</w:t>
      </w:r>
      <w:r>
        <w:rPr>
          <w:rFonts w:asciiTheme="minorEastAsia" w:hAnsiTheme="minorEastAsia" w:cstheme="minorEastAsia"/>
          <w:b w:val="0"/>
          <w:bCs/>
          <w:color w:val="auto"/>
          <w:sz w:val="28"/>
          <w:szCs w:val="28"/>
          <w:highlight w:val="none"/>
          <w:shd w:val="clear" w:color="auto" w:fill="auto"/>
        </w:rPr>
        <w:t>.</w:t>
      </w:r>
      <w:r>
        <w:rPr>
          <w:rFonts w:hint="eastAsia" w:asciiTheme="minorEastAsia" w:hAnsiTheme="minorEastAsia" w:cstheme="minorEastAsia"/>
          <w:b w:val="0"/>
          <w:bCs/>
          <w:color w:val="auto"/>
          <w:sz w:val="28"/>
          <w:szCs w:val="28"/>
          <w:highlight w:val="none"/>
          <w:shd w:val="clear" w:color="auto" w:fill="auto"/>
          <w:lang w:val="en-US" w:eastAsia="zh-CN"/>
        </w:rPr>
        <w:t>3</w:t>
      </w:r>
      <w:r>
        <w:rPr>
          <w:rFonts w:hint="eastAsia" w:asciiTheme="minorEastAsia" w:hAnsiTheme="minorEastAsia" w:cstheme="minorEastAsia"/>
          <w:color w:val="auto"/>
          <w:sz w:val="28"/>
          <w:szCs w:val="28"/>
          <w:highlight w:val="none"/>
          <w:shd w:val="clear" w:color="auto" w:fill="auto"/>
        </w:rPr>
        <w:t>如果发生影响本合同履行的不可抗力事件，则双方应及时协商制定并实施补救计划和合理的替代措施，减少或消除不可抗力事件的影响。</w:t>
      </w:r>
    </w:p>
    <w:p w14:paraId="2B666D33">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2"/>
          <w:sz w:val="28"/>
          <w:szCs w:val="28"/>
          <w:highlight w:val="none"/>
          <w:shd w:val="clear" w:color="auto" w:fill="auto"/>
          <w:lang w:bidi="ar-SA"/>
        </w:rPr>
        <w:sectPr>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cstheme="minorEastAsia"/>
          <w:b w:val="0"/>
          <w:color w:val="auto"/>
          <w:kern w:val="2"/>
          <w:sz w:val="28"/>
          <w:szCs w:val="28"/>
          <w:highlight w:val="none"/>
          <w:shd w:val="clear" w:color="auto" w:fill="auto"/>
          <w:lang w:val="en-US" w:eastAsia="zh-CN"/>
        </w:rPr>
        <w:t>8.4</w:t>
      </w:r>
      <w:r>
        <w:rPr>
          <w:rFonts w:hint="eastAsia" w:asciiTheme="minorEastAsia" w:hAnsiTheme="minorEastAsia" w:eastAsiaTheme="minorEastAsia" w:cstheme="minorEastAsia"/>
          <w:color w:val="auto"/>
          <w:kern w:val="2"/>
          <w:sz w:val="28"/>
          <w:szCs w:val="28"/>
          <w:highlight w:val="none"/>
          <w:shd w:val="clear" w:color="auto" w:fill="auto"/>
          <w:lang w:bidi="ar-SA"/>
        </w:rPr>
        <w:t>不可抗力影响合同履行超过</w:t>
      </w:r>
      <w:r>
        <w:rPr>
          <w:rFonts w:hint="eastAsia" w:asciiTheme="minorEastAsia" w:hAnsiTheme="minorEastAsia" w:cstheme="minorEastAsia"/>
          <w:color w:val="FF0000"/>
          <w:sz w:val="28"/>
          <w:szCs w:val="28"/>
          <w:highlight w:val="none"/>
          <w:shd w:val="clear" w:color="auto" w:fill="auto"/>
          <w:lang w:val="en-US" w:eastAsia="zh-CN"/>
        </w:rPr>
        <w:t>7</w:t>
      </w:r>
      <w:r>
        <w:rPr>
          <w:rFonts w:hint="eastAsia" w:asciiTheme="minorEastAsia" w:hAnsiTheme="minorEastAsia" w:eastAsiaTheme="minorEastAsia" w:cstheme="minorEastAsia"/>
          <w:color w:val="FF0000"/>
          <w:kern w:val="2"/>
          <w:sz w:val="28"/>
          <w:szCs w:val="28"/>
          <w:highlight w:val="none"/>
          <w:shd w:val="clear" w:color="auto" w:fill="auto"/>
          <w:lang w:bidi="ar-SA"/>
        </w:rPr>
        <w:t>日</w:t>
      </w:r>
      <w:r>
        <w:rPr>
          <w:rFonts w:hint="eastAsia" w:asciiTheme="minorEastAsia" w:hAnsiTheme="minorEastAsia" w:eastAsiaTheme="minorEastAsia" w:cstheme="minorEastAsia"/>
          <w:color w:val="auto"/>
          <w:kern w:val="2"/>
          <w:sz w:val="28"/>
          <w:szCs w:val="28"/>
          <w:highlight w:val="none"/>
          <w:shd w:val="clear" w:color="auto" w:fill="auto"/>
          <w:lang w:bidi="ar-SA"/>
        </w:rPr>
        <w:t>的，双方均有权解除合同，由此产生的损失由双方各自承担。</w:t>
      </w:r>
      <w:bookmarkEnd w:id="31"/>
      <w:bookmarkEnd w:id="32"/>
      <w:bookmarkEnd w:id="33"/>
      <w:bookmarkEnd w:id="34"/>
    </w:p>
    <w:p w14:paraId="01917E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sz w:val="24"/>
        </w:rPr>
      </w:pPr>
      <w:r>
        <w:rPr>
          <w:rFonts w:hint="eastAsia" w:ascii="宋体" w:hAnsi="宋体" w:eastAsia="宋体" w:cs="宋体"/>
          <w:b/>
          <w:bCs w:val="0"/>
          <w:sz w:val="48"/>
          <w:szCs w:val="48"/>
          <w:lang w:val="en-US" w:eastAsia="zh-CN"/>
        </w:rPr>
        <w:t>第三部分：技术规范书</w:t>
      </w:r>
    </w:p>
    <w:p w14:paraId="4BAF2E6E">
      <w:pPr>
        <w:pStyle w:val="4"/>
        <w:bidi w:val="0"/>
        <w:rPr>
          <w:rFonts w:hint="default"/>
          <w:lang w:val="en-US"/>
        </w:rPr>
      </w:pPr>
      <w:r>
        <w:rPr>
          <w:rFonts w:hint="eastAsia"/>
          <w:lang w:val="en-US" w:eastAsia="zh-CN"/>
        </w:rPr>
        <w:t>1技术参数</w:t>
      </w:r>
    </w:p>
    <w:p w14:paraId="552C60A1">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★1.1CPU：</w:t>
      </w:r>
    </w:p>
    <w:p w14:paraId="6A7263FF">
      <w:pPr>
        <w:spacing w:line="540" w:lineRule="exact"/>
        <w:ind w:firstLine="560" w:firstLineChars="200"/>
        <w:jc w:val="left"/>
        <w:rPr>
          <w:rFonts w:hint="default"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鲲鹏 920 ARM，64核。</w:t>
      </w:r>
    </w:p>
    <w:p w14:paraId="2A4E068F">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★1.2操作系统：</w:t>
      </w:r>
    </w:p>
    <w:p w14:paraId="59B1EF0C">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麒麟V10 SP3，投标方应保证使用正版操作系统，并可以长期使用而无需再支付任何费用。</w:t>
      </w:r>
    </w:p>
    <w:p w14:paraId="65AFA6D7">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1.3内存：</w:t>
      </w:r>
    </w:p>
    <w:p w14:paraId="064ACE20">
      <w:pPr>
        <w:spacing w:line="540" w:lineRule="exact"/>
        <w:ind w:firstLine="560" w:firstLineChars="20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128G及以上，支持8个DDR4内存插槽。</w:t>
      </w:r>
    </w:p>
    <w:p w14:paraId="29C6B7D9">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1.4硬盘：</w:t>
      </w:r>
    </w:p>
    <w:p w14:paraId="5E967F9F">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4T及以上，支持8个3.5/2.5英寸SATA/SAS热插拔硬盘，后置2个2.5英寸热插拔硬盘。</w:t>
      </w:r>
    </w:p>
    <w:p w14:paraId="4892F5F9">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1.5固态硬盘：</w:t>
      </w:r>
    </w:p>
    <w:p w14:paraId="3F1630E2">
      <w:pPr>
        <w:spacing w:line="540" w:lineRule="exact"/>
        <w:ind w:firstLine="560" w:firstLineChars="20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512G及以上。</w:t>
      </w:r>
    </w:p>
    <w:p w14:paraId="63AC6760">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1.6网络：</w:t>
      </w:r>
    </w:p>
    <w:p w14:paraId="7842BEB7">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支持4个千兆网络电口，另需有1个千兆网络管理接口，支持扩展双千兆/万兆以太网卡。</w:t>
      </w:r>
    </w:p>
    <w:p w14:paraId="503B17D6">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1.7图形显示：</w:t>
      </w:r>
    </w:p>
    <w:p w14:paraId="36EA66BC">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独立板载显示芯片。</w:t>
      </w:r>
    </w:p>
    <w:p w14:paraId="39FBCC79">
      <w:pPr>
        <w:spacing w:line="540" w:lineRule="exact"/>
        <w:ind w:firstLine="560" w:firstLineChars="200"/>
        <w:jc w:val="left"/>
        <w:rPr>
          <w:rFonts w:hint="eastAsia" w:ascii="宋体" w:hAnsi="宋体" w:eastAsia="宋体" w:cs="宋体"/>
          <w:sz w:val="28"/>
          <w:szCs w:val="28"/>
          <w:lang w:val="en-US" w:eastAsia="zh-CN"/>
        </w:rPr>
      </w:pPr>
      <w:r>
        <w:rPr>
          <w:rFonts w:hint="default" w:ascii="宋体" w:hAnsi="宋体" w:eastAsia="宋体" w:cs="宋体"/>
          <w:sz w:val="28"/>
          <w:szCs w:val="28"/>
          <w:lang w:val="en-US" w:eastAsia="en-US"/>
        </w:rPr>
        <w:t>1.</w:t>
      </w:r>
      <w:r>
        <w:rPr>
          <w:rFonts w:hint="eastAsia" w:ascii="宋体" w:hAnsi="宋体" w:eastAsia="宋体" w:cs="宋体"/>
          <w:sz w:val="28"/>
          <w:szCs w:val="28"/>
          <w:lang w:val="en-US" w:eastAsia="zh-CN"/>
        </w:rPr>
        <w:t>8光驱：</w:t>
      </w:r>
    </w:p>
    <w:p w14:paraId="7B6C46DC">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支持外置USB DVD-RW光驱。</w:t>
      </w:r>
    </w:p>
    <w:p w14:paraId="47ED1A5E">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1.9I/O接口：</w:t>
      </w:r>
    </w:p>
    <w:p w14:paraId="4A81F53D">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1.9.1前面板：</w:t>
      </w:r>
    </w:p>
    <w:p w14:paraId="7820BCB3">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（1）2个USB 3.0接口</w:t>
      </w:r>
    </w:p>
    <w:p w14:paraId="2C8E4A57">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（2）1个VGA接口</w:t>
      </w:r>
    </w:p>
    <w:p w14:paraId="7BDA4481">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1.9.2后面板：</w:t>
      </w:r>
    </w:p>
    <w:p w14:paraId="7C468A8F">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（1）4个RJ45千兆网络电口</w:t>
      </w:r>
    </w:p>
    <w:p w14:paraId="4391FFC0">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（2）1个RJ45千兆远程管理口</w:t>
      </w:r>
    </w:p>
    <w:p w14:paraId="6FBFC0E5">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（3）1个COM接口（RJ45）</w:t>
      </w:r>
    </w:p>
    <w:p w14:paraId="1AF706EB">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（4）1个VGA接口</w:t>
      </w:r>
    </w:p>
    <w:p w14:paraId="24338038">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（5）2个USB 3.0接口</w:t>
      </w:r>
    </w:p>
    <w:p w14:paraId="287534E1">
      <w:pPr>
        <w:spacing w:line="54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1.10电源：</w:t>
      </w:r>
    </w:p>
    <w:p w14:paraId="7E889736">
      <w:pPr>
        <w:spacing w:line="540" w:lineRule="exact"/>
        <w:ind w:firstLine="560" w:firstLineChars="200"/>
        <w:jc w:val="left"/>
        <w:rPr>
          <w:rFonts w:hint="eastAsia"/>
          <w:lang w:val="en-US" w:eastAsia="zh-CN"/>
        </w:rPr>
      </w:pPr>
      <w:r>
        <w:rPr>
          <w:rFonts w:hint="eastAsia" w:ascii="宋体" w:hAnsi="宋体" w:eastAsia="宋体" w:cs="宋体"/>
          <w:sz w:val="28"/>
          <w:szCs w:val="28"/>
          <w:lang w:val="en-US" w:eastAsia="zh-CN"/>
        </w:rPr>
        <w:t>2个热插拔交流电源模块，支持1+1冗余。</w:t>
      </w:r>
    </w:p>
    <w:p w14:paraId="566E470C">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1.11系统总线：</w:t>
      </w:r>
    </w:p>
    <w:p w14:paraId="612F25D8">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1组互连链路，单条链路速率20Gbps及以上。</w:t>
      </w:r>
    </w:p>
    <w:p w14:paraId="34EB0379">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1.12缓存：</w:t>
      </w:r>
    </w:p>
    <w:p w14:paraId="6C62CD99">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服务器支持集成缓存。</w:t>
      </w:r>
    </w:p>
    <w:p w14:paraId="7F1DB258">
      <w:pPr>
        <w:spacing w:line="540" w:lineRule="exact"/>
        <w:ind w:firstLine="560" w:firstLineChars="200"/>
        <w:jc w:val="left"/>
        <w:rPr>
          <w:rFonts w:hint="default"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1.13支持虚拟化。</w:t>
      </w:r>
    </w:p>
    <w:p w14:paraId="6CFE2DAC">
      <w:pPr>
        <w:spacing w:line="540" w:lineRule="exact"/>
        <w:ind w:firstLine="560" w:firstLineChars="200"/>
        <w:jc w:val="both"/>
        <w:rPr>
          <w:rFonts w:hint="default"/>
          <w:lang w:val="en-US" w:eastAsia="zh-CN"/>
        </w:rPr>
      </w:pPr>
      <w:r>
        <w:rPr>
          <w:rFonts w:hint="eastAsia" w:asciiTheme="minorEastAsia" w:hAnsiTheme="minorEastAsia" w:cstheme="minorEastAsia"/>
          <w:color w:val="auto"/>
          <w:sz w:val="28"/>
          <w:szCs w:val="28"/>
          <w:highlight w:val="none"/>
          <w:shd w:val="clear" w:color="auto" w:fill="auto"/>
          <w:lang w:val="en-US" w:eastAsia="zh-CN"/>
        </w:rPr>
        <w:t>若投标方提供的本地服务器高或低于以上参数，需在响应偏差表做出正负偏离响应。</w:t>
      </w:r>
      <w:r>
        <w:rPr>
          <w:rFonts w:hint="eastAsia" w:asciiTheme="minorEastAsia" w:hAnsiTheme="minorEastAsia" w:cstheme="minorEastAsia"/>
          <w:color w:val="FF0000"/>
          <w:sz w:val="28"/>
          <w:szCs w:val="28"/>
          <w:highlight w:val="none"/>
          <w:shd w:val="clear" w:color="auto" w:fill="auto"/>
          <w:lang w:val="en-US" w:eastAsia="zh-CN"/>
        </w:rPr>
        <w:t>其中，1.11、1.12、1.13项技术参数，投标方需提供相应的证明文件，例如出厂证明等。</w:t>
      </w:r>
    </w:p>
    <w:p w14:paraId="032B411F">
      <w:pPr>
        <w:pStyle w:val="4"/>
        <w:bidi w:val="0"/>
        <w:rPr>
          <w:rFonts w:hint="eastAsia" w:ascii="Times New Roman" w:hAnsi="Times New Roman"/>
          <w:lang w:val="en-US" w:eastAsia="zh-CN"/>
        </w:rPr>
      </w:pPr>
      <w:r>
        <w:rPr>
          <w:rFonts w:hint="eastAsia" w:ascii="Times New Roman" w:hAnsi="Times New Roman"/>
          <w:lang w:val="en-US" w:eastAsia="zh-CN"/>
        </w:rPr>
        <w:t>2安全可靠要求</w:t>
      </w:r>
      <w:r>
        <w:rPr>
          <w:rFonts w:hint="eastAsia" w:ascii="宋体" w:hAnsi="宋体"/>
          <w:bCs/>
          <w:sz w:val="24"/>
        </w:rPr>
        <w:t>★</w:t>
      </w:r>
    </w:p>
    <w:p w14:paraId="3C930F2D">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2.1所提供</w:t>
      </w:r>
      <w:r>
        <w:rPr>
          <w:rFonts w:hint="eastAsia" w:asciiTheme="minorEastAsia" w:hAnsiTheme="minorEastAsia" w:cstheme="minorEastAsia"/>
          <w:b/>
          <w:bCs/>
          <w:color w:val="auto"/>
          <w:sz w:val="28"/>
          <w:szCs w:val="28"/>
          <w:highlight w:val="none"/>
          <w:shd w:val="clear" w:color="auto" w:fill="auto"/>
          <w:lang w:val="en-US" w:eastAsia="zh-CN"/>
        </w:rPr>
        <w:t>本地服务器</w:t>
      </w:r>
      <w:r>
        <w:rPr>
          <w:rFonts w:hint="eastAsia" w:asciiTheme="minorEastAsia" w:hAnsiTheme="minorEastAsia" w:cstheme="minorEastAsia"/>
          <w:color w:val="auto"/>
          <w:sz w:val="28"/>
          <w:szCs w:val="28"/>
          <w:highlight w:val="none"/>
          <w:shd w:val="clear" w:color="auto" w:fill="auto"/>
          <w:lang w:val="en-US" w:eastAsia="zh-CN"/>
        </w:rPr>
        <w:t>的标准不得低于《通用服务器政府采购需求标准（2023版）》及《操作系统政府采购需求标准（2023版）》（服务器操作系统部分）要求，且CPU和操作系统的安全可靠等级不得低于Ⅰ级，详见中国信息安全测评中心（www.itsec.gov.cn）和国家保密科技测评中心（www.nsstec.org.cn）公告结果（安全可靠测评结果详见附件1-1、附件1-2、附件1-3、附件1-4、附件1-5、附件1-6和附件1-7，并以正式公告结果为准）。</w:t>
      </w:r>
    </w:p>
    <w:p w14:paraId="223ECF32">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2.2所提供</w:t>
      </w:r>
      <w:r>
        <w:rPr>
          <w:rFonts w:hint="eastAsia" w:asciiTheme="minorEastAsia" w:hAnsiTheme="minorEastAsia" w:cstheme="minorEastAsia"/>
          <w:b/>
          <w:bCs/>
          <w:color w:val="auto"/>
          <w:sz w:val="28"/>
          <w:szCs w:val="28"/>
          <w:highlight w:val="none"/>
          <w:shd w:val="clear" w:color="auto" w:fill="auto"/>
          <w:lang w:val="en-US" w:eastAsia="zh-CN"/>
        </w:rPr>
        <w:t>本地服务器</w:t>
      </w:r>
      <w:r>
        <w:rPr>
          <w:rFonts w:hint="eastAsia" w:asciiTheme="minorEastAsia" w:hAnsiTheme="minorEastAsia" w:cstheme="minorEastAsia"/>
          <w:color w:val="auto"/>
          <w:sz w:val="28"/>
          <w:szCs w:val="28"/>
          <w:highlight w:val="none"/>
          <w:shd w:val="clear" w:color="auto" w:fill="auto"/>
          <w:lang w:val="en-US" w:eastAsia="zh-CN"/>
        </w:rPr>
        <w:t>的CPU、SSD颗粒、DRAM颗粒、BMC、网卡芯片、电源模块控制芯片、AI芯片等配置信息</w:t>
      </w:r>
      <w:r>
        <w:rPr>
          <w:rFonts w:hint="eastAsia" w:asciiTheme="minorEastAsia" w:hAnsiTheme="minorEastAsia" w:cstheme="minorEastAsia"/>
          <w:color w:val="FF0000"/>
          <w:sz w:val="28"/>
          <w:szCs w:val="28"/>
          <w:highlight w:val="none"/>
          <w:shd w:val="clear" w:color="auto" w:fill="auto"/>
          <w:lang w:val="en-US" w:eastAsia="zh-CN"/>
        </w:rPr>
        <w:t>须同时提供安全可靠芯片证明材料及承诺函（见附件1-8及相关附表）</w:t>
      </w:r>
      <w:r>
        <w:rPr>
          <w:rFonts w:hint="eastAsia" w:asciiTheme="minorEastAsia" w:hAnsiTheme="minorEastAsia" w:cstheme="minorEastAsia"/>
          <w:color w:val="auto"/>
          <w:sz w:val="28"/>
          <w:szCs w:val="28"/>
          <w:highlight w:val="none"/>
          <w:shd w:val="clear" w:color="auto" w:fill="auto"/>
          <w:lang w:val="en-US" w:eastAsia="zh-CN"/>
        </w:rPr>
        <w:t>。</w:t>
      </w:r>
    </w:p>
    <w:p w14:paraId="58D36734">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2.3所提供</w:t>
      </w:r>
      <w:r>
        <w:rPr>
          <w:rFonts w:hint="eastAsia" w:asciiTheme="minorEastAsia" w:hAnsiTheme="minorEastAsia" w:cstheme="minorEastAsia"/>
          <w:b/>
          <w:bCs/>
          <w:color w:val="auto"/>
          <w:sz w:val="28"/>
          <w:szCs w:val="28"/>
          <w:highlight w:val="none"/>
          <w:shd w:val="clear" w:color="auto" w:fill="auto"/>
          <w:lang w:val="en-US" w:eastAsia="zh-CN"/>
        </w:rPr>
        <w:t>本地服务器</w:t>
      </w:r>
      <w:r>
        <w:rPr>
          <w:rFonts w:hint="eastAsia" w:asciiTheme="minorEastAsia" w:hAnsiTheme="minorEastAsia" w:cstheme="minorEastAsia"/>
          <w:color w:val="auto"/>
          <w:sz w:val="28"/>
          <w:szCs w:val="28"/>
          <w:highlight w:val="none"/>
          <w:shd w:val="clear" w:color="auto" w:fill="auto"/>
          <w:lang w:val="en-US" w:eastAsia="zh-CN"/>
        </w:rPr>
        <w:t>的数据库（如有）标准不得低于《数据库政府采购需求标准（2023版）》要求，且数据库的安全可靠等级不得低于Ⅰ级，详见中国信息安全测评中心（www.itsec.gov.cn）和国家保密科技测评中心（www.nsstec.org.cn）公告结果（安全可靠测评结果详见附件1-1、附件1-2、附件1-3、附件1-4、附件1-5、附件1-6和附件1-7，并以正式公告结果为准）。</w:t>
      </w:r>
    </w:p>
    <w:p w14:paraId="69981EEF">
      <w:pPr>
        <w:spacing w:line="540" w:lineRule="exact"/>
        <w:ind w:firstLine="560" w:firstLineChars="200"/>
        <w:jc w:val="left"/>
        <w:rPr>
          <w:rFonts w:hint="eastAsia"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2.4所提供本地服务器的中间件（如有）需要满足安全可靠要求。</w:t>
      </w:r>
    </w:p>
    <w:p w14:paraId="1290CE1C">
      <w:pPr>
        <w:spacing w:line="540" w:lineRule="exact"/>
        <w:ind w:firstLine="560" w:firstLineChars="200"/>
        <w:jc w:val="left"/>
        <w:rPr>
          <w:rFonts w:hint="default" w:asciiTheme="minorEastAsia" w:hAnsi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2.5</w:t>
      </w:r>
      <w:r>
        <w:rPr>
          <w:rFonts w:hint="default" w:asciiTheme="minorEastAsia" w:hAnsiTheme="minorEastAsia" w:cstheme="minorEastAsia"/>
          <w:color w:val="auto"/>
          <w:sz w:val="28"/>
          <w:szCs w:val="28"/>
          <w:highlight w:val="none"/>
          <w:shd w:val="clear" w:color="auto" w:fill="auto"/>
          <w:lang w:val="en-US" w:eastAsia="zh-CN"/>
        </w:rPr>
        <w:t>特别提醒:响应单位不得使用</w:t>
      </w:r>
      <w:r>
        <w:rPr>
          <w:rFonts w:hint="eastAsia" w:asciiTheme="minorEastAsia" w:hAnsiTheme="minorEastAsia" w:cstheme="minorEastAsia"/>
          <w:color w:val="auto"/>
          <w:sz w:val="28"/>
          <w:szCs w:val="28"/>
          <w:highlight w:val="none"/>
          <w:shd w:val="clear" w:color="auto" w:fill="auto"/>
          <w:lang w:val="en-US" w:eastAsia="zh-CN"/>
        </w:rPr>
        <w:t>美</w:t>
      </w:r>
      <w:r>
        <w:rPr>
          <w:rFonts w:hint="default" w:asciiTheme="minorEastAsia" w:hAnsiTheme="minorEastAsia" w:cstheme="minorEastAsia"/>
          <w:color w:val="auto"/>
          <w:sz w:val="28"/>
          <w:szCs w:val="28"/>
          <w:highlight w:val="none"/>
          <w:shd w:val="clear" w:color="auto" w:fill="auto"/>
          <w:lang w:val="en-US" w:eastAsia="zh-CN"/>
        </w:rPr>
        <w:t>光公司产品(包括含有</w:t>
      </w:r>
      <w:r>
        <w:rPr>
          <w:rFonts w:hint="eastAsia" w:asciiTheme="minorEastAsia" w:hAnsiTheme="minorEastAsia" w:cstheme="minorEastAsia"/>
          <w:color w:val="auto"/>
          <w:sz w:val="28"/>
          <w:szCs w:val="28"/>
          <w:highlight w:val="none"/>
          <w:shd w:val="clear" w:color="auto" w:fill="auto"/>
          <w:lang w:val="en-US" w:eastAsia="zh-CN"/>
        </w:rPr>
        <w:t>美</w:t>
      </w:r>
      <w:r>
        <w:rPr>
          <w:rFonts w:hint="default" w:asciiTheme="minorEastAsia" w:hAnsiTheme="minorEastAsia" w:cstheme="minorEastAsia"/>
          <w:color w:val="auto"/>
          <w:sz w:val="28"/>
          <w:szCs w:val="28"/>
          <w:highlight w:val="none"/>
          <w:shd w:val="clear" w:color="auto" w:fill="auto"/>
          <w:lang w:val="en-US" w:eastAsia="zh-CN"/>
        </w:rPr>
        <w:t>光</w:t>
      </w:r>
      <w:bookmarkStart w:id="38" w:name="_GoBack"/>
      <w:bookmarkEnd w:id="38"/>
      <w:r>
        <w:rPr>
          <w:rFonts w:hint="default" w:asciiTheme="minorEastAsia" w:hAnsiTheme="minorEastAsia" w:cstheme="minorEastAsia"/>
          <w:color w:val="auto"/>
          <w:sz w:val="28"/>
          <w:szCs w:val="28"/>
          <w:highlight w:val="none"/>
          <w:shd w:val="clear" w:color="auto" w:fill="auto"/>
          <w:lang w:val="en-US" w:eastAsia="zh-CN"/>
        </w:rPr>
        <w:t>芯片的产品)响应，确保后续供货的产品满足国家网络安全审查要求。</w:t>
      </w:r>
    </w:p>
    <w:p w14:paraId="6F3A8FC5">
      <w:pPr>
        <w:pStyle w:val="3"/>
        <w:rPr>
          <w:rFonts w:hint="default" w:asciiTheme="minorEastAsia" w:hAnsiTheme="minorEastAsia" w:cstheme="minorEastAsia"/>
          <w:color w:val="auto"/>
          <w:sz w:val="28"/>
          <w:szCs w:val="28"/>
          <w:highlight w:val="none"/>
          <w:shd w:val="clear" w:color="auto" w:fill="auto"/>
          <w:lang w:val="en-US" w:eastAsia="zh-CN"/>
        </w:rPr>
      </w:pPr>
    </w:p>
    <w:p w14:paraId="6158513D">
      <w:pPr>
        <w:rPr>
          <w:rFonts w:hint="default" w:asciiTheme="minorEastAsia" w:hAnsiTheme="minorEastAsia" w:cstheme="minorEastAsia"/>
          <w:color w:val="auto"/>
          <w:sz w:val="28"/>
          <w:szCs w:val="28"/>
          <w:highlight w:val="none"/>
          <w:shd w:val="clear" w:color="auto" w:fill="auto"/>
          <w:lang w:val="en-US" w:eastAsia="zh-CN"/>
        </w:rPr>
      </w:pPr>
    </w:p>
    <w:p w14:paraId="3765D097">
      <w:pPr>
        <w:pStyle w:val="2"/>
        <w:rPr>
          <w:rFonts w:hint="default"/>
          <w:lang w:val="en-US" w:eastAsia="zh-CN"/>
        </w:rPr>
      </w:pPr>
    </w:p>
    <w:p w14:paraId="06FF28EE">
      <w:pPr>
        <w:rPr>
          <w:rFonts w:hint="default" w:asciiTheme="minorEastAsia" w:hAnsiTheme="minorEastAsia" w:cstheme="minorEastAsia"/>
          <w:color w:val="auto"/>
          <w:sz w:val="28"/>
          <w:szCs w:val="28"/>
          <w:highlight w:val="none"/>
          <w:shd w:val="clear" w:color="auto" w:fill="auto"/>
          <w:lang w:val="en-US" w:eastAsia="zh-CN"/>
        </w:rPr>
        <w:sectPr>
          <w:pgSz w:w="11906" w:h="16838"/>
          <w:pgMar w:top="1440" w:right="1800" w:bottom="1440" w:left="1800" w:header="851" w:footer="992" w:gutter="0"/>
          <w:pgNumType w:fmt="decimal"/>
          <w:cols w:space="425" w:num="1"/>
          <w:docGrid w:type="lines" w:linePitch="312" w:charSpace="0"/>
        </w:sectPr>
      </w:pPr>
    </w:p>
    <w:p w14:paraId="378E6CA1">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1-1</w:t>
      </w:r>
      <w:r>
        <w:rPr>
          <w:rFonts w:hint="eastAsia" w:ascii="Times New Roman" w:hAnsi="Times New Roman" w:eastAsia="宋体" w:cs="Times New Roman"/>
          <w:b/>
          <w:color w:val="auto"/>
          <w:sz w:val="24"/>
          <w:highlight w:val="none"/>
        </w:rPr>
        <w:t>：安全可靠测评结果公告（2023年第1号）</w:t>
      </w:r>
    </w:p>
    <w:p w14:paraId="6892DB57">
      <w:pPr>
        <w:pStyle w:val="2"/>
        <w:rPr>
          <w:rFonts w:eastAsia="宋体"/>
        </w:rPr>
      </w:pPr>
      <w:r>
        <w:rPr>
          <w:rFonts w:hint="eastAsia" w:eastAsia="宋体"/>
        </w:rPr>
        <w:drawing>
          <wp:anchor distT="0" distB="0" distL="114300" distR="114300" simplePos="0" relativeHeight="251661312" behindDoc="0" locked="0" layoutInCell="1" allowOverlap="1">
            <wp:simplePos x="0" y="0"/>
            <wp:positionH relativeFrom="column">
              <wp:posOffset>-635</wp:posOffset>
            </wp:positionH>
            <wp:positionV relativeFrom="paragraph">
              <wp:posOffset>170180</wp:posOffset>
            </wp:positionV>
            <wp:extent cx="5131435" cy="7264400"/>
            <wp:effectExtent l="0" t="0" r="4445" b="5080"/>
            <wp:wrapTopAndBottom/>
            <wp:docPr id="7" name="图片 1" descr="安全可靠测评结果公告（2023 年第 1 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安全可靠测评结果公告（2023 年第 1 号）_01"/>
                    <pic:cNvPicPr>
                      <a:picLocks noChangeAspect="1"/>
                    </pic:cNvPicPr>
                  </pic:nvPicPr>
                  <pic:blipFill>
                    <a:blip r:embed="rId6"/>
                    <a:stretch>
                      <a:fillRect/>
                    </a:stretch>
                  </pic:blipFill>
                  <pic:spPr>
                    <a:xfrm>
                      <a:off x="0" y="0"/>
                      <a:ext cx="5131435" cy="7264400"/>
                    </a:xfrm>
                    <a:prstGeom prst="rect">
                      <a:avLst/>
                    </a:prstGeom>
                    <a:noFill/>
                    <a:ln>
                      <a:noFill/>
                    </a:ln>
                  </pic:spPr>
                </pic:pic>
              </a:graphicData>
            </a:graphic>
          </wp:anchor>
        </w:drawing>
      </w:r>
    </w:p>
    <w:p w14:paraId="63EFD060">
      <w:pPr>
        <w:pStyle w:val="2"/>
        <w:rPr>
          <w:rFonts w:eastAsia="宋体"/>
        </w:rPr>
      </w:pPr>
    </w:p>
    <w:p w14:paraId="06885CE9">
      <w:pPr>
        <w:pStyle w:val="2"/>
        <w:rPr>
          <w:rFonts w:eastAsia="宋体"/>
        </w:rPr>
      </w:pPr>
      <w:r>
        <w:rPr>
          <w:rFonts w:hint="eastAsia" w:eastAsia="宋体"/>
        </w:rPr>
        <w:drawing>
          <wp:anchor distT="0" distB="0" distL="114300" distR="114300" simplePos="0" relativeHeight="251662336" behindDoc="0" locked="0" layoutInCell="1" allowOverlap="1">
            <wp:simplePos x="0" y="0"/>
            <wp:positionH relativeFrom="column">
              <wp:posOffset>67310</wp:posOffset>
            </wp:positionH>
            <wp:positionV relativeFrom="paragraph">
              <wp:posOffset>255270</wp:posOffset>
            </wp:positionV>
            <wp:extent cx="5476875" cy="7750810"/>
            <wp:effectExtent l="0" t="0" r="9525" b="6350"/>
            <wp:wrapSquare wrapText="bothSides"/>
            <wp:docPr id="8" name="图片 8" descr="clipbord_175686998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lipbord_1756869981449"/>
                    <pic:cNvPicPr>
                      <a:picLocks noChangeAspect="1"/>
                    </pic:cNvPicPr>
                  </pic:nvPicPr>
                  <pic:blipFill>
                    <a:blip r:embed="rId7"/>
                    <a:stretch>
                      <a:fillRect/>
                    </a:stretch>
                  </pic:blipFill>
                  <pic:spPr>
                    <a:xfrm>
                      <a:off x="0" y="0"/>
                      <a:ext cx="5476875" cy="7750810"/>
                    </a:xfrm>
                    <a:prstGeom prst="rect">
                      <a:avLst/>
                    </a:prstGeom>
                  </pic:spPr>
                </pic:pic>
              </a:graphicData>
            </a:graphic>
          </wp:anchor>
        </w:drawing>
      </w:r>
    </w:p>
    <w:p w14:paraId="18755A50">
      <w:pPr>
        <w:pStyle w:val="2"/>
        <w:rPr>
          <w:rFonts w:eastAsia="宋体"/>
        </w:rPr>
      </w:pPr>
      <w:r>
        <w:rPr>
          <w:rFonts w:hint="eastAsia" w:eastAsia="宋体"/>
          <w:lang w:eastAsia="zh-CN"/>
        </w:rPr>
        <w:drawing>
          <wp:anchor distT="0" distB="0" distL="114300" distR="114300" simplePos="0" relativeHeight="251663360" behindDoc="0" locked="0" layoutInCell="1" allowOverlap="1">
            <wp:simplePos x="0" y="0"/>
            <wp:positionH relativeFrom="column">
              <wp:posOffset>58420</wp:posOffset>
            </wp:positionH>
            <wp:positionV relativeFrom="paragraph">
              <wp:posOffset>377825</wp:posOffset>
            </wp:positionV>
            <wp:extent cx="5547995" cy="7849235"/>
            <wp:effectExtent l="0" t="0" r="14605" b="14605"/>
            <wp:wrapTopAndBottom/>
            <wp:docPr id="12" name="图片 12" descr="clipbord_175687000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lipbord_1756870005636"/>
                    <pic:cNvPicPr>
                      <a:picLocks noChangeAspect="1"/>
                    </pic:cNvPicPr>
                  </pic:nvPicPr>
                  <pic:blipFill>
                    <a:blip r:embed="rId8"/>
                    <a:stretch>
                      <a:fillRect/>
                    </a:stretch>
                  </pic:blipFill>
                  <pic:spPr>
                    <a:xfrm>
                      <a:off x="0" y="0"/>
                      <a:ext cx="5547995" cy="7849235"/>
                    </a:xfrm>
                    <a:prstGeom prst="rect">
                      <a:avLst/>
                    </a:prstGeom>
                  </pic:spPr>
                </pic:pic>
              </a:graphicData>
            </a:graphic>
          </wp:anchor>
        </w:drawing>
      </w:r>
    </w:p>
    <w:p w14:paraId="688D6AFF">
      <w:pPr>
        <w:pStyle w:val="2"/>
        <w:rPr>
          <w:rFonts w:eastAsia="宋体"/>
        </w:rPr>
      </w:pPr>
    </w:p>
    <w:p w14:paraId="533E89CF">
      <w:pPr>
        <w:pStyle w:val="2"/>
        <w:rPr>
          <w:rFonts w:eastAsia="宋体"/>
        </w:rPr>
      </w:pPr>
      <w:r>
        <w:rPr>
          <w:rFonts w:hint="eastAsia" w:eastAsia="宋体"/>
          <w:lang w:eastAsia="zh-CN"/>
        </w:rPr>
        <w:drawing>
          <wp:anchor distT="0" distB="0" distL="114300" distR="114300" simplePos="0" relativeHeight="251664384" behindDoc="0" locked="0" layoutInCell="1" allowOverlap="1">
            <wp:simplePos x="0" y="0"/>
            <wp:positionH relativeFrom="column">
              <wp:posOffset>-30480</wp:posOffset>
            </wp:positionH>
            <wp:positionV relativeFrom="paragraph">
              <wp:posOffset>121285</wp:posOffset>
            </wp:positionV>
            <wp:extent cx="5273040" cy="7459980"/>
            <wp:effectExtent l="0" t="0" r="0" b="7620"/>
            <wp:wrapSquare wrapText="bothSides"/>
            <wp:docPr id="13" name="图片 13" descr="clipbord_175687001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lipbord_1756870013008"/>
                    <pic:cNvPicPr>
                      <a:picLocks noChangeAspect="1"/>
                    </pic:cNvPicPr>
                  </pic:nvPicPr>
                  <pic:blipFill>
                    <a:blip r:embed="rId9"/>
                    <a:stretch>
                      <a:fillRect/>
                    </a:stretch>
                  </pic:blipFill>
                  <pic:spPr>
                    <a:xfrm>
                      <a:off x="0" y="0"/>
                      <a:ext cx="5273040" cy="7459980"/>
                    </a:xfrm>
                    <a:prstGeom prst="rect">
                      <a:avLst/>
                    </a:prstGeom>
                  </pic:spPr>
                </pic:pic>
              </a:graphicData>
            </a:graphic>
          </wp:anchor>
        </w:drawing>
      </w:r>
    </w:p>
    <w:p w14:paraId="4545F6AB">
      <w:pPr>
        <w:pStyle w:val="2"/>
        <w:rPr>
          <w:rFonts w:hint="eastAsia" w:eastAsia="宋体"/>
          <w:lang w:eastAsia="zh-CN"/>
        </w:rPr>
      </w:pPr>
      <w:r>
        <w:rPr>
          <w:rFonts w:hint="eastAsia" w:eastAsia="宋体"/>
          <w:lang w:eastAsia="zh-CN"/>
        </w:rPr>
        <w:drawing>
          <wp:anchor distT="0" distB="0" distL="114300" distR="114300" simplePos="0" relativeHeight="251665408" behindDoc="0" locked="0" layoutInCell="1" allowOverlap="1">
            <wp:simplePos x="0" y="0"/>
            <wp:positionH relativeFrom="column">
              <wp:posOffset>-36830</wp:posOffset>
            </wp:positionH>
            <wp:positionV relativeFrom="paragraph">
              <wp:posOffset>386080</wp:posOffset>
            </wp:positionV>
            <wp:extent cx="5273040" cy="7459980"/>
            <wp:effectExtent l="0" t="0" r="0" b="7620"/>
            <wp:wrapTopAndBottom/>
            <wp:docPr id="14" name="图片 14" descr="clipbord_175686999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lipbord_1756869998188"/>
                    <pic:cNvPicPr>
                      <a:picLocks noChangeAspect="1"/>
                    </pic:cNvPicPr>
                  </pic:nvPicPr>
                  <pic:blipFill>
                    <a:blip r:embed="rId10"/>
                    <a:stretch>
                      <a:fillRect/>
                    </a:stretch>
                  </pic:blipFill>
                  <pic:spPr>
                    <a:xfrm>
                      <a:off x="0" y="0"/>
                      <a:ext cx="5273040" cy="7459980"/>
                    </a:xfrm>
                    <a:prstGeom prst="rect">
                      <a:avLst/>
                    </a:prstGeom>
                  </pic:spPr>
                </pic:pic>
              </a:graphicData>
            </a:graphic>
          </wp:anchor>
        </w:drawing>
      </w:r>
    </w:p>
    <w:p w14:paraId="43D1E33E">
      <w:pPr>
        <w:pStyle w:val="2"/>
        <w:rPr>
          <w:rFonts w:hint="eastAsia" w:eastAsia="宋体"/>
          <w:lang w:eastAsia="zh-CN"/>
        </w:rPr>
        <w:sectPr>
          <w:pgSz w:w="11906" w:h="16838"/>
          <w:pgMar w:top="1440" w:right="1800" w:bottom="1440" w:left="1800" w:header="851" w:footer="992" w:gutter="0"/>
          <w:pgNumType w:fmt="decimal"/>
          <w:cols w:space="425" w:num="1"/>
          <w:docGrid w:type="lines" w:linePitch="312" w:charSpace="0"/>
        </w:sectPr>
      </w:pPr>
    </w:p>
    <w:p w14:paraId="14F8A4AF">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rPr>
      </w:pPr>
      <w:bookmarkStart w:id="35" w:name="_Toc8590"/>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1-2</w:t>
      </w:r>
      <w:r>
        <w:rPr>
          <w:rFonts w:hint="eastAsia" w:ascii="Times New Roman" w:hAnsi="Times New Roman" w:eastAsia="宋体" w:cs="Times New Roman"/>
          <w:b/>
          <w:color w:val="auto"/>
          <w:sz w:val="24"/>
          <w:highlight w:val="none"/>
        </w:rPr>
        <w:t>：安全可靠测评结果公告（2024年第1号）</w:t>
      </w:r>
      <w:bookmarkEnd w:id="35"/>
    </w:p>
    <w:p w14:paraId="57742C9F">
      <w:pPr>
        <w:pStyle w:val="16"/>
        <w:tabs>
          <w:tab w:val="left" w:pos="1218"/>
          <w:tab w:val="left" w:pos="3544"/>
        </w:tabs>
        <w:ind w:left="0" w:leftChars="0" w:firstLine="0" w:firstLineChars="0"/>
        <w:jc w:val="center"/>
        <w:rPr>
          <w:rFonts w:ascii="宋体" w:hAnsi="宋体" w:eastAsia="宋体" w:cs="宋体"/>
          <w:szCs w:val="21"/>
        </w:rPr>
      </w:pPr>
      <w:r>
        <w:drawing>
          <wp:inline distT="0" distB="0" distL="114300" distR="114300">
            <wp:extent cx="5269865" cy="7458075"/>
            <wp:effectExtent l="0" t="0" r="3175" b="9525"/>
            <wp:docPr id="4" name="图片 6" descr="安全可靠测评结果公告（2024年第1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安全可靠测评结果公告（2024年第1号）_01"/>
                    <pic:cNvPicPr>
                      <a:picLocks noChangeAspect="1"/>
                    </pic:cNvPicPr>
                  </pic:nvPicPr>
                  <pic:blipFill>
                    <a:blip r:embed="rId11"/>
                    <a:stretch>
                      <a:fillRect/>
                    </a:stretch>
                  </pic:blipFill>
                  <pic:spPr>
                    <a:xfrm>
                      <a:off x="0" y="0"/>
                      <a:ext cx="5269865" cy="7458075"/>
                    </a:xfrm>
                    <a:prstGeom prst="rect">
                      <a:avLst/>
                    </a:prstGeom>
                    <a:noFill/>
                    <a:ln>
                      <a:noFill/>
                    </a:ln>
                  </pic:spPr>
                </pic:pic>
              </a:graphicData>
            </a:graphic>
          </wp:inline>
        </w:drawing>
      </w:r>
      <w:r>
        <w:drawing>
          <wp:inline distT="0" distB="0" distL="114300" distR="114300">
            <wp:extent cx="5269865" cy="7458075"/>
            <wp:effectExtent l="0" t="0" r="3175" b="9525"/>
            <wp:docPr id="3" name="图片 7" descr="安全可靠测评结果公告（2024年第1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安全可靠测评结果公告（2024年第1号）_02"/>
                    <pic:cNvPicPr>
                      <a:picLocks noChangeAspect="1"/>
                    </pic:cNvPicPr>
                  </pic:nvPicPr>
                  <pic:blipFill>
                    <a:blip r:embed="rId12"/>
                    <a:stretch>
                      <a:fillRect/>
                    </a:stretch>
                  </pic:blipFill>
                  <pic:spPr>
                    <a:xfrm>
                      <a:off x="0" y="0"/>
                      <a:ext cx="5269865" cy="7458075"/>
                    </a:xfrm>
                    <a:prstGeom prst="rect">
                      <a:avLst/>
                    </a:prstGeom>
                    <a:noFill/>
                    <a:ln>
                      <a:noFill/>
                    </a:ln>
                  </pic:spPr>
                </pic:pic>
              </a:graphicData>
            </a:graphic>
          </wp:inline>
        </w:drawing>
      </w:r>
    </w:p>
    <w:p w14:paraId="1711E6EF">
      <w:pPr>
        <w:pStyle w:val="2"/>
      </w:pPr>
    </w:p>
    <w:p w14:paraId="4EB195CE">
      <w:pPr>
        <w:pStyle w:val="2"/>
      </w:pPr>
    </w:p>
    <w:p w14:paraId="3A37DEA1">
      <w:pPr>
        <w:pStyle w:val="12"/>
        <w:adjustRightInd w:val="0"/>
        <w:spacing w:after="0" w:line="360" w:lineRule="auto"/>
        <w:ind w:left="0" w:leftChars="0" w:firstLine="480" w:firstLineChars="200"/>
        <w:rPr>
          <w:rFonts w:ascii="Times New Roman" w:hAnsi="Times New Roman"/>
          <w:kern w:val="0"/>
          <w:sz w:val="24"/>
          <w:szCs w:val="24"/>
        </w:rPr>
      </w:pPr>
    </w:p>
    <w:p w14:paraId="7FA8D28F">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rPr>
      </w:pPr>
      <w:bookmarkStart w:id="36" w:name="_Toc13990"/>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1-3</w:t>
      </w:r>
      <w:r>
        <w:rPr>
          <w:rFonts w:hint="eastAsia" w:ascii="Times New Roman" w:hAnsi="Times New Roman" w:eastAsia="宋体" w:cs="Times New Roman"/>
          <w:b/>
          <w:color w:val="auto"/>
          <w:sz w:val="24"/>
          <w:highlight w:val="none"/>
        </w:rPr>
        <w:t>：安全可靠测评结果公告（2024年第2号）</w:t>
      </w:r>
      <w:bookmarkEnd w:id="36"/>
    </w:p>
    <w:p w14:paraId="3B1E2466">
      <w:pPr>
        <w:pStyle w:val="12"/>
        <w:adjustRightInd w:val="0"/>
        <w:spacing w:after="0" w:line="360" w:lineRule="auto"/>
        <w:ind w:left="0" w:leftChars="0"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5303520" cy="7007860"/>
            <wp:effectExtent l="0" t="0" r="0" b="2540"/>
            <wp:docPr id="9"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56"/>
                    <pic:cNvPicPr>
                      <a:picLocks noChangeAspect="1"/>
                    </pic:cNvPicPr>
                  </pic:nvPicPr>
                  <pic:blipFill>
                    <a:blip r:embed="rId13"/>
                    <a:stretch>
                      <a:fillRect/>
                    </a:stretch>
                  </pic:blipFill>
                  <pic:spPr>
                    <a:xfrm>
                      <a:off x="0" y="0"/>
                      <a:ext cx="5303520" cy="7007860"/>
                    </a:xfrm>
                    <a:prstGeom prst="rect">
                      <a:avLst/>
                    </a:prstGeom>
                    <a:noFill/>
                    <a:ln>
                      <a:noFill/>
                    </a:ln>
                  </pic:spPr>
                </pic:pic>
              </a:graphicData>
            </a:graphic>
          </wp:inline>
        </w:drawing>
      </w:r>
    </w:p>
    <w:p w14:paraId="293448F6">
      <w:pPr>
        <w:keepNext w:val="0"/>
        <w:keepLines w:val="0"/>
        <w:pageBreakBefore w:val="0"/>
        <w:widowControl/>
        <w:suppressLineNumbers w:val="0"/>
        <w:pBdr>
          <w:top w:val="none" w:color="auto" w:sz="0" w:space="0"/>
          <w:left w:val="none" w:color="auto" w:sz="0" w:space="0"/>
          <w:right w:val="none" w:color="auto" w:sz="0" w:space="0"/>
        </w:pBdr>
        <w:kinsoku/>
        <w:wordWrap/>
        <w:overflowPunct/>
        <w:topLinePunct w:val="0"/>
        <w:autoSpaceDE/>
        <w:autoSpaceDN/>
        <w:bidi w:val="0"/>
        <w:adjustRightInd/>
        <w:snapToGrid/>
        <w:spacing w:before="900" w:beforeAutospacing="0" w:after="0" w:afterAutospacing="0" w:line="420" w:lineRule="atLeast"/>
        <w:ind w:right="0" w:firstLineChars="0"/>
        <w:jc w:val="center"/>
        <w:textAlignment w:val="auto"/>
        <w:rPr>
          <w:rFonts w:hint="eastAsia"/>
        </w:rPr>
      </w:pPr>
      <w:r>
        <w:rPr>
          <w:rFonts w:hint="eastAsia"/>
        </w:rPr>
        <w:drawing>
          <wp:inline distT="0" distB="0" distL="114300" distR="114300">
            <wp:extent cx="5287645" cy="558165"/>
            <wp:effectExtent l="0" t="0" r="635" b="5715"/>
            <wp:docPr id="10" name="图片 10" descr="9d2fdda6e399a73811b9db8bedddd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d2fdda6e399a73811b9db8beddddb1"/>
                    <pic:cNvPicPr>
                      <a:picLocks noChangeAspect="1"/>
                    </pic:cNvPicPr>
                  </pic:nvPicPr>
                  <pic:blipFill>
                    <a:blip r:embed="rId14"/>
                    <a:stretch>
                      <a:fillRect/>
                    </a:stretch>
                  </pic:blipFill>
                  <pic:spPr>
                    <a:xfrm>
                      <a:off x="0" y="0"/>
                      <a:ext cx="5287645" cy="558165"/>
                    </a:xfrm>
                    <a:prstGeom prst="rect">
                      <a:avLst/>
                    </a:prstGeom>
                  </pic:spPr>
                </pic:pic>
              </a:graphicData>
            </a:graphic>
          </wp:inline>
        </w:drawing>
      </w:r>
    </w:p>
    <w:p w14:paraId="40B73421">
      <w:pPr>
        <w:keepNext w:val="0"/>
        <w:keepLines w:val="0"/>
        <w:pageBreakBefore w:val="0"/>
        <w:widowControl/>
        <w:suppressLineNumbers w:val="0"/>
        <w:pBdr>
          <w:top w:val="none" w:color="auto" w:sz="0" w:space="0"/>
          <w:left w:val="none" w:color="auto" w:sz="0" w:space="0"/>
          <w:right w:val="none" w:color="auto" w:sz="0" w:space="0"/>
        </w:pBdr>
        <w:kinsoku/>
        <w:wordWrap/>
        <w:overflowPunct/>
        <w:topLinePunct w:val="0"/>
        <w:autoSpaceDE/>
        <w:autoSpaceDN/>
        <w:bidi w:val="0"/>
        <w:adjustRightInd/>
        <w:snapToGrid/>
        <w:spacing w:before="900" w:beforeAutospacing="0" w:after="0" w:afterAutospacing="0" w:line="420" w:lineRule="atLeast"/>
        <w:ind w:right="0" w:firstLineChars="0"/>
        <w:jc w:val="both"/>
        <w:textAlignment w:val="auto"/>
        <w:rPr>
          <w:rFonts w:hint="eastAsia"/>
        </w:rPr>
      </w:pPr>
      <w:r>
        <w:rPr>
          <w:rFonts w:hint="eastAsia"/>
        </w:rPr>
        <w:br w:type="page"/>
      </w:r>
    </w:p>
    <w:p w14:paraId="45E9FA1F">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1-4</w:t>
      </w:r>
      <w:r>
        <w:rPr>
          <w:rFonts w:hint="eastAsia" w:ascii="Times New Roman" w:hAnsi="Times New Roman" w:eastAsia="宋体" w:cs="Times New Roman"/>
          <w:b/>
          <w:color w:val="auto"/>
          <w:sz w:val="24"/>
          <w:highlight w:val="none"/>
        </w:rPr>
        <w:t>：安全可靠测评结果公告（202</w:t>
      </w:r>
      <w:r>
        <w:rPr>
          <w:rFonts w:hint="eastAsia" w:ascii="Times New Roman" w:hAnsi="Times New Roman" w:eastAsia="宋体" w:cs="Times New Roman"/>
          <w:b/>
          <w:color w:val="auto"/>
          <w:sz w:val="24"/>
          <w:highlight w:val="none"/>
          <w:lang w:val="en-US" w:eastAsia="zh-CN"/>
        </w:rPr>
        <w:t>5</w:t>
      </w:r>
      <w:r>
        <w:rPr>
          <w:rFonts w:hint="eastAsia" w:ascii="Times New Roman" w:hAnsi="Times New Roman" w:eastAsia="宋体" w:cs="Times New Roman"/>
          <w:b/>
          <w:color w:val="auto"/>
          <w:sz w:val="24"/>
          <w:highlight w:val="none"/>
        </w:rPr>
        <w:t>年第</w:t>
      </w:r>
      <w:r>
        <w:rPr>
          <w:rFonts w:hint="eastAsia" w:ascii="Times New Roman" w:hAnsi="Times New Roman" w:eastAsia="宋体" w:cs="Times New Roman"/>
          <w:b/>
          <w:color w:val="auto"/>
          <w:sz w:val="24"/>
          <w:highlight w:val="none"/>
          <w:lang w:val="en-US" w:eastAsia="zh-CN"/>
        </w:rPr>
        <w:t>1</w:t>
      </w:r>
      <w:r>
        <w:rPr>
          <w:rFonts w:hint="eastAsia" w:ascii="Times New Roman" w:hAnsi="Times New Roman" w:eastAsia="宋体" w:cs="Times New Roman"/>
          <w:b/>
          <w:color w:val="auto"/>
          <w:sz w:val="24"/>
          <w:highlight w:val="none"/>
        </w:rPr>
        <w:t>号）</w:t>
      </w:r>
    </w:p>
    <w:p w14:paraId="4F4503FB">
      <w:pPr>
        <w:outlineLvl w:val="9"/>
        <w:rPr>
          <w:rFonts w:hint="eastAsia" w:eastAsiaTheme="minorEastAsia"/>
          <w:lang w:eastAsia="zh-CN"/>
        </w:rPr>
      </w:pPr>
      <w:r>
        <w:rPr>
          <w:rFonts w:hint="eastAsia" w:eastAsiaTheme="minorEastAsia"/>
          <w:lang w:eastAsia="zh-CN"/>
        </w:rPr>
        <w:drawing>
          <wp:inline distT="0" distB="0" distL="114300" distR="114300">
            <wp:extent cx="5272405" cy="4869815"/>
            <wp:effectExtent l="0" t="0" r="635" b="6985"/>
            <wp:docPr id="11" name="图片 11" descr="69a0af0933fcb92020bf70e815aa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9a0af0933fcb92020bf70e815aa625"/>
                    <pic:cNvPicPr>
                      <a:picLocks noChangeAspect="1"/>
                    </pic:cNvPicPr>
                  </pic:nvPicPr>
                  <pic:blipFill>
                    <a:blip r:embed="rId15"/>
                    <a:stretch>
                      <a:fillRect/>
                    </a:stretch>
                  </pic:blipFill>
                  <pic:spPr>
                    <a:xfrm>
                      <a:off x="0" y="0"/>
                      <a:ext cx="5272405" cy="4869815"/>
                    </a:xfrm>
                    <a:prstGeom prst="rect">
                      <a:avLst/>
                    </a:prstGeom>
                  </pic:spPr>
                </pic:pic>
              </a:graphicData>
            </a:graphic>
          </wp:inline>
        </w:drawing>
      </w:r>
    </w:p>
    <w:p w14:paraId="7708DE32">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rPr>
      </w:pPr>
      <w:bookmarkStart w:id="37" w:name="_Toc2715"/>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1-5</w:t>
      </w:r>
      <w:r>
        <w:rPr>
          <w:rFonts w:hint="eastAsia" w:ascii="Times New Roman" w:hAnsi="Times New Roman" w:eastAsia="宋体" w:cs="Times New Roman"/>
          <w:b/>
          <w:color w:val="auto"/>
          <w:sz w:val="24"/>
          <w:highlight w:val="none"/>
        </w:rPr>
        <w:t>：</w:t>
      </w:r>
      <w:bookmarkEnd w:id="37"/>
      <w:r>
        <w:rPr>
          <w:rFonts w:hint="eastAsia" w:ascii="Times New Roman" w:hAnsi="Times New Roman" w:eastAsia="宋体" w:cs="Times New Roman"/>
          <w:b/>
          <w:color w:val="auto"/>
          <w:sz w:val="24"/>
          <w:highlight w:val="none"/>
        </w:rPr>
        <w:t>安全可靠测评结果公告（</w:t>
      </w:r>
      <w:r>
        <w:rPr>
          <w:rFonts w:hint="eastAsia" w:ascii="Times New Roman" w:hAnsi="Times New Roman" w:eastAsia="宋体" w:cs="Times New Roman"/>
          <w:b/>
          <w:color w:val="auto"/>
          <w:sz w:val="24"/>
          <w:highlight w:val="none"/>
          <w:lang w:eastAsia="zh-CN"/>
        </w:rPr>
        <w:t>2025年</w:t>
      </w:r>
      <w:r>
        <w:rPr>
          <w:rFonts w:hint="eastAsia" w:ascii="Times New Roman" w:hAnsi="Times New Roman" w:eastAsia="宋体" w:cs="Times New Roman"/>
          <w:b/>
          <w:color w:val="auto"/>
          <w:sz w:val="24"/>
          <w:highlight w:val="none"/>
        </w:rPr>
        <w:t>第</w:t>
      </w:r>
      <w:r>
        <w:rPr>
          <w:rFonts w:hint="eastAsia" w:ascii="Times New Roman" w:hAnsi="Times New Roman" w:eastAsia="宋体" w:cs="Times New Roman"/>
          <w:b/>
          <w:color w:val="auto"/>
          <w:sz w:val="24"/>
          <w:highlight w:val="none"/>
          <w:lang w:val="en-US" w:eastAsia="zh-CN"/>
        </w:rPr>
        <w:t>2</w:t>
      </w:r>
      <w:r>
        <w:rPr>
          <w:rFonts w:hint="eastAsia" w:ascii="Times New Roman" w:hAnsi="Times New Roman" w:eastAsia="宋体" w:cs="Times New Roman"/>
          <w:b/>
          <w:color w:val="auto"/>
          <w:sz w:val="24"/>
          <w:highlight w:val="none"/>
        </w:rPr>
        <w:t>号）</w:t>
      </w:r>
    </w:p>
    <w:p w14:paraId="0A029CF3">
      <w:pPr>
        <w:rPr>
          <w:rFonts w:hint="eastAsia" w:eastAsiaTheme="minorEastAsia"/>
          <w:highlight w:val="none"/>
          <w:lang w:eastAsia="zh-CN"/>
        </w:rPr>
      </w:pPr>
      <w:r>
        <w:rPr>
          <w:rFonts w:hint="eastAsia" w:eastAsiaTheme="minorEastAsia"/>
          <w:highlight w:val="none"/>
          <w:lang w:eastAsia="zh-CN"/>
        </w:rPr>
        <w:drawing>
          <wp:inline distT="0" distB="0" distL="114300" distR="114300">
            <wp:extent cx="5267325" cy="3896995"/>
            <wp:effectExtent l="0" t="0" r="5715" b="4445"/>
            <wp:docPr id="5" name="图片 5" descr="2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5-2"/>
                    <pic:cNvPicPr>
                      <a:picLocks noChangeAspect="1"/>
                    </pic:cNvPicPr>
                  </pic:nvPicPr>
                  <pic:blipFill>
                    <a:blip r:embed="rId16"/>
                    <a:stretch>
                      <a:fillRect/>
                    </a:stretch>
                  </pic:blipFill>
                  <pic:spPr>
                    <a:xfrm>
                      <a:off x="0" y="0"/>
                      <a:ext cx="5267325" cy="3896995"/>
                    </a:xfrm>
                    <a:prstGeom prst="rect">
                      <a:avLst/>
                    </a:prstGeom>
                  </pic:spPr>
                </pic:pic>
              </a:graphicData>
            </a:graphic>
          </wp:inline>
        </w:drawing>
      </w:r>
    </w:p>
    <w:p w14:paraId="27F9C234">
      <w:pPr>
        <w:pStyle w:val="2"/>
        <w:rPr>
          <w:rFonts w:hint="eastAsia" w:eastAsiaTheme="minorEastAsia"/>
          <w:highlight w:val="none"/>
          <w:lang w:eastAsia="zh-CN"/>
        </w:rPr>
      </w:pPr>
    </w:p>
    <w:p w14:paraId="03FD8325">
      <w:pPr>
        <w:rPr>
          <w:rFonts w:hint="eastAsia" w:eastAsiaTheme="minorEastAsia"/>
          <w:highlight w:val="none"/>
          <w:lang w:eastAsia="zh-CN"/>
        </w:rPr>
      </w:pPr>
    </w:p>
    <w:p w14:paraId="38293510">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rPr>
        <w:t>附件</w:t>
      </w:r>
      <w:r>
        <w:rPr>
          <w:rFonts w:hint="eastAsia" w:ascii="Times New Roman" w:hAnsi="Times New Roman" w:eastAsia="宋体" w:cs="Times New Roman"/>
          <w:b/>
          <w:color w:val="auto"/>
          <w:sz w:val="24"/>
          <w:highlight w:val="none"/>
          <w:lang w:val="en-US" w:eastAsia="zh-CN"/>
        </w:rPr>
        <w:t>1-6</w:t>
      </w:r>
      <w:r>
        <w:rPr>
          <w:rFonts w:hint="eastAsia" w:ascii="Times New Roman" w:hAnsi="Times New Roman" w:eastAsia="宋体" w:cs="Times New Roman"/>
          <w:b/>
          <w:color w:val="auto"/>
          <w:sz w:val="24"/>
          <w:highlight w:val="none"/>
        </w:rPr>
        <w:t>：安全可靠测评结果公告（</w:t>
      </w:r>
      <w:r>
        <w:rPr>
          <w:rFonts w:hint="eastAsia" w:ascii="Times New Roman" w:hAnsi="Times New Roman" w:eastAsia="宋体" w:cs="Times New Roman"/>
          <w:b/>
          <w:color w:val="auto"/>
          <w:sz w:val="24"/>
          <w:highlight w:val="none"/>
          <w:lang w:eastAsia="zh-CN"/>
        </w:rPr>
        <w:t>2025年</w:t>
      </w:r>
      <w:r>
        <w:rPr>
          <w:rFonts w:hint="eastAsia" w:ascii="Times New Roman" w:hAnsi="Times New Roman" w:eastAsia="宋体" w:cs="Times New Roman"/>
          <w:b/>
          <w:color w:val="auto"/>
          <w:sz w:val="24"/>
          <w:highlight w:val="none"/>
        </w:rPr>
        <w:t>第</w:t>
      </w:r>
      <w:r>
        <w:rPr>
          <w:rFonts w:hint="eastAsia" w:ascii="Times New Roman" w:hAnsi="Times New Roman" w:eastAsia="宋体" w:cs="Times New Roman"/>
          <w:b/>
          <w:color w:val="auto"/>
          <w:sz w:val="24"/>
          <w:highlight w:val="none"/>
          <w:lang w:val="en-US" w:eastAsia="zh-CN"/>
        </w:rPr>
        <w:t>3号）</w:t>
      </w:r>
    </w:p>
    <w:p w14:paraId="40BA86BD">
      <w:pPr>
        <w:rPr>
          <w:rFonts w:hint="eastAsia" w:ascii="Times New Roman" w:hAnsi="Times New Roman" w:eastAsia="宋体" w:cs="Times New Roman"/>
          <w:b/>
          <w:color w:val="auto"/>
          <w:sz w:val="24"/>
          <w:highlight w:val="none"/>
          <w:lang w:eastAsia="zh-CN"/>
        </w:rPr>
      </w:pPr>
      <w:r>
        <w:rPr>
          <w:rFonts w:ascii="黑体" w:hAnsi="黑体" w:cs="黑体"/>
          <w:i w:val="0"/>
          <w:iCs w:val="0"/>
          <w:sz w:val="32"/>
          <w:szCs w:val="32"/>
          <w:highlight w:val="none"/>
        </w:rPr>
        <w:drawing>
          <wp:inline distT="0" distB="0" distL="114300" distR="114300">
            <wp:extent cx="4866005" cy="6154420"/>
            <wp:effectExtent l="0" t="0" r="10795" b="2540"/>
            <wp:docPr id="16" name="图片 16" descr="2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025-3"/>
                    <pic:cNvPicPr>
                      <a:picLocks noChangeAspect="1"/>
                    </pic:cNvPicPr>
                  </pic:nvPicPr>
                  <pic:blipFill>
                    <a:blip r:embed="rId17"/>
                    <a:stretch>
                      <a:fillRect/>
                    </a:stretch>
                  </pic:blipFill>
                  <pic:spPr>
                    <a:xfrm>
                      <a:off x="0" y="0"/>
                      <a:ext cx="4866005" cy="6154420"/>
                    </a:xfrm>
                    <a:prstGeom prst="rect">
                      <a:avLst/>
                    </a:prstGeom>
                  </pic:spPr>
                </pic:pic>
              </a:graphicData>
            </a:graphic>
          </wp:inline>
        </w:drawing>
      </w:r>
    </w:p>
    <w:p w14:paraId="124FCF97">
      <w:pPr>
        <w:rPr>
          <w:rFonts w:hint="default"/>
          <w:lang w:val="en-US" w:eastAsia="zh-CN"/>
        </w:rPr>
      </w:pPr>
      <w:r>
        <w:rPr>
          <w:rFonts w:hint="default"/>
          <w:lang w:val="en-US" w:eastAsia="zh-CN"/>
        </w:rPr>
        <w:br w:type="page"/>
      </w:r>
    </w:p>
    <w:p w14:paraId="4FC0CD39">
      <w:pPr>
        <w:pStyle w:val="4"/>
        <w:numPr>
          <w:ilvl w:val="0"/>
          <w:numId w:val="0"/>
        </w:numPr>
        <w:tabs>
          <w:tab w:val="left" w:pos="425"/>
        </w:tabs>
        <w:topLinePunct w:val="0"/>
        <w:adjustRightInd w:val="0"/>
        <w:snapToGrid w:val="0"/>
        <w:spacing w:line="560" w:lineRule="exact"/>
        <w:textAlignment w:val="auto"/>
        <w:rPr>
          <w:rFonts w:hint="eastAsia" w:ascii="Times New Roman" w:hAnsi="Times New Roman" w:eastAsia="宋体" w:cs="Times New Roman"/>
          <w:b/>
          <w:color w:val="auto"/>
          <w:sz w:val="24"/>
          <w:szCs w:val="44"/>
          <w:highlight w:val="none"/>
        </w:rPr>
      </w:pPr>
      <w:r>
        <w:rPr>
          <w:rFonts w:hint="eastAsia" w:ascii="Times New Roman" w:hAnsi="Times New Roman" w:eastAsia="宋体" w:cs="Times New Roman"/>
          <w:b/>
          <w:color w:val="auto"/>
          <w:sz w:val="24"/>
          <w:szCs w:val="44"/>
          <w:highlight w:val="none"/>
        </w:rPr>
        <w:t>附件</w:t>
      </w:r>
      <w:r>
        <w:rPr>
          <w:rFonts w:hint="eastAsia" w:ascii="Times New Roman" w:hAnsi="Times New Roman" w:eastAsia="宋体" w:cs="Times New Roman"/>
          <w:b/>
          <w:color w:val="auto"/>
          <w:sz w:val="24"/>
          <w:szCs w:val="44"/>
          <w:highlight w:val="none"/>
          <w:lang w:val="en-US" w:eastAsia="zh-CN"/>
        </w:rPr>
        <w:t>1-7</w:t>
      </w:r>
      <w:r>
        <w:rPr>
          <w:rFonts w:hint="eastAsia" w:ascii="Times New Roman" w:hAnsi="Times New Roman" w:eastAsia="宋体" w:cs="Times New Roman"/>
          <w:b/>
          <w:color w:val="auto"/>
          <w:sz w:val="24"/>
          <w:szCs w:val="44"/>
          <w:highlight w:val="none"/>
        </w:rPr>
        <w:t>：安全可靠测评结果公告（202</w:t>
      </w:r>
      <w:r>
        <w:rPr>
          <w:rFonts w:hint="eastAsia" w:ascii="Times New Roman" w:hAnsi="Times New Roman" w:eastAsia="宋体" w:cs="Times New Roman"/>
          <w:b/>
          <w:color w:val="auto"/>
          <w:sz w:val="24"/>
          <w:szCs w:val="44"/>
          <w:highlight w:val="none"/>
          <w:lang w:val="en-US" w:eastAsia="zh-CN"/>
        </w:rPr>
        <w:t>6</w:t>
      </w:r>
      <w:r>
        <w:rPr>
          <w:rFonts w:hint="eastAsia" w:ascii="Times New Roman" w:hAnsi="Times New Roman" w:eastAsia="宋体" w:cs="Times New Roman"/>
          <w:b/>
          <w:color w:val="auto"/>
          <w:sz w:val="24"/>
          <w:szCs w:val="44"/>
          <w:highlight w:val="none"/>
        </w:rPr>
        <w:t>年第</w:t>
      </w:r>
      <w:r>
        <w:rPr>
          <w:rFonts w:hint="eastAsia" w:ascii="Times New Roman" w:hAnsi="Times New Roman" w:eastAsia="宋体" w:cs="Times New Roman"/>
          <w:b/>
          <w:color w:val="auto"/>
          <w:sz w:val="24"/>
          <w:szCs w:val="44"/>
          <w:highlight w:val="none"/>
          <w:lang w:val="en-US" w:eastAsia="zh-CN"/>
        </w:rPr>
        <w:t>1</w:t>
      </w:r>
      <w:r>
        <w:rPr>
          <w:rFonts w:hint="eastAsia" w:ascii="Times New Roman" w:hAnsi="Times New Roman" w:eastAsia="宋体" w:cs="Times New Roman"/>
          <w:b/>
          <w:color w:val="auto"/>
          <w:sz w:val="24"/>
          <w:szCs w:val="44"/>
          <w:highlight w:val="none"/>
        </w:rPr>
        <w:t>号）</w:t>
      </w:r>
    </w:p>
    <w:p w14:paraId="51C96068">
      <w:pPr>
        <w:jc w:val="center"/>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drawing>
          <wp:inline distT="0" distB="0" distL="114300" distR="114300">
            <wp:extent cx="5272405" cy="4904740"/>
            <wp:effectExtent l="0" t="0" r="635" b="2540"/>
            <wp:docPr id="6" name="图片 6" descr="d0b07c091e97bff142d03fbaf506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0b07c091e97bff142d03fbaf5067258"/>
                    <pic:cNvPicPr>
                      <a:picLocks noChangeAspect="1"/>
                    </pic:cNvPicPr>
                  </pic:nvPicPr>
                  <pic:blipFill>
                    <a:blip r:embed="rId18"/>
                    <a:stretch>
                      <a:fillRect/>
                    </a:stretch>
                  </pic:blipFill>
                  <pic:spPr>
                    <a:xfrm>
                      <a:off x="0" y="0"/>
                      <a:ext cx="5272405" cy="4904740"/>
                    </a:xfrm>
                    <a:prstGeom prst="rect">
                      <a:avLst/>
                    </a:prstGeom>
                  </pic:spPr>
                </pic:pic>
              </a:graphicData>
            </a:graphic>
          </wp:inline>
        </w:drawing>
      </w:r>
    </w:p>
    <w:p w14:paraId="1E520078">
      <w:pPr>
        <w:jc w:val="center"/>
        <w:rPr>
          <w:rFonts w:hint="eastAsia" w:ascii="黑体" w:hAnsi="黑体" w:eastAsia="黑体" w:cs="黑体"/>
          <w:sz w:val="32"/>
          <w:szCs w:val="32"/>
          <w:highlight w:val="none"/>
          <w:lang w:val="en-US" w:eastAsia="zh-CN"/>
        </w:rPr>
      </w:pPr>
    </w:p>
    <w:p w14:paraId="7F113793">
      <w:pPr>
        <w:jc w:val="center"/>
        <w:rPr>
          <w:rFonts w:hint="eastAsia" w:ascii="黑体" w:hAnsi="黑体" w:eastAsia="黑体" w:cs="黑体"/>
          <w:sz w:val="32"/>
          <w:szCs w:val="32"/>
          <w:highlight w:val="none"/>
          <w:lang w:val="en-US" w:eastAsia="zh-CN"/>
        </w:rPr>
      </w:pPr>
    </w:p>
    <w:p w14:paraId="0108ED70">
      <w:pPr>
        <w:jc w:val="center"/>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br w:type="page"/>
      </w:r>
    </w:p>
    <w:p w14:paraId="013B555F">
      <w:pPr>
        <w:pStyle w:val="4"/>
        <w:numPr>
          <w:ilvl w:val="0"/>
          <w:numId w:val="0"/>
        </w:numPr>
        <w:tabs>
          <w:tab w:val="left" w:pos="425"/>
        </w:tabs>
        <w:topLinePunct w:val="0"/>
        <w:adjustRightInd w:val="0"/>
        <w:snapToGrid w:val="0"/>
        <w:spacing w:line="560" w:lineRule="exact"/>
        <w:textAlignment w:val="auto"/>
        <w:rPr>
          <w:rFonts w:hint="default" w:ascii="黑体" w:hAnsi="黑体" w:eastAsia="黑体" w:cs="黑体"/>
          <w:b/>
          <w:sz w:val="32"/>
          <w:szCs w:val="32"/>
          <w:lang w:val="en-US" w:eastAsia="zh-CN"/>
        </w:rPr>
      </w:pPr>
      <w:r>
        <w:rPr>
          <w:rFonts w:hint="eastAsia" w:ascii="黑体" w:hAnsi="黑体" w:eastAsia="黑体" w:cs="黑体"/>
          <w:b/>
          <w:sz w:val="32"/>
          <w:szCs w:val="32"/>
          <w:lang w:val="en-US" w:eastAsia="zh-CN"/>
        </w:rPr>
        <w:t>附件1-8：承诺函及其附表</w:t>
      </w:r>
    </w:p>
    <w:p w14:paraId="63C31F2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50" w:lineRule="atLeast"/>
        <w:ind w:left="0" w:right="0"/>
        <w:jc w:val="center"/>
        <w:rPr>
          <w:rFonts w:hint="eastAsia" w:ascii="宋体" w:hAnsi="宋体" w:eastAsia="宋体" w:cs="宋体"/>
          <w:i w:val="0"/>
          <w:iCs w:val="0"/>
          <w:caps w:val="0"/>
          <w:color w:val="auto"/>
          <w:spacing w:val="0"/>
          <w:sz w:val="36"/>
          <w:szCs w:val="36"/>
          <w:highlight w:val="none"/>
          <w:lang w:val="en-US" w:eastAsia="zh-CN"/>
        </w:rPr>
      </w:pPr>
      <w:r>
        <w:rPr>
          <w:rFonts w:hint="eastAsia" w:ascii="宋体" w:hAnsi="宋体" w:eastAsia="宋体" w:cs="宋体"/>
          <w:i w:val="0"/>
          <w:iCs w:val="0"/>
          <w:caps w:val="0"/>
          <w:color w:val="auto"/>
          <w:spacing w:val="0"/>
          <w:sz w:val="36"/>
          <w:szCs w:val="36"/>
          <w:highlight w:val="none"/>
          <w:lang w:val="en-US" w:eastAsia="zh-CN"/>
        </w:rPr>
        <w:t>承诺函</w:t>
      </w:r>
    </w:p>
    <w:p w14:paraId="1E1DF80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jc w:val="both"/>
        <w:textAlignment w:val="auto"/>
        <w:rPr>
          <w:rFonts w:hint="eastAsia" w:ascii="宋体" w:hAnsi="宋体" w:eastAsia="宋体" w:cs="宋体"/>
          <w:i w:val="0"/>
          <w:iCs w:val="0"/>
          <w:caps w:val="0"/>
          <w:color w:val="auto"/>
          <w:spacing w:val="0"/>
          <w:sz w:val="22"/>
          <w:szCs w:val="22"/>
          <w:highlight w:val="none"/>
          <w:u w:val="single"/>
        </w:rPr>
      </w:pPr>
      <w:r>
        <w:rPr>
          <w:rFonts w:hint="eastAsia" w:ascii="宋体" w:hAnsi="宋体" w:eastAsia="宋体" w:cs="宋体"/>
          <w:i w:val="0"/>
          <w:iCs w:val="0"/>
          <w:caps w:val="0"/>
          <w:color w:val="auto"/>
          <w:spacing w:val="0"/>
          <w:sz w:val="22"/>
          <w:szCs w:val="22"/>
          <w:highlight w:val="none"/>
          <w:u w:val="single"/>
          <w:lang w:val="en-US" w:eastAsia="zh-CN"/>
        </w:rPr>
        <w:t>致：广东电网能源投资有限公司</w:t>
      </w:r>
    </w:p>
    <w:p w14:paraId="619694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both"/>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我公司承诺</w:t>
      </w:r>
      <w:r>
        <w:rPr>
          <w:rFonts w:hint="eastAsia" w:ascii="宋体" w:hAnsi="宋体" w:eastAsia="宋体" w:cs="宋体"/>
          <w:i w:val="0"/>
          <w:iCs w:val="0"/>
          <w:caps w:val="0"/>
          <w:color w:val="auto"/>
          <w:spacing w:val="0"/>
          <w:sz w:val="22"/>
          <w:szCs w:val="22"/>
          <w:highlight w:val="none"/>
          <w:u w:val="single"/>
          <w:lang w:val="en-US" w:eastAsia="zh-CN"/>
        </w:rPr>
        <w:t>广东电网能源投资有限公司2026年本地服务器零星采购</w:t>
      </w:r>
      <w:r>
        <w:rPr>
          <w:rFonts w:hint="eastAsia" w:ascii="宋体" w:hAnsi="宋体" w:eastAsia="宋体" w:cs="宋体"/>
          <w:i w:val="0"/>
          <w:iCs w:val="0"/>
          <w:caps w:val="0"/>
          <w:color w:val="auto"/>
          <w:spacing w:val="0"/>
          <w:sz w:val="22"/>
          <w:szCs w:val="22"/>
          <w:highlight w:val="none"/>
          <w:u w:val="none"/>
          <w:lang w:val="en-US" w:eastAsia="zh-CN"/>
        </w:rPr>
        <w:t>投标产品</w:t>
      </w:r>
      <w:r>
        <w:rPr>
          <w:rFonts w:hint="eastAsia" w:ascii="宋体" w:hAnsi="宋体" w:eastAsia="宋体" w:cs="宋体"/>
          <w:i w:val="0"/>
          <w:iCs w:val="0"/>
          <w:caps w:val="0"/>
          <w:color w:val="auto"/>
          <w:spacing w:val="0"/>
          <w:sz w:val="22"/>
          <w:szCs w:val="22"/>
          <w:highlight w:val="none"/>
          <w:u w:val="single"/>
          <w:lang w:val="en-US" w:eastAsia="zh-CN"/>
        </w:rPr>
        <w:t>XX品牌XX型号</w:t>
      </w:r>
      <w:r>
        <w:rPr>
          <w:rFonts w:hint="eastAsia" w:ascii="宋体" w:hAnsi="宋体" w:cs="宋体"/>
          <w:i w:val="0"/>
          <w:iCs w:val="0"/>
          <w:caps w:val="0"/>
          <w:color w:val="auto"/>
          <w:spacing w:val="0"/>
          <w:sz w:val="22"/>
          <w:szCs w:val="22"/>
          <w:highlight w:val="none"/>
          <w:u w:val="none"/>
          <w:lang w:val="en-US" w:eastAsia="zh-CN"/>
        </w:rPr>
        <w:t>本地服务器，</w:t>
      </w:r>
      <w:r>
        <w:rPr>
          <w:rFonts w:hint="eastAsia" w:ascii="宋体" w:hAnsi="宋体" w:eastAsia="宋体" w:cs="宋体"/>
          <w:i w:val="0"/>
          <w:iCs w:val="0"/>
          <w:caps w:val="0"/>
          <w:color w:val="auto"/>
          <w:spacing w:val="0"/>
          <w:sz w:val="22"/>
          <w:szCs w:val="22"/>
          <w:highlight w:val="none"/>
          <w:u w:val="none"/>
          <w:lang w:val="en-US" w:eastAsia="zh-CN"/>
        </w:rPr>
        <w:t>在</w:t>
      </w:r>
      <w:r>
        <w:rPr>
          <w:rFonts w:hint="eastAsia" w:ascii="宋体" w:hAnsi="宋体" w:eastAsia="宋体" w:cs="宋体"/>
          <w:b w:val="0"/>
          <w:color w:val="auto"/>
          <w:sz w:val="22"/>
          <w:szCs w:val="22"/>
          <w:highlight w:val="none"/>
          <w:u w:val="none"/>
          <w:lang w:val="en-US" w:eastAsia="zh-CN"/>
        </w:rPr>
        <w:t xml:space="preserve">附件1-8 </w:t>
      </w:r>
      <w:r>
        <w:rPr>
          <w:rFonts w:hint="eastAsia" w:ascii="宋体" w:hAnsi="宋体" w:eastAsia="宋体" w:cs="宋体"/>
          <w:color w:val="auto"/>
          <w:sz w:val="22"/>
          <w:szCs w:val="22"/>
          <w:highlight w:val="none"/>
          <w:u w:val="none"/>
          <w:lang w:val="en-US" w:eastAsia="zh-CN"/>
        </w:rPr>
        <w:t>附表</w:t>
      </w:r>
      <w:r>
        <w:rPr>
          <w:rFonts w:hint="eastAsia" w:ascii="宋体" w:hAnsi="宋体" w:cs="宋体"/>
          <w:color w:val="auto"/>
          <w:sz w:val="22"/>
          <w:szCs w:val="22"/>
          <w:highlight w:val="none"/>
          <w:u w:val="none"/>
          <w:lang w:val="en-US" w:eastAsia="zh-CN"/>
        </w:rPr>
        <w:t>1、</w:t>
      </w:r>
      <w:r>
        <w:rPr>
          <w:rFonts w:hint="eastAsia" w:ascii="宋体" w:hAnsi="宋体" w:eastAsia="宋体" w:cs="宋体"/>
          <w:b w:val="0"/>
          <w:color w:val="auto"/>
          <w:sz w:val="22"/>
          <w:szCs w:val="22"/>
          <w:highlight w:val="none"/>
          <w:u w:val="none"/>
          <w:lang w:val="en-US" w:eastAsia="zh-CN"/>
        </w:rPr>
        <w:t xml:space="preserve">附件1-8 </w:t>
      </w:r>
      <w:r>
        <w:rPr>
          <w:rFonts w:hint="eastAsia" w:ascii="宋体" w:hAnsi="宋体" w:eastAsia="宋体" w:cs="宋体"/>
          <w:color w:val="auto"/>
          <w:sz w:val="22"/>
          <w:szCs w:val="22"/>
          <w:highlight w:val="none"/>
          <w:u w:val="none"/>
          <w:lang w:val="en-US" w:eastAsia="zh-CN"/>
        </w:rPr>
        <w:t>附表2</w:t>
      </w:r>
      <w:r>
        <w:rPr>
          <w:rFonts w:hint="eastAsia" w:ascii="宋体" w:hAnsi="宋体" w:eastAsia="宋体" w:cs="宋体"/>
          <w:i w:val="0"/>
          <w:iCs w:val="0"/>
          <w:caps w:val="0"/>
          <w:color w:val="auto"/>
          <w:spacing w:val="0"/>
          <w:sz w:val="22"/>
          <w:szCs w:val="22"/>
          <w:highlight w:val="none"/>
          <w:u w:val="none"/>
          <w:lang w:val="en-US" w:eastAsia="zh-CN"/>
        </w:rPr>
        <w:t>所列信息真实有效。若违反本承诺，贵公司有权依据相关规定对我方进行处理，我方愿承担由此导致的各类风险。</w:t>
      </w:r>
    </w:p>
    <w:p w14:paraId="4B895D6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both"/>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特此承诺！</w:t>
      </w:r>
    </w:p>
    <w:p w14:paraId="59B1B96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right"/>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w:t>
      </w:r>
    </w:p>
    <w:p w14:paraId="06D5335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center"/>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设备厂商名称：XX                                                                             </w:t>
      </w:r>
    </w:p>
    <w:p w14:paraId="682312D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center"/>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(公章或电子章）</w:t>
      </w:r>
    </w:p>
    <w:p w14:paraId="07CD4038">
      <w:pPr>
        <w:pStyle w:val="2"/>
        <w:rPr>
          <w:rFonts w:hint="eastAsia" w:ascii="宋体" w:hAnsi="宋体" w:eastAsia="宋体" w:cs="宋体"/>
          <w:i w:val="0"/>
          <w:iCs w:val="0"/>
          <w:caps w:val="0"/>
          <w:color w:val="auto"/>
          <w:spacing w:val="0"/>
          <w:sz w:val="22"/>
          <w:szCs w:val="22"/>
          <w:highlight w:val="none"/>
          <w:u w:val="singl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日期：</w:t>
      </w:r>
      <w:r>
        <w:rPr>
          <w:rFonts w:hint="eastAsia" w:ascii="宋体" w:hAnsi="宋体" w:eastAsia="宋体" w:cs="宋体"/>
          <w:i w:val="0"/>
          <w:iCs w:val="0"/>
          <w:caps w:val="0"/>
          <w:color w:val="auto"/>
          <w:spacing w:val="0"/>
          <w:sz w:val="22"/>
          <w:szCs w:val="22"/>
          <w:highlight w:val="none"/>
          <w:u w:val="single"/>
          <w:lang w:val="en-US" w:eastAsia="zh-CN"/>
        </w:rPr>
        <w:t xml:space="preserve">         年      月      日</w:t>
      </w:r>
    </w:p>
    <w:p w14:paraId="7E7ED8D2">
      <w:pPr>
        <w:pStyle w:val="2"/>
        <w:rPr>
          <w:rFonts w:hint="eastAsia" w:ascii="宋体" w:hAnsi="宋体" w:eastAsia="宋体" w:cs="宋体"/>
          <w:i w:val="0"/>
          <w:iCs w:val="0"/>
          <w:caps w:val="0"/>
          <w:color w:val="auto"/>
          <w:spacing w:val="0"/>
          <w:sz w:val="22"/>
          <w:szCs w:val="22"/>
          <w:highlight w:val="none"/>
          <w:u w:val="single"/>
          <w:lang w:val="en-US" w:eastAsia="zh-CN"/>
        </w:rPr>
      </w:pPr>
    </w:p>
    <w:p w14:paraId="2CFDFD89">
      <w:pPr>
        <w:pStyle w:val="2"/>
        <w:rPr>
          <w:rFonts w:hint="eastAsia" w:ascii="宋体" w:hAnsi="宋体" w:eastAsia="宋体" w:cs="宋体"/>
          <w:i w:val="0"/>
          <w:iCs w:val="0"/>
          <w:caps w:val="0"/>
          <w:color w:val="auto"/>
          <w:spacing w:val="0"/>
          <w:sz w:val="22"/>
          <w:szCs w:val="22"/>
          <w:highlight w:val="none"/>
          <w:u w:val="single"/>
          <w:lang w:val="en-US" w:eastAsia="zh-CN"/>
        </w:rPr>
      </w:pPr>
    </w:p>
    <w:p w14:paraId="7E5A6559">
      <w:pPr>
        <w:pStyle w:val="2"/>
        <w:rPr>
          <w:rFonts w:hint="eastAsia" w:ascii="宋体" w:hAnsi="宋体" w:eastAsia="宋体" w:cs="宋体"/>
          <w:i w:val="0"/>
          <w:iCs w:val="0"/>
          <w:caps w:val="0"/>
          <w:color w:val="auto"/>
          <w:spacing w:val="0"/>
          <w:sz w:val="22"/>
          <w:szCs w:val="22"/>
          <w:highlight w:val="none"/>
          <w:u w:val="single"/>
          <w:lang w:val="en-US" w:eastAsia="zh-CN"/>
        </w:rPr>
      </w:pPr>
    </w:p>
    <w:p w14:paraId="50ECE605">
      <w:pPr>
        <w:pStyle w:val="2"/>
        <w:rPr>
          <w:rFonts w:hint="eastAsia" w:ascii="宋体" w:hAnsi="宋体" w:eastAsia="宋体" w:cs="宋体"/>
          <w:b w:val="0"/>
          <w:bCs w:val="0"/>
          <w:i/>
          <w:iCs/>
          <w:caps w:val="0"/>
          <w:color w:val="auto"/>
          <w:spacing w:val="0"/>
          <w:sz w:val="22"/>
          <w:szCs w:val="22"/>
          <w:highlight w:val="none"/>
          <w:u w:val="none"/>
          <w:lang w:val="en-US" w:eastAsia="zh-CN"/>
        </w:rPr>
      </w:pPr>
    </w:p>
    <w:p w14:paraId="6805545D">
      <w:pPr>
        <w:pStyle w:val="2"/>
        <w:rPr>
          <w:rFonts w:hint="eastAsia" w:ascii="宋体" w:hAnsi="宋体" w:eastAsia="宋体" w:cs="宋体"/>
          <w:b w:val="0"/>
          <w:bCs w:val="0"/>
          <w:i/>
          <w:iCs/>
          <w:caps w:val="0"/>
          <w:color w:val="auto"/>
          <w:spacing w:val="0"/>
          <w:sz w:val="22"/>
          <w:szCs w:val="22"/>
          <w:highlight w:val="none"/>
          <w:u w:val="none"/>
          <w:lang w:val="en-US" w:eastAsia="zh-CN"/>
        </w:rPr>
      </w:pPr>
    </w:p>
    <w:p w14:paraId="4C571A48">
      <w:pPr>
        <w:pStyle w:val="2"/>
        <w:rPr>
          <w:rFonts w:hint="eastAsia" w:ascii="宋体" w:hAnsi="宋体" w:eastAsia="宋体" w:cs="宋体"/>
          <w:b w:val="0"/>
          <w:bCs w:val="0"/>
          <w:i/>
          <w:iCs/>
          <w:caps w:val="0"/>
          <w:color w:val="auto"/>
          <w:spacing w:val="0"/>
          <w:sz w:val="22"/>
          <w:szCs w:val="22"/>
          <w:highlight w:val="none"/>
          <w:u w:val="none"/>
          <w:lang w:val="en-US" w:eastAsia="zh-CN"/>
        </w:rPr>
      </w:pPr>
    </w:p>
    <w:p w14:paraId="52AB0C1F">
      <w:pPr>
        <w:pStyle w:val="2"/>
        <w:rPr>
          <w:rFonts w:hint="eastAsia" w:ascii="宋体" w:hAnsi="宋体" w:eastAsia="宋体" w:cs="宋体"/>
          <w:b w:val="0"/>
          <w:bCs w:val="0"/>
          <w:i/>
          <w:iCs/>
          <w:caps w:val="0"/>
          <w:color w:val="auto"/>
          <w:spacing w:val="0"/>
          <w:sz w:val="22"/>
          <w:szCs w:val="22"/>
          <w:highlight w:val="none"/>
          <w:u w:val="none"/>
          <w:lang w:val="en-US" w:eastAsia="zh-CN"/>
        </w:rPr>
      </w:pPr>
    </w:p>
    <w:p w14:paraId="59AB6035">
      <w:pPr>
        <w:pStyle w:val="2"/>
        <w:rPr>
          <w:rStyle w:val="20"/>
          <w:rFonts w:hint="eastAsia" w:ascii="宋体" w:hAnsi="宋体" w:eastAsia="宋体" w:cs="宋体"/>
          <w:i w:val="0"/>
          <w:iCs w:val="0"/>
          <w:caps w:val="0"/>
          <w:color w:val="auto"/>
          <w:spacing w:val="0"/>
          <w:sz w:val="22"/>
          <w:szCs w:val="22"/>
          <w:highlight w:val="none"/>
          <w:lang w:eastAsia="zh-CN"/>
        </w:rPr>
      </w:pPr>
      <w:r>
        <w:rPr>
          <w:rFonts w:hint="eastAsia" w:ascii="宋体" w:hAnsi="宋体" w:eastAsia="宋体" w:cs="宋体"/>
          <w:b w:val="0"/>
          <w:bCs w:val="0"/>
          <w:i/>
          <w:iCs/>
          <w:caps w:val="0"/>
          <w:color w:val="auto"/>
          <w:spacing w:val="0"/>
          <w:sz w:val="22"/>
          <w:szCs w:val="22"/>
          <w:highlight w:val="none"/>
          <w:u w:val="none"/>
          <w:lang w:val="en-US" w:eastAsia="zh-CN"/>
        </w:rPr>
        <w:t>（备注：本承诺含需附带相关设备品牌型号及芯片信息表）</w:t>
      </w:r>
      <w:r>
        <w:rPr>
          <w:rFonts w:hint="eastAsia" w:ascii="宋体" w:hAnsi="宋体" w:eastAsia="宋体" w:cs="宋体"/>
          <w:i w:val="0"/>
          <w:iCs w:val="0"/>
          <w:caps w:val="0"/>
          <w:color w:val="auto"/>
          <w:spacing w:val="0"/>
          <w:sz w:val="22"/>
          <w:szCs w:val="22"/>
          <w:highlight w:val="none"/>
          <w:u w:val="single"/>
          <w:lang w:val="en-US" w:eastAsia="zh-CN"/>
        </w:rPr>
        <w:br w:type="page"/>
      </w:r>
      <w:r>
        <w:rPr>
          <w:rFonts w:hint="eastAsia" w:ascii="黑体" w:hAnsi="黑体" w:eastAsia="黑体" w:cs="黑体"/>
          <w:b/>
          <w:sz w:val="32"/>
          <w:szCs w:val="32"/>
          <w:lang w:val="en-US" w:eastAsia="zh-CN"/>
        </w:rPr>
        <w:t xml:space="preserve">附件1-8 </w:t>
      </w:r>
      <w:r>
        <w:rPr>
          <w:rFonts w:hint="eastAsia" w:ascii="宋体" w:hAnsi="宋体" w:eastAsia="宋体" w:cs="宋体"/>
          <w:color w:val="auto"/>
          <w:sz w:val="28"/>
          <w:szCs w:val="28"/>
          <w:highlight w:val="none"/>
          <w:lang w:val="en-US" w:eastAsia="zh-CN"/>
        </w:rPr>
        <w:t>附表1：</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9"/>
        <w:gridCol w:w="1655"/>
        <w:gridCol w:w="1333"/>
        <w:gridCol w:w="1352"/>
        <w:gridCol w:w="1369"/>
        <w:gridCol w:w="1384"/>
      </w:tblGrid>
      <w:tr w14:paraId="5243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5000" w:type="pct"/>
            <w:gridSpan w:val="6"/>
            <w:noWrap w:val="0"/>
            <w:vAlign w:val="center"/>
          </w:tcPr>
          <w:p w14:paraId="0CE298E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Style w:val="20"/>
                <w:rFonts w:hint="eastAsia" w:ascii="宋体" w:hAnsi="宋体" w:eastAsia="宋体" w:cs="宋体"/>
                <w:i w:val="0"/>
                <w:iCs w:val="0"/>
                <w:caps w:val="0"/>
                <w:color w:val="auto"/>
                <w:spacing w:val="0"/>
                <w:sz w:val="22"/>
                <w:szCs w:val="22"/>
                <w:highlight w:val="none"/>
                <w:vertAlign w:val="baseline"/>
                <w:lang w:val="en-US" w:eastAsia="zh-CN"/>
              </w:rPr>
            </w:pPr>
            <w:r>
              <w:rPr>
                <w:rFonts w:hint="eastAsia" w:ascii="宋体" w:hAnsi="宋体" w:eastAsia="宋体" w:cs="宋体"/>
                <w:color w:val="auto"/>
                <w:sz w:val="21"/>
                <w:szCs w:val="21"/>
                <w:highlight w:val="none"/>
                <w:u w:val="single"/>
                <w:lang w:val="en-US" w:eastAsia="zh-CN"/>
              </w:rPr>
              <w:t>XX品牌XX型号</w:t>
            </w:r>
            <w:r>
              <w:rPr>
                <w:rFonts w:hint="eastAsia" w:ascii="宋体" w:hAnsi="宋体" w:cs="宋体"/>
                <w:color w:val="auto"/>
                <w:sz w:val="21"/>
                <w:szCs w:val="21"/>
                <w:highlight w:val="none"/>
                <w:u w:val="single"/>
                <w:lang w:val="en-US" w:eastAsia="zh-CN"/>
              </w:rPr>
              <w:t xml:space="preserve"> 本地服务器</w:t>
            </w:r>
          </w:p>
        </w:tc>
      </w:tr>
      <w:tr w14:paraId="49FB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noWrap w:val="0"/>
            <w:vAlign w:val="center"/>
          </w:tcPr>
          <w:p w14:paraId="4EEB236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设备类型</w:t>
            </w:r>
          </w:p>
        </w:tc>
        <w:tc>
          <w:tcPr>
            <w:tcW w:w="971" w:type="pct"/>
            <w:noWrap w:val="0"/>
            <w:vAlign w:val="center"/>
          </w:tcPr>
          <w:p w14:paraId="26134A8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设备厂商名称</w:t>
            </w:r>
          </w:p>
        </w:tc>
        <w:tc>
          <w:tcPr>
            <w:tcW w:w="782" w:type="pct"/>
            <w:noWrap w:val="0"/>
            <w:vAlign w:val="center"/>
          </w:tcPr>
          <w:p w14:paraId="679BF51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设备型号</w:t>
            </w:r>
          </w:p>
        </w:tc>
        <w:tc>
          <w:tcPr>
            <w:tcW w:w="793" w:type="pct"/>
            <w:noWrap w:val="0"/>
            <w:vAlign w:val="center"/>
          </w:tcPr>
          <w:p w14:paraId="3543D59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芯片类型</w:t>
            </w:r>
          </w:p>
        </w:tc>
        <w:tc>
          <w:tcPr>
            <w:tcW w:w="803" w:type="pct"/>
            <w:noWrap w:val="0"/>
            <w:vAlign w:val="center"/>
          </w:tcPr>
          <w:p w14:paraId="57613B8B">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单设备国产芯片数量（颗）</w:t>
            </w:r>
          </w:p>
        </w:tc>
        <w:tc>
          <w:tcPr>
            <w:tcW w:w="810" w:type="pct"/>
            <w:noWrap w:val="0"/>
            <w:vAlign w:val="center"/>
          </w:tcPr>
          <w:p w14:paraId="05C92F8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单设备非国产芯片数量（颗）</w:t>
            </w:r>
          </w:p>
        </w:tc>
      </w:tr>
      <w:tr w14:paraId="29FB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restart"/>
            <w:noWrap w:val="0"/>
            <w:vAlign w:val="center"/>
          </w:tcPr>
          <w:p w14:paraId="5967356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本地服务器</w:t>
            </w:r>
          </w:p>
        </w:tc>
        <w:tc>
          <w:tcPr>
            <w:tcW w:w="971" w:type="pct"/>
            <w:vMerge w:val="restart"/>
            <w:noWrap w:val="0"/>
            <w:vAlign w:val="center"/>
          </w:tcPr>
          <w:p w14:paraId="34B0450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restart"/>
            <w:noWrap w:val="0"/>
            <w:vAlign w:val="center"/>
          </w:tcPr>
          <w:p w14:paraId="737FF19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7923781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CPU</w:t>
            </w:r>
          </w:p>
        </w:tc>
        <w:tc>
          <w:tcPr>
            <w:tcW w:w="803" w:type="pct"/>
            <w:noWrap w:val="0"/>
            <w:vAlign w:val="center"/>
          </w:tcPr>
          <w:p w14:paraId="12EC804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616646C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20CF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continue"/>
            <w:noWrap w:val="0"/>
            <w:vAlign w:val="center"/>
          </w:tcPr>
          <w:p w14:paraId="7153A04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2637DB5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212CEA8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2259851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SSD颗粒</w:t>
            </w:r>
          </w:p>
        </w:tc>
        <w:tc>
          <w:tcPr>
            <w:tcW w:w="803" w:type="pct"/>
            <w:noWrap w:val="0"/>
            <w:vAlign w:val="center"/>
          </w:tcPr>
          <w:p w14:paraId="3966002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2A800F7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47D1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continue"/>
            <w:noWrap w:val="0"/>
            <w:vAlign w:val="center"/>
          </w:tcPr>
          <w:p w14:paraId="3899D0E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731BA88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3DB9B05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10FF95C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DRAM颗粒</w:t>
            </w:r>
          </w:p>
        </w:tc>
        <w:tc>
          <w:tcPr>
            <w:tcW w:w="803" w:type="pct"/>
            <w:noWrap w:val="0"/>
            <w:vAlign w:val="center"/>
          </w:tcPr>
          <w:p w14:paraId="735DE96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6E0035E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17F1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continue"/>
            <w:noWrap w:val="0"/>
            <w:vAlign w:val="center"/>
          </w:tcPr>
          <w:p w14:paraId="25195E8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44A0E08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6D5B363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12526C4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BMC</w:t>
            </w:r>
          </w:p>
        </w:tc>
        <w:tc>
          <w:tcPr>
            <w:tcW w:w="803" w:type="pct"/>
            <w:noWrap w:val="0"/>
            <w:vAlign w:val="center"/>
          </w:tcPr>
          <w:p w14:paraId="63CF3BEB">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5D038A3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6F347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continue"/>
            <w:noWrap w:val="0"/>
            <w:vAlign w:val="center"/>
          </w:tcPr>
          <w:p w14:paraId="6913F33B">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13F31BD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420FD5A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248965E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网卡芯片</w:t>
            </w:r>
          </w:p>
        </w:tc>
        <w:tc>
          <w:tcPr>
            <w:tcW w:w="803" w:type="pct"/>
            <w:noWrap w:val="0"/>
            <w:vAlign w:val="center"/>
          </w:tcPr>
          <w:p w14:paraId="2253925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0FAC43A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53AB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pct"/>
            <w:vMerge w:val="continue"/>
            <w:noWrap w:val="0"/>
            <w:vAlign w:val="center"/>
          </w:tcPr>
          <w:p w14:paraId="206AEF6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6A97F5D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698B50E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4E2C672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电源模块控制芯片</w:t>
            </w:r>
          </w:p>
        </w:tc>
        <w:tc>
          <w:tcPr>
            <w:tcW w:w="803" w:type="pct"/>
            <w:noWrap w:val="0"/>
            <w:vAlign w:val="center"/>
          </w:tcPr>
          <w:p w14:paraId="74A9BE0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5853756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2F4F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839" w:type="pct"/>
            <w:vMerge w:val="continue"/>
            <w:noWrap w:val="0"/>
            <w:vAlign w:val="center"/>
          </w:tcPr>
          <w:p w14:paraId="64D1AE3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1" w:type="pct"/>
            <w:vMerge w:val="continue"/>
            <w:noWrap w:val="0"/>
            <w:vAlign w:val="center"/>
          </w:tcPr>
          <w:p w14:paraId="6FEDEF5B">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vMerge w:val="continue"/>
            <w:noWrap w:val="0"/>
            <w:vAlign w:val="center"/>
          </w:tcPr>
          <w:p w14:paraId="26C444A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037B1C7F">
            <w:pPr>
              <w:pStyle w:val="15"/>
              <w:ind w:firstLine="0" w:firstLineChars="0"/>
              <w:jc w:val="center"/>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AI芯片</w:t>
            </w:r>
          </w:p>
        </w:tc>
        <w:tc>
          <w:tcPr>
            <w:tcW w:w="803" w:type="pct"/>
            <w:noWrap w:val="0"/>
            <w:vAlign w:val="center"/>
          </w:tcPr>
          <w:p w14:paraId="12DE141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10" w:type="pct"/>
            <w:noWrap w:val="0"/>
            <w:vAlign w:val="center"/>
          </w:tcPr>
          <w:p w14:paraId="4EC59B3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both"/>
              <w:textAlignment w:val="auto"/>
              <w:rPr>
                <w:rFonts w:hint="eastAsia" w:ascii="宋体" w:hAnsi="宋体" w:eastAsia="宋体" w:cs="宋体"/>
                <w:color w:val="auto"/>
                <w:sz w:val="21"/>
                <w:szCs w:val="21"/>
                <w:highlight w:val="none"/>
                <w:u w:val="none"/>
                <w:lang w:val="en-US" w:eastAsia="zh-CN"/>
              </w:rPr>
            </w:pPr>
          </w:p>
        </w:tc>
      </w:tr>
    </w:tbl>
    <w:p w14:paraId="04C9EBD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宋体" w:hAnsi="宋体" w:cs="宋体"/>
          <w:color w:val="auto"/>
          <w:sz w:val="21"/>
          <w:szCs w:val="21"/>
          <w:highlight w:val="none"/>
          <w:u w:val="none"/>
          <w:lang w:val="en-US" w:eastAsia="zh-CN"/>
        </w:rPr>
      </w:pPr>
    </w:p>
    <w:p w14:paraId="3157D5F6">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宋体" w:hAnsi="宋体" w:cs="宋体"/>
          <w:color w:val="auto"/>
          <w:sz w:val="21"/>
          <w:szCs w:val="21"/>
          <w:highlight w:val="none"/>
          <w:u w:val="none"/>
          <w:lang w:val="en-US" w:eastAsia="zh-CN"/>
        </w:rPr>
        <w:sectPr>
          <w:pgSz w:w="11906" w:h="16838"/>
          <w:pgMar w:top="1440" w:right="1800" w:bottom="1440" w:left="1800" w:header="851" w:footer="992" w:gutter="0"/>
          <w:pgNumType w:fmt="decimal"/>
          <w:cols w:space="425" w:num="1"/>
          <w:docGrid w:type="lines" w:linePitch="312" w:charSpace="0"/>
        </w:sectPr>
      </w:pPr>
    </w:p>
    <w:p w14:paraId="79B64E5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420" w:lineRule="atLeast"/>
        <w:ind w:right="0" w:firstLine="0" w:firstLineChars="0"/>
        <w:jc w:val="both"/>
        <w:textAlignment w:val="auto"/>
        <w:rPr>
          <w:rFonts w:hint="eastAsia" w:ascii="宋体" w:hAnsi="宋体" w:eastAsia="宋体" w:cs="宋体"/>
          <w:color w:val="auto"/>
          <w:sz w:val="28"/>
          <w:szCs w:val="28"/>
          <w:highlight w:val="none"/>
          <w:lang w:val="en-US" w:eastAsia="zh-CN"/>
        </w:rPr>
      </w:pPr>
      <w:r>
        <w:rPr>
          <w:rFonts w:hint="eastAsia" w:ascii="黑体" w:hAnsi="黑体" w:eastAsia="黑体" w:cs="黑体"/>
          <w:b/>
          <w:sz w:val="32"/>
          <w:szCs w:val="32"/>
          <w:lang w:val="en-US" w:eastAsia="zh-CN"/>
        </w:rPr>
        <w:t xml:space="preserve">附件1-8 </w:t>
      </w:r>
      <w:r>
        <w:rPr>
          <w:rFonts w:hint="eastAsia" w:ascii="宋体" w:hAnsi="宋体" w:eastAsia="宋体" w:cs="宋体"/>
          <w:color w:val="auto"/>
          <w:sz w:val="28"/>
          <w:szCs w:val="28"/>
          <w:highlight w:val="none"/>
          <w:lang w:val="en-US" w:eastAsia="zh-CN"/>
        </w:rPr>
        <w:t>附表2：</w:t>
      </w:r>
    </w:p>
    <w:p w14:paraId="6073DF9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420" w:lineRule="atLeast"/>
        <w:ind w:right="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芯片信息表</w:t>
      </w:r>
    </w:p>
    <w:tbl>
      <w:tblPr>
        <w:tblStyle w:val="18"/>
        <w:tblW w:w="44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2"/>
        <w:gridCol w:w="2799"/>
      </w:tblGrid>
      <w:tr w14:paraId="63F2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66ED93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设备类型</w:t>
            </w:r>
          </w:p>
        </w:tc>
        <w:tc>
          <w:tcPr>
            <w:tcW w:w="1831" w:type="pct"/>
            <w:noWrap w:val="0"/>
            <w:vAlign w:val="center"/>
          </w:tcPr>
          <w:p w14:paraId="41714F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本地服务器</w:t>
            </w:r>
          </w:p>
        </w:tc>
      </w:tr>
      <w:tr w14:paraId="1425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7A0CF1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设备品牌型号</w:t>
            </w:r>
          </w:p>
        </w:tc>
        <w:tc>
          <w:tcPr>
            <w:tcW w:w="1831" w:type="pct"/>
            <w:noWrap w:val="0"/>
            <w:vAlign w:val="center"/>
          </w:tcPr>
          <w:p w14:paraId="1D7807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01F0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13862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芯片类型</w:t>
            </w:r>
          </w:p>
        </w:tc>
        <w:tc>
          <w:tcPr>
            <w:tcW w:w="1831" w:type="pct"/>
            <w:noWrap w:val="0"/>
            <w:vAlign w:val="center"/>
          </w:tcPr>
          <w:p w14:paraId="13379A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2516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7FD6BC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芯片厂家</w:t>
            </w:r>
          </w:p>
        </w:tc>
        <w:tc>
          <w:tcPr>
            <w:tcW w:w="1831" w:type="pct"/>
            <w:noWrap w:val="0"/>
            <w:vAlign w:val="center"/>
          </w:tcPr>
          <w:p w14:paraId="33078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6CEF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1A04FF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型号</w:t>
            </w:r>
          </w:p>
        </w:tc>
        <w:tc>
          <w:tcPr>
            <w:tcW w:w="1831" w:type="pct"/>
            <w:noWrap w:val="0"/>
            <w:vAlign w:val="center"/>
          </w:tcPr>
          <w:p w14:paraId="2FDB23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1A1F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14515B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芯片设计单位（全称）</w:t>
            </w:r>
          </w:p>
        </w:tc>
        <w:tc>
          <w:tcPr>
            <w:tcW w:w="1831" w:type="pct"/>
            <w:noWrap w:val="0"/>
            <w:vAlign w:val="center"/>
          </w:tcPr>
          <w:p w14:paraId="37361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2F800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648B1E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 注册地址</w:t>
            </w:r>
          </w:p>
        </w:tc>
        <w:tc>
          <w:tcPr>
            <w:tcW w:w="1831" w:type="pct"/>
            <w:noWrap w:val="0"/>
            <w:vAlign w:val="center"/>
          </w:tcPr>
          <w:p w14:paraId="065F00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6F9E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748ADF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 境内/境外</w:t>
            </w:r>
          </w:p>
        </w:tc>
        <w:tc>
          <w:tcPr>
            <w:tcW w:w="1831" w:type="pct"/>
            <w:noWrap w:val="0"/>
            <w:vAlign w:val="center"/>
          </w:tcPr>
          <w:p w14:paraId="6CE5BE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7020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60A03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 注册信息是否包含“集成电路设计”</w:t>
            </w:r>
          </w:p>
        </w:tc>
        <w:tc>
          <w:tcPr>
            <w:tcW w:w="1831" w:type="pct"/>
            <w:noWrap w:val="0"/>
            <w:vAlign w:val="center"/>
          </w:tcPr>
          <w:p w14:paraId="5C443B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4D70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48F0E4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 是否具有独立法人</w:t>
            </w:r>
          </w:p>
        </w:tc>
        <w:tc>
          <w:tcPr>
            <w:tcW w:w="1831" w:type="pct"/>
            <w:noWrap w:val="0"/>
            <w:vAlign w:val="center"/>
          </w:tcPr>
          <w:p w14:paraId="49683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6FD7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05E434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集成电路设计机构地址（实际研发地点）</w:t>
            </w:r>
          </w:p>
        </w:tc>
        <w:tc>
          <w:tcPr>
            <w:tcW w:w="1831" w:type="pct"/>
            <w:noWrap w:val="0"/>
            <w:vAlign w:val="center"/>
          </w:tcPr>
          <w:p w14:paraId="5F298C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4107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393E24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集成电路设计的机构位于 境内/境外</w:t>
            </w:r>
          </w:p>
        </w:tc>
        <w:tc>
          <w:tcPr>
            <w:tcW w:w="1831" w:type="pct"/>
            <w:noWrap w:val="0"/>
            <w:vAlign w:val="center"/>
          </w:tcPr>
          <w:p w14:paraId="357394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6316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331C27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芯片制程（nm）</w:t>
            </w:r>
          </w:p>
        </w:tc>
        <w:tc>
          <w:tcPr>
            <w:tcW w:w="1831" w:type="pct"/>
            <w:noWrap w:val="0"/>
            <w:vAlign w:val="center"/>
          </w:tcPr>
          <w:p w14:paraId="3D53A6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728F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shd w:val="clear" w:color="auto" w:fill="auto"/>
            <w:noWrap w:val="0"/>
            <w:vAlign w:val="center"/>
          </w:tcPr>
          <w:p w14:paraId="157CF3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芯片制造单位（全称）</w:t>
            </w:r>
          </w:p>
        </w:tc>
        <w:tc>
          <w:tcPr>
            <w:tcW w:w="1831" w:type="pct"/>
            <w:noWrap w:val="0"/>
            <w:vAlign w:val="center"/>
          </w:tcPr>
          <w:p w14:paraId="4EC9DA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5891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59F724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芯片制造单位 地址</w:t>
            </w:r>
          </w:p>
        </w:tc>
        <w:tc>
          <w:tcPr>
            <w:tcW w:w="1831" w:type="pct"/>
            <w:noWrap w:val="0"/>
            <w:vAlign w:val="center"/>
          </w:tcPr>
          <w:p w14:paraId="3FC04D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6929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shd w:val="clear" w:color="auto" w:fill="auto"/>
            <w:noWrap w:val="0"/>
            <w:vAlign w:val="center"/>
          </w:tcPr>
          <w:p w14:paraId="72A9A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芯片制造单位位于 境内/境外</w:t>
            </w:r>
          </w:p>
        </w:tc>
        <w:tc>
          <w:tcPr>
            <w:tcW w:w="1831" w:type="pct"/>
            <w:noWrap w:val="0"/>
            <w:vAlign w:val="center"/>
          </w:tcPr>
          <w:p w14:paraId="6A6884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2355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043291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芯片封装单位（全称）</w:t>
            </w:r>
          </w:p>
        </w:tc>
        <w:tc>
          <w:tcPr>
            <w:tcW w:w="1831" w:type="pct"/>
            <w:noWrap w:val="0"/>
            <w:vAlign w:val="center"/>
          </w:tcPr>
          <w:p w14:paraId="182DD1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43C1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01E4F0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芯片封装单位 地址</w:t>
            </w:r>
          </w:p>
        </w:tc>
        <w:tc>
          <w:tcPr>
            <w:tcW w:w="1831" w:type="pct"/>
            <w:noWrap w:val="0"/>
            <w:vAlign w:val="center"/>
          </w:tcPr>
          <w:p w14:paraId="149555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1D12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53CEA9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芯片封装单位位于 境内/境外</w:t>
            </w:r>
          </w:p>
        </w:tc>
        <w:tc>
          <w:tcPr>
            <w:tcW w:w="1831" w:type="pct"/>
            <w:noWrap w:val="0"/>
            <w:vAlign w:val="center"/>
          </w:tcPr>
          <w:p w14:paraId="0AFB1D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736E2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7B25BB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芯片测试单位（全称）</w:t>
            </w:r>
          </w:p>
        </w:tc>
        <w:tc>
          <w:tcPr>
            <w:tcW w:w="1831" w:type="pct"/>
            <w:noWrap w:val="0"/>
            <w:vAlign w:val="center"/>
          </w:tcPr>
          <w:p w14:paraId="125E62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10A3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0C53EC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芯片测试单位 地址</w:t>
            </w:r>
          </w:p>
        </w:tc>
        <w:tc>
          <w:tcPr>
            <w:tcW w:w="1831" w:type="pct"/>
            <w:noWrap w:val="0"/>
            <w:vAlign w:val="center"/>
          </w:tcPr>
          <w:p w14:paraId="5377BB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1C4F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68" w:type="pct"/>
            <w:noWrap w:val="0"/>
            <w:vAlign w:val="center"/>
          </w:tcPr>
          <w:p w14:paraId="1F6CB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芯片测试单位 境内/境外</w:t>
            </w:r>
          </w:p>
        </w:tc>
        <w:tc>
          <w:tcPr>
            <w:tcW w:w="1831" w:type="pct"/>
            <w:noWrap w:val="0"/>
            <w:vAlign w:val="center"/>
          </w:tcPr>
          <w:p w14:paraId="35CD0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bl>
    <w:p w14:paraId="64095468">
      <w:pPr>
        <w:pStyle w:val="15"/>
        <w:pBdr>
          <w:bottom w:val="none" w:color="auto" w:sz="0" w:space="0"/>
        </w:pBdr>
        <w:rPr>
          <w:rFonts w:hint="eastAsia" w:ascii="宋体" w:hAnsi="宋体" w:eastAsia="宋体" w:cs="宋体"/>
          <w:color w:val="auto"/>
          <w:kern w:val="0"/>
          <w:sz w:val="21"/>
          <w:szCs w:val="21"/>
          <w:highlight w:val="none"/>
          <w:u w:val="none"/>
          <w:lang w:val="en-US" w:eastAsia="zh-CN" w:bidi="ar-SA"/>
        </w:rPr>
      </w:pPr>
      <w:r>
        <w:rPr>
          <w:rFonts w:hint="eastAsia" w:ascii="宋体" w:hAnsi="宋体" w:cs="宋体"/>
          <w:color w:val="auto"/>
          <w:kern w:val="0"/>
          <w:sz w:val="21"/>
          <w:szCs w:val="21"/>
          <w:highlight w:val="none"/>
          <w:u w:val="none"/>
          <w:lang w:val="en-US" w:eastAsia="zh-CN" w:bidi="ar-SA"/>
        </w:rPr>
        <w:t>备注：</w:t>
      </w:r>
      <w:r>
        <w:rPr>
          <w:rFonts w:hint="eastAsia" w:ascii="宋体" w:hAnsi="宋体" w:eastAsia="宋体" w:cs="宋体"/>
          <w:color w:val="auto"/>
          <w:kern w:val="0"/>
          <w:sz w:val="21"/>
          <w:szCs w:val="21"/>
          <w:highlight w:val="none"/>
          <w:u w:val="none"/>
          <w:lang w:val="en-US" w:eastAsia="zh-CN" w:bidi="ar-SA"/>
        </w:rPr>
        <w:t>如果封装测试在一起，就写同样的信息即可</w:t>
      </w:r>
    </w:p>
    <w:p w14:paraId="139C49B6">
      <w:pPr>
        <w:rPr>
          <w:rFonts w:hint="default" w:ascii="宋体" w:hAnsi="宋体" w:eastAsia="宋体" w:cs="宋体"/>
          <w:color w:val="auto"/>
          <w:kern w:val="0"/>
          <w:sz w:val="21"/>
          <w:szCs w:val="21"/>
          <w:highlight w:val="none"/>
          <w:u w:val="none"/>
          <w:lang w:val="en-US" w:eastAsia="zh-CN" w:bidi="ar-SA"/>
        </w:rPr>
      </w:pPr>
      <w:r>
        <w:rPr>
          <w:rFonts w:hint="default" w:ascii="宋体" w:hAnsi="宋体" w:eastAsia="宋体" w:cs="宋体"/>
          <w:color w:val="auto"/>
          <w:kern w:val="0"/>
          <w:sz w:val="21"/>
          <w:szCs w:val="21"/>
          <w:highlight w:val="none"/>
          <w:u w:val="none"/>
          <w:lang w:val="en-US" w:eastAsia="zh-CN" w:bidi="ar-SA"/>
        </w:rPr>
        <w:br w:type="page"/>
      </w:r>
    </w:p>
    <w:p w14:paraId="0F2DC23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420" w:lineRule="atLeast"/>
        <w:ind w:right="0" w:firstLine="0" w:firstLineChars="0"/>
        <w:jc w:val="both"/>
        <w:textAlignment w:val="auto"/>
        <w:rPr>
          <w:rFonts w:hint="default" w:ascii="黑体" w:hAnsi="黑体" w:eastAsia="黑体" w:cs="黑体"/>
          <w:b/>
          <w:sz w:val="32"/>
          <w:szCs w:val="32"/>
          <w:lang w:val="en-US" w:eastAsia="zh-CN"/>
        </w:rPr>
      </w:pPr>
      <w:r>
        <w:rPr>
          <w:rFonts w:hint="eastAsia" w:ascii="黑体" w:hAnsi="黑体" w:eastAsia="黑体" w:cs="黑体"/>
          <w:b/>
          <w:sz w:val="32"/>
          <w:szCs w:val="32"/>
          <w:lang w:val="en-US" w:eastAsia="zh-CN"/>
        </w:rPr>
        <w:t>附件2</w:t>
      </w:r>
    </w:p>
    <w:p w14:paraId="6B267AEE">
      <w:pPr>
        <w:keepNext w:val="0"/>
        <w:keepLines w:val="0"/>
        <w:widowControl/>
        <w:suppressLineNumbers w:val="0"/>
        <w:jc w:val="center"/>
        <w:rPr>
          <w:rFonts w:hint="eastAsia" w:ascii="黑体" w:hAnsi="宋体" w:eastAsia="黑体" w:cs="黑体"/>
          <w:color w:val="000000"/>
          <w:kern w:val="0"/>
          <w:sz w:val="24"/>
          <w:szCs w:val="24"/>
          <w:lang w:val="en-US" w:eastAsia="zh-CN" w:bidi="ar"/>
        </w:rPr>
      </w:pPr>
      <w:r>
        <w:rPr>
          <w:rFonts w:hint="eastAsia" w:ascii="黑体" w:hAnsi="宋体" w:eastAsia="黑体" w:cs="黑体"/>
          <w:color w:val="000000"/>
          <w:kern w:val="0"/>
          <w:sz w:val="24"/>
          <w:szCs w:val="24"/>
          <w:u w:val="single"/>
          <w:lang w:val="en-US" w:eastAsia="zh-CN" w:bidi="ar"/>
        </w:rPr>
        <w:t>广东电网能源投资有限公司2026年本地服务器零星采购</w:t>
      </w:r>
      <w:r>
        <w:rPr>
          <w:rFonts w:hint="eastAsia" w:ascii="黑体" w:hAnsi="宋体" w:eastAsia="黑体" w:cs="黑体"/>
          <w:color w:val="000000"/>
          <w:kern w:val="0"/>
          <w:sz w:val="24"/>
          <w:szCs w:val="24"/>
          <w:u w:val="none"/>
          <w:lang w:val="en-US" w:eastAsia="zh-CN" w:bidi="ar"/>
        </w:rPr>
        <w:t>响应</w:t>
      </w:r>
      <w:r>
        <w:rPr>
          <w:rFonts w:hint="eastAsia" w:ascii="黑体" w:hAnsi="宋体" w:eastAsia="黑体" w:cs="黑体"/>
          <w:color w:val="000000"/>
          <w:kern w:val="0"/>
          <w:sz w:val="24"/>
          <w:szCs w:val="24"/>
          <w:lang w:val="en-US" w:eastAsia="zh-CN" w:bidi="ar"/>
        </w:rPr>
        <w:t>偏差表</w:t>
      </w:r>
    </w:p>
    <w:tbl>
      <w:tblPr>
        <w:tblStyle w:val="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1038"/>
        <w:gridCol w:w="2391"/>
        <w:gridCol w:w="1009"/>
        <w:gridCol w:w="2291"/>
        <w:gridCol w:w="1249"/>
      </w:tblGrid>
      <w:tr w14:paraId="08EB6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restart"/>
            <w:vAlign w:val="center"/>
          </w:tcPr>
          <w:p w14:paraId="4B64EB0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序号</w:t>
            </w:r>
          </w:p>
        </w:tc>
        <w:tc>
          <w:tcPr>
            <w:tcW w:w="3429" w:type="dxa"/>
            <w:gridSpan w:val="2"/>
            <w:vAlign w:val="center"/>
          </w:tcPr>
          <w:p w14:paraId="68E77F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采购方的要求</w:t>
            </w:r>
          </w:p>
        </w:tc>
        <w:tc>
          <w:tcPr>
            <w:tcW w:w="3300" w:type="dxa"/>
            <w:gridSpan w:val="2"/>
            <w:vAlign w:val="center"/>
          </w:tcPr>
          <w:p w14:paraId="62F60F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供应商的响应</w:t>
            </w:r>
          </w:p>
        </w:tc>
        <w:tc>
          <w:tcPr>
            <w:tcW w:w="1249" w:type="dxa"/>
            <w:vMerge w:val="restart"/>
            <w:vAlign w:val="center"/>
          </w:tcPr>
          <w:p w14:paraId="077047F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偏差类型</w:t>
            </w:r>
          </w:p>
        </w:tc>
      </w:tr>
      <w:tr w14:paraId="3FB3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vAlign w:val="center"/>
          </w:tcPr>
          <w:p w14:paraId="125C8A2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color w:val="000000"/>
                <w:kern w:val="0"/>
                <w:sz w:val="24"/>
                <w:szCs w:val="24"/>
                <w:vertAlign w:val="baseline"/>
                <w:lang w:val="en-US" w:eastAsia="zh-CN" w:bidi="ar"/>
              </w:rPr>
            </w:pPr>
          </w:p>
        </w:tc>
        <w:tc>
          <w:tcPr>
            <w:tcW w:w="1038" w:type="dxa"/>
            <w:vAlign w:val="center"/>
          </w:tcPr>
          <w:p w14:paraId="510714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采购文件页码、条款号</w:t>
            </w:r>
          </w:p>
        </w:tc>
        <w:tc>
          <w:tcPr>
            <w:tcW w:w="2391" w:type="dxa"/>
            <w:vAlign w:val="center"/>
          </w:tcPr>
          <w:p w14:paraId="112DCE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采购方的内容</w:t>
            </w:r>
          </w:p>
        </w:tc>
        <w:tc>
          <w:tcPr>
            <w:tcW w:w="1009" w:type="dxa"/>
            <w:vAlign w:val="center"/>
          </w:tcPr>
          <w:p w14:paraId="450FA6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响应文件页码、条款号</w:t>
            </w:r>
          </w:p>
        </w:tc>
        <w:tc>
          <w:tcPr>
            <w:tcW w:w="2291" w:type="dxa"/>
            <w:vAlign w:val="center"/>
          </w:tcPr>
          <w:p w14:paraId="7EB764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供应商的响应</w:t>
            </w:r>
          </w:p>
        </w:tc>
        <w:tc>
          <w:tcPr>
            <w:tcW w:w="1249" w:type="dxa"/>
            <w:vMerge w:val="continue"/>
            <w:vAlign w:val="center"/>
          </w:tcPr>
          <w:p w14:paraId="396999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color w:val="000000"/>
                <w:kern w:val="0"/>
                <w:sz w:val="24"/>
                <w:szCs w:val="24"/>
                <w:vertAlign w:val="baseline"/>
                <w:lang w:val="en-US" w:eastAsia="zh-CN" w:bidi="ar"/>
              </w:rPr>
            </w:pPr>
          </w:p>
        </w:tc>
      </w:tr>
      <w:tr w14:paraId="4575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0AA178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1</w:t>
            </w:r>
          </w:p>
        </w:tc>
        <w:tc>
          <w:tcPr>
            <w:tcW w:w="1038" w:type="dxa"/>
            <w:vAlign w:val="center"/>
          </w:tcPr>
          <w:p w14:paraId="6AAEC8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2391" w:type="dxa"/>
            <w:vAlign w:val="center"/>
          </w:tcPr>
          <w:p w14:paraId="5E49DF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1009" w:type="dxa"/>
            <w:vAlign w:val="center"/>
          </w:tcPr>
          <w:p w14:paraId="4DDE7BB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2291" w:type="dxa"/>
            <w:vAlign w:val="center"/>
          </w:tcPr>
          <w:p w14:paraId="4560B7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1249" w:type="dxa"/>
            <w:vAlign w:val="center"/>
          </w:tcPr>
          <w:p w14:paraId="1EB543C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正偏离/负偏离</w:t>
            </w:r>
          </w:p>
        </w:tc>
      </w:tr>
      <w:tr w14:paraId="1AFC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22A43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2</w:t>
            </w:r>
          </w:p>
        </w:tc>
        <w:tc>
          <w:tcPr>
            <w:tcW w:w="1038" w:type="dxa"/>
            <w:vAlign w:val="center"/>
          </w:tcPr>
          <w:p w14:paraId="5ECC44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2391" w:type="dxa"/>
            <w:vAlign w:val="center"/>
          </w:tcPr>
          <w:p w14:paraId="4791AC9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1009" w:type="dxa"/>
            <w:vAlign w:val="center"/>
          </w:tcPr>
          <w:p w14:paraId="7DC8BAC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2291" w:type="dxa"/>
            <w:vAlign w:val="center"/>
          </w:tcPr>
          <w:p w14:paraId="6FE314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p>
        </w:tc>
        <w:tc>
          <w:tcPr>
            <w:tcW w:w="1249" w:type="dxa"/>
            <w:vAlign w:val="center"/>
          </w:tcPr>
          <w:p w14:paraId="2BCC05A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正偏离/负偏离</w:t>
            </w:r>
          </w:p>
        </w:tc>
      </w:tr>
      <w:tr w14:paraId="74BC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41" w:type="dxa"/>
            <w:vAlign w:val="center"/>
          </w:tcPr>
          <w:p w14:paraId="02D4660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color w:val="000000"/>
                <w:kern w:val="0"/>
                <w:sz w:val="21"/>
                <w:szCs w:val="21"/>
                <w:vertAlign w:val="baseline"/>
                <w:lang w:val="en-US" w:eastAsia="zh-CN" w:bidi="ar"/>
              </w:rPr>
            </w:pPr>
          </w:p>
        </w:tc>
        <w:tc>
          <w:tcPr>
            <w:tcW w:w="1038" w:type="dxa"/>
            <w:vAlign w:val="center"/>
          </w:tcPr>
          <w:p w14:paraId="03F83E1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w:t>
            </w:r>
          </w:p>
        </w:tc>
        <w:tc>
          <w:tcPr>
            <w:tcW w:w="2391" w:type="dxa"/>
            <w:vAlign w:val="center"/>
          </w:tcPr>
          <w:p w14:paraId="54E50B2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w:t>
            </w:r>
          </w:p>
        </w:tc>
        <w:tc>
          <w:tcPr>
            <w:tcW w:w="1009" w:type="dxa"/>
            <w:vAlign w:val="center"/>
          </w:tcPr>
          <w:p w14:paraId="52E199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w:t>
            </w:r>
          </w:p>
        </w:tc>
        <w:tc>
          <w:tcPr>
            <w:tcW w:w="2291" w:type="dxa"/>
            <w:vAlign w:val="center"/>
          </w:tcPr>
          <w:p w14:paraId="0EBE9F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w:t>
            </w:r>
          </w:p>
        </w:tc>
        <w:tc>
          <w:tcPr>
            <w:tcW w:w="1249" w:type="dxa"/>
            <w:vAlign w:val="center"/>
          </w:tcPr>
          <w:p w14:paraId="3BACEA3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color w:val="000000"/>
                <w:kern w:val="0"/>
                <w:sz w:val="21"/>
                <w:szCs w:val="21"/>
                <w:vertAlign w:val="baseline"/>
                <w:lang w:val="en-US" w:eastAsia="zh-CN" w:bidi="ar"/>
              </w:rPr>
            </w:pPr>
            <w:r>
              <w:rPr>
                <w:rFonts w:hint="eastAsia" w:ascii="宋体" w:hAnsi="宋体" w:eastAsia="宋体" w:cs="宋体"/>
                <w:b w:val="0"/>
                <w:bCs/>
                <w:color w:val="000000"/>
                <w:kern w:val="0"/>
                <w:sz w:val="21"/>
                <w:szCs w:val="21"/>
                <w:vertAlign w:val="baseline"/>
                <w:lang w:val="en-US" w:eastAsia="zh-CN" w:bidi="ar"/>
              </w:rPr>
              <w:t>...</w:t>
            </w:r>
          </w:p>
        </w:tc>
      </w:tr>
    </w:tbl>
    <w:p w14:paraId="06A8DFEB">
      <w:pPr>
        <w:pStyle w:val="2"/>
        <w:rPr>
          <w:rFonts w:hint="default"/>
          <w:lang w:val="en-US" w:eastAsia="zh-CN"/>
        </w:rPr>
      </w:pPr>
    </w:p>
    <w:p w14:paraId="19F03269">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firstLine="360" w:firstLineChars="200"/>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说明：供应商</w:t>
      </w:r>
      <w:r>
        <w:rPr>
          <w:rFonts w:hint="eastAsia" w:ascii="宋体" w:hAnsi="宋体" w:eastAsia="宋体" w:cs="宋体"/>
          <w:sz w:val="18"/>
          <w:szCs w:val="18"/>
          <w:highlight w:val="none"/>
          <w:lang w:val="en-US" w:eastAsia="zh-CN"/>
        </w:rPr>
        <w:t>需整齐规范排版</w:t>
      </w:r>
      <w:r>
        <w:rPr>
          <w:rFonts w:hint="eastAsia" w:ascii="宋体" w:hAnsi="宋体" w:eastAsia="宋体" w:cs="宋体"/>
          <w:color w:val="auto"/>
          <w:sz w:val="18"/>
          <w:szCs w:val="18"/>
          <w:highlight w:val="none"/>
          <w:lang w:val="en-US" w:eastAsia="zh-CN"/>
        </w:rPr>
        <w:t>。供应商对采购文件的所有条款、条件及规定的任何偏差，无论偏差多么微小，都应在偏差表中加以说明。对于供应商未在响应偏差表列明的偏差部分，或</w:t>
      </w:r>
      <w:r>
        <w:rPr>
          <w:rFonts w:hint="eastAsia" w:ascii="宋体" w:hAnsi="宋体" w:eastAsia="宋体" w:cs="宋体"/>
          <w:color w:val="FF0000"/>
          <w:sz w:val="18"/>
          <w:szCs w:val="18"/>
          <w:highlight w:val="none"/>
          <w:lang w:val="en-US" w:eastAsia="zh-CN"/>
        </w:rPr>
        <w:t>未递交响应偏差表的，采购人将视为供应商未提出偏差。</w:t>
      </w:r>
      <w:r>
        <w:rPr>
          <w:rFonts w:hint="eastAsia" w:ascii="宋体" w:hAnsi="宋体" w:eastAsia="宋体" w:cs="宋体"/>
          <w:color w:val="auto"/>
          <w:sz w:val="18"/>
          <w:szCs w:val="18"/>
          <w:highlight w:val="none"/>
          <w:lang w:val="en-US" w:eastAsia="zh-CN"/>
        </w:rPr>
        <w:t>响应偏差表内容和其他响应文件内容表述不一致时，以偏差表为准。</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320D1">
    <w:pPr>
      <w:pStyle w:val="2"/>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624C6">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E6624C6">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492140"/>
    <w:multiLevelType w:val="singleLevel"/>
    <w:tmpl w:val="1A492140"/>
    <w:lvl w:ilvl="0" w:tentative="0">
      <w:start w:val="1"/>
      <w:numFmt w:val="decimal"/>
      <w:pStyle w:val="24"/>
      <w:lvlText w:val="(%1)"/>
      <w:lvlJc w:val="left"/>
      <w:pPr>
        <w:tabs>
          <w:tab w:val="left" w:pos="720"/>
        </w:tabs>
        <w:ind w:left="0" w:firstLine="0"/>
      </w:pPr>
      <w:rPr>
        <w:rFonts w:hint="eastAsia" w:ascii="黑体" w:eastAsia="黑体"/>
      </w:rPr>
    </w:lvl>
  </w:abstractNum>
  <w:abstractNum w:abstractNumId="1">
    <w:nsid w:val="632F687A"/>
    <w:multiLevelType w:val="multilevel"/>
    <w:tmpl w:val="632F687A"/>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sz w:val="24"/>
        <w:szCs w:val="21"/>
      </w:rPr>
    </w:lvl>
    <w:lvl w:ilvl="3" w:tentative="0">
      <w:start w:val="1"/>
      <w:numFmt w:val="decimal"/>
      <w:lvlText w:val="%1.%2.%3.%4."/>
      <w:lvlJc w:val="left"/>
      <w:pPr>
        <w:ind w:left="864" w:hanging="864"/>
      </w:pPr>
      <w:rPr>
        <w:rFonts w:hint="default" w:ascii="宋体" w:hAnsi="宋体" w:eastAsia="宋体" w:cs="宋体"/>
      </w:rPr>
    </w:lvl>
    <w:lvl w:ilvl="4" w:tentative="0">
      <w:start w:val="1"/>
      <w:numFmt w:val="decimal"/>
      <w:pStyle w:val="8"/>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7E0C6FE6"/>
    <w:multiLevelType w:val="multilevel"/>
    <w:tmpl w:val="7E0C6FE6"/>
    <w:lvl w:ilvl="0" w:tentative="0">
      <w:start w:val="1"/>
      <w:numFmt w:val="decimal"/>
      <w:lvlText w:val="%1."/>
      <w:lvlJc w:val="left"/>
      <w:pPr>
        <w:ind w:left="432" w:hanging="432"/>
      </w:pPr>
      <w:rPr>
        <w:rFonts w:hint="default"/>
        <w:sz w:val="28"/>
        <w:szCs w:val="28"/>
      </w:rPr>
    </w:lvl>
    <w:lvl w:ilvl="1" w:tentative="0">
      <w:start w:val="1"/>
      <w:numFmt w:val="decimal"/>
      <w:pStyle w:val="5"/>
      <w:lvlText w:val="%1.%2."/>
      <w:lvlJc w:val="left"/>
      <w:pPr>
        <w:ind w:left="575" w:hanging="575"/>
      </w:pPr>
      <w:rPr>
        <w:rFonts w:hint="default"/>
        <w:sz w:val="24"/>
        <w:szCs w:val="24"/>
      </w:rPr>
    </w:lvl>
    <w:lvl w:ilvl="2" w:tentative="0">
      <w:start w:val="1"/>
      <w:numFmt w:val="decimal"/>
      <w:lvlText w:val="%1.%2.%3."/>
      <w:lvlJc w:val="left"/>
      <w:pPr>
        <w:ind w:left="720" w:hanging="720"/>
      </w:pPr>
      <w:rPr>
        <w:rFonts w:hint="default"/>
        <w:sz w:val="24"/>
        <w:szCs w:val="24"/>
      </w:rPr>
    </w:lvl>
    <w:lvl w:ilvl="3" w:tentative="0">
      <w:start w:val="1"/>
      <w:numFmt w:val="decimal"/>
      <w:lvlText w:val="%1.%2.%3.%4."/>
      <w:lvlJc w:val="left"/>
      <w:pPr>
        <w:tabs>
          <w:tab w:val="left" w:pos="57"/>
        </w:tabs>
        <w:ind w:left="57" w:leftChars="0" w:hanging="57" w:firstLineChars="0"/>
      </w:pPr>
      <w:rPr>
        <w:rFonts w:hint="default"/>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A5739"/>
    <w:rsid w:val="00272850"/>
    <w:rsid w:val="00A5789B"/>
    <w:rsid w:val="00C24C4D"/>
    <w:rsid w:val="00C40150"/>
    <w:rsid w:val="00C5234F"/>
    <w:rsid w:val="01336206"/>
    <w:rsid w:val="018D3541"/>
    <w:rsid w:val="019571A4"/>
    <w:rsid w:val="025B3D83"/>
    <w:rsid w:val="027E29A5"/>
    <w:rsid w:val="02A0095B"/>
    <w:rsid w:val="02A50666"/>
    <w:rsid w:val="03056101"/>
    <w:rsid w:val="03500416"/>
    <w:rsid w:val="0385358C"/>
    <w:rsid w:val="038E27E2"/>
    <w:rsid w:val="039337B5"/>
    <w:rsid w:val="03F17003"/>
    <w:rsid w:val="04405E89"/>
    <w:rsid w:val="04731573"/>
    <w:rsid w:val="047B5F50"/>
    <w:rsid w:val="04AC2FBA"/>
    <w:rsid w:val="0522647B"/>
    <w:rsid w:val="059A76F7"/>
    <w:rsid w:val="05C24D00"/>
    <w:rsid w:val="05EE6E49"/>
    <w:rsid w:val="06056A6E"/>
    <w:rsid w:val="0649045C"/>
    <w:rsid w:val="06952ADA"/>
    <w:rsid w:val="06BC4F18"/>
    <w:rsid w:val="06BF00F2"/>
    <w:rsid w:val="06CC51B2"/>
    <w:rsid w:val="071333A8"/>
    <w:rsid w:val="071F0864"/>
    <w:rsid w:val="072510C4"/>
    <w:rsid w:val="0809043D"/>
    <w:rsid w:val="084B6928"/>
    <w:rsid w:val="084D1E2B"/>
    <w:rsid w:val="08517B54"/>
    <w:rsid w:val="08AE3149"/>
    <w:rsid w:val="08B11B50"/>
    <w:rsid w:val="08B872DC"/>
    <w:rsid w:val="0924347D"/>
    <w:rsid w:val="0924660B"/>
    <w:rsid w:val="0942143F"/>
    <w:rsid w:val="09770614"/>
    <w:rsid w:val="0A11481C"/>
    <w:rsid w:val="0A9A7472"/>
    <w:rsid w:val="0AE80876"/>
    <w:rsid w:val="0BB27F3E"/>
    <w:rsid w:val="0BEC6E1F"/>
    <w:rsid w:val="0C0A7E1D"/>
    <w:rsid w:val="0CDF76AC"/>
    <w:rsid w:val="0D845C3B"/>
    <w:rsid w:val="0DEA0E63"/>
    <w:rsid w:val="0DED4141"/>
    <w:rsid w:val="0DF471F4"/>
    <w:rsid w:val="0DF9367B"/>
    <w:rsid w:val="0E987D02"/>
    <w:rsid w:val="0EF21695"/>
    <w:rsid w:val="0F01062B"/>
    <w:rsid w:val="0F883D87"/>
    <w:rsid w:val="0FE36A1F"/>
    <w:rsid w:val="10123CEB"/>
    <w:rsid w:val="103D5E34"/>
    <w:rsid w:val="106172ED"/>
    <w:rsid w:val="1087752D"/>
    <w:rsid w:val="10C45D0D"/>
    <w:rsid w:val="11223B28"/>
    <w:rsid w:val="114A77A1"/>
    <w:rsid w:val="117B7A3A"/>
    <w:rsid w:val="118D6A5B"/>
    <w:rsid w:val="1279795D"/>
    <w:rsid w:val="12887F77"/>
    <w:rsid w:val="129869E3"/>
    <w:rsid w:val="12A20B21"/>
    <w:rsid w:val="1357734B"/>
    <w:rsid w:val="13760AF9"/>
    <w:rsid w:val="138D6606"/>
    <w:rsid w:val="13B10CDE"/>
    <w:rsid w:val="1430702E"/>
    <w:rsid w:val="1474429F"/>
    <w:rsid w:val="147619B2"/>
    <w:rsid w:val="14DF00CB"/>
    <w:rsid w:val="152E36CE"/>
    <w:rsid w:val="15582314"/>
    <w:rsid w:val="15910B7E"/>
    <w:rsid w:val="16134C45"/>
    <w:rsid w:val="16B6444E"/>
    <w:rsid w:val="17AF2468"/>
    <w:rsid w:val="180B0603"/>
    <w:rsid w:val="18266C2F"/>
    <w:rsid w:val="1856197C"/>
    <w:rsid w:val="18EE2DF4"/>
    <w:rsid w:val="18FD4118"/>
    <w:rsid w:val="19053D5D"/>
    <w:rsid w:val="19593126"/>
    <w:rsid w:val="19744352"/>
    <w:rsid w:val="19816A38"/>
    <w:rsid w:val="19BB441C"/>
    <w:rsid w:val="1A2C607F"/>
    <w:rsid w:val="1A3B0898"/>
    <w:rsid w:val="1A877692"/>
    <w:rsid w:val="1AEF5DBD"/>
    <w:rsid w:val="1B125078"/>
    <w:rsid w:val="1B1B5988"/>
    <w:rsid w:val="1B3A29B9"/>
    <w:rsid w:val="1B6153CA"/>
    <w:rsid w:val="1B826631"/>
    <w:rsid w:val="1B895FBB"/>
    <w:rsid w:val="1BCD79A9"/>
    <w:rsid w:val="1C222CB7"/>
    <w:rsid w:val="1C26713F"/>
    <w:rsid w:val="1C6F4FB4"/>
    <w:rsid w:val="1C7B4521"/>
    <w:rsid w:val="1CA6768D"/>
    <w:rsid w:val="1CFE0AB2"/>
    <w:rsid w:val="1D001020"/>
    <w:rsid w:val="1D0A51B3"/>
    <w:rsid w:val="1D1B764B"/>
    <w:rsid w:val="1D39247F"/>
    <w:rsid w:val="1D740FDF"/>
    <w:rsid w:val="1D7522E4"/>
    <w:rsid w:val="1DA069AB"/>
    <w:rsid w:val="1DA1131B"/>
    <w:rsid w:val="1DA21EAE"/>
    <w:rsid w:val="1DD1138A"/>
    <w:rsid w:val="1DE21613"/>
    <w:rsid w:val="1DE3685B"/>
    <w:rsid w:val="1E5054CA"/>
    <w:rsid w:val="1E95273B"/>
    <w:rsid w:val="1F1F489E"/>
    <w:rsid w:val="1F3D76D1"/>
    <w:rsid w:val="1F4821DF"/>
    <w:rsid w:val="1F7155A1"/>
    <w:rsid w:val="1F743D73"/>
    <w:rsid w:val="1F9279CD"/>
    <w:rsid w:val="1FB72576"/>
    <w:rsid w:val="1FE458E0"/>
    <w:rsid w:val="1FE76865"/>
    <w:rsid w:val="20780352"/>
    <w:rsid w:val="20EC288F"/>
    <w:rsid w:val="21124CCD"/>
    <w:rsid w:val="211B7B5B"/>
    <w:rsid w:val="21207866"/>
    <w:rsid w:val="21417D79"/>
    <w:rsid w:val="217D437D"/>
    <w:rsid w:val="21E408A9"/>
    <w:rsid w:val="220358DB"/>
    <w:rsid w:val="22226190"/>
    <w:rsid w:val="225059DA"/>
    <w:rsid w:val="22921CC7"/>
    <w:rsid w:val="2316449E"/>
    <w:rsid w:val="23615817"/>
    <w:rsid w:val="236964A7"/>
    <w:rsid w:val="23A9148E"/>
    <w:rsid w:val="23AA2793"/>
    <w:rsid w:val="23C915DB"/>
    <w:rsid w:val="23D87DD9"/>
    <w:rsid w:val="23E40A13"/>
    <w:rsid w:val="242C61E4"/>
    <w:rsid w:val="2492463D"/>
    <w:rsid w:val="24E64719"/>
    <w:rsid w:val="25795E86"/>
    <w:rsid w:val="258E45DD"/>
    <w:rsid w:val="25AF7316"/>
    <w:rsid w:val="26675B0F"/>
    <w:rsid w:val="26711CA2"/>
    <w:rsid w:val="26726FF0"/>
    <w:rsid w:val="268E37D0"/>
    <w:rsid w:val="26D32C40"/>
    <w:rsid w:val="26E63E5F"/>
    <w:rsid w:val="26FB0581"/>
    <w:rsid w:val="2701028C"/>
    <w:rsid w:val="27D327E3"/>
    <w:rsid w:val="28347384"/>
    <w:rsid w:val="286367DF"/>
    <w:rsid w:val="286C74DE"/>
    <w:rsid w:val="28756F0E"/>
    <w:rsid w:val="28894890"/>
    <w:rsid w:val="28C50E71"/>
    <w:rsid w:val="292D759C"/>
    <w:rsid w:val="298E0913"/>
    <w:rsid w:val="29AA70BF"/>
    <w:rsid w:val="2A174F9B"/>
    <w:rsid w:val="2A4525E7"/>
    <w:rsid w:val="2A9C0162"/>
    <w:rsid w:val="2AD71B56"/>
    <w:rsid w:val="2AEF2A80"/>
    <w:rsid w:val="2B006737"/>
    <w:rsid w:val="2BA95732"/>
    <w:rsid w:val="2BC362DB"/>
    <w:rsid w:val="2C2922D7"/>
    <w:rsid w:val="2C3E23A2"/>
    <w:rsid w:val="2C88731E"/>
    <w:rsid w:val="2C94532F"/>
    <w:rsid w:val="2CA568CE"/>
    <w:rsid w:val="2CA952D4"/>
    <w:rsid w:val="2CEA3B3F"/>
    <w:rsid w:val="2D025963"/>
    <w:rsid w:val="2D925252"/>
    <w:rsid w:val="2DB61F8F"/>
    <w:rsid w:val="2DBF1599"/>
    <w:rsid w:val="2E013307"/>
    <w:rsid w:val="2E103922"/>
    <w:rsid w:val="2E1F28B7"/>
    <w:rsid w:val="2E32735A"/>
    <w:rsid w:val="2E3F67B8"/>
    <w:rsid w:val="2E691A32"/>
    <w:rsid w:val="2E9A3993"/>
    <w:rsid w:val="2EB92AB6"/>
    <w:rsid w:val="2ECE4FDA"/>
    <w:rsid w:val="2EDC64EE"/>
    <w:rsid w:val="2EEA1087"/>
    <w:rsid w:val="2FB32CCE"/>
    <w:rsid w:val="2FCB3BF8"/>
    <w:rsid w:val="302C2998"/>
    <w:rsid w:val="307B2717"/>
    <w:rsid w:val="30E97669"/>
    <w:rsid w:val="31044BF9"/>
    <w:rsid w:val="31900060"/>
    <w:rsid w:val="31C66EB6"/>
    <w:rsid w:val="31D2654B"/>
    <w:rsid w:val="320E092F"/>
    <w:rsid w:val="32121533"/>
    <w:rsid w:val="32584226"/>
    <w:rsid w:val="326E63CA"/>
    <w:rsid w:val="32771258"/>
    <w:rsid w:val="32A27B1D"/>
    <w:rsid w:val="330907C6"/>
    <w:rsid w:val="336D3D6E"/>
    <w:rsid w:val="337820FF"/>
    <w:rsid w:val="339C6E3C"/>
    <w:rsid w:val="33A22F43"/>
    <w:rsid w:val="33A72C4E"/>
    <w:rsid w:val="33E54CB2"/>
    <w:rsid w:val="33FE167D"/>
    <w:rsid w:val="342A79A4"/>
    <w:rsid w:val="3446501B"/>
    <w:rsid w:val="34774220"/>
    <w:rsid w:val="347F162D"/>
    <w:rsid w:val="348A543F"/>
    <w:rsid w:val="349363E1"/>
    <w:rsid w:val="34BB165C"/>
    <w:rsid w:val="34E622D6"/>
    <w:rsid w:val="350C2516"/>
    <w:rsid w:val="354B32FF"/>
    <w:rsid w:val="355C3E01"/>
    <w:rsid w:val="361C5BD6"/>
    <w:rsid w:val="36AE76C3"/>
    <w:rsid w:val="36D41B01"/>
    <w:rsid w:val="373C3AAF"/>
    <w:rsid w:val="3744458E"/>
    <w:rsid w:val="37A8535D"/>
    <w:rsid w:val="37B10702"/>
    <w:rsid w:val="37FE3B6D"/>
    <w:rsid w:val="38A80092"/>
    <w:rsid w:val="38CB41BA"/>
    <w:rsid w:val="38D11947"/>
    <w:rsid w:val="38DA69D3"/>
    <w:rsid w:val="38FA41E7"/>
    <w:rsid w:val="39003390"/>
    <w:rsid w:val="39137E32"/>
    <w:rsid w:val="393F1F7B"/>
    <w:rsid w:val="399D4513"/>
    <w:rsid w:val="39CE0565"/>
    <w:rsid w:val="39E13D03"/>
    <w:rsid w:val="3A277620"/>
    <w:rsid w:val="3A316EDF"/>
    <w:rsid w:val="3A36340C"/>
    <w:rsid w:val="3ADB44C6"/>
    <w:rsid w:val="3B1A528B"/>
    <w:rsid w:val="3B3F4F44"/>
    <w:rsid w:val="3B617677"/>
    <w:rsid w:val="3B643E7F"/>
    <w:rsid w:val="3B6A55BB"/>
    <w:rsid w:val="3B8F2744"/>
    <w:rsid w:val="3BA46E66"/>
    <w:rsid w:val="3BB84807"/>
    <w:rsid w:val="3BD10C2F"/>
    <w:rsid w:val="3BDB4DC2"/>
    <w:rsid w:val="3BE556D1"/>
    <w:rsid w:val="3BFD2D78"/>
    <w:rsid w:val="3C6A1695"/>
    <w:rsid w:val="3CE73FFB"/>
    <w:rsid w:val="3D5C3FB9"/>
    <w:rsid w:val="3D7824A0"/>
    <w:rsid w:val="3D934113"/>
    <w:rsid w:val="3DAA3D38"/>
    <w:rsid w:val="3DB03A43"/>
    <w:rsid w:val="3DF21F2E"/>
    <w:rsid w:val="3DF33233"/>
    <w:rsid w:val="3E255C01"/>
    <w:rsid w:val="3ED30323"/>
    <w:rsid w:val="3F380047"/>
    <w:rsid w:val="3F88541E"/>
    <w:rsid w:val="3F8A67CD"/>
    <w:rsid w:val="3FEE64F1"/>
    <w:rsid w:val="401A703E"/>
    <w:rsid w:val="4092377C"/>
    <w:rsid w:val="40C0464B"/>
    <w:rsid w:val="40C83C56"/>
    <w:rsid w:val="4140041C"/>
    <w:rsid w:val="416163D3"/>
    <w:rsid w:val="416937DF"/>
    <w:rsid w:val="41741B70"/>
    <w:rsid w:val="41793A79"/>
    <w:rsid w:val="41EE0932"/>
    <w:rsid w:val="41F25CC2"/>
    <w:rsid w:val="42002B7B"/>
    <w:rsid w:val="42004757"/>
    <w:rsid w:val="420D42ED"/>
    <w:rsid w:val="42301F23"/>
    <w:rsid w:val="427A6E9F"/>
    <w:rsid w:val="428A713A"/>
    <w:rsid w:val="42C7371B"/>
    <w:rsid w:val="42D96D28"/>
    <w:rsid w:val="43144A19"/>
    <w:rsid w:val="434A0471"/>
    <w:rsid w:val="437821F0"/>
    <w:rsid w:val="43895793"/>
    <w:rsid w:val="43DE6767"/>
    <w:rsid w:val="44293363"/>
    <w:rsid w:val="442F526C"/>
    <w:rsid w:val="44C147DB"/>
    <w:rsid w:val="44DE20FB"/>
    <w:rsid w:val="45263E25"/>
    <w:rsid w:val="45302890"/>
    <w:rsid w:val="454959B9"/>
    <w:rsid w:val="45631DE6"/>
    <w:rsid w:val="45D16BF2"/>
    <w:rsid w:val="46772BA7"/>
    <w:rsid w:val="46875502"/>
    <w:rsid w:val="471A5C34"/>
    <w:rsid w:val="47927E7C"/>
    <w:rsid w:val="47D22D7C"/>
    <w:rsid w:val="487429ED"/>
    <w:rsid w:val="48BA09CF"/>
    <w:rsid w:val="490F4DEA"/>
    <w:rsid w:val="49302DA0"/>
    <w:rsid w:val="497F41A4"/>
    <w:rsid w:val="49825129"/>
    <w:rsid w:val="49881230"/>
    <w:rsid w:val="49A87567"/>
    <w:rsid w:val="49C820BA"/>
    <w:rsid w:val="49E22BC4"/>
    <w:rsid w:val="49FA026B"/>
    <w:rsid w:val="4A0F0E10"/>
    <w:rsid w:val="4AB04516"/>
    <w:rsid w:val="4AB30D1E"/>
    <w:rsid w:val="4ACB63C5"/>
    <w:rsid w:val="4B562725"/>
    <w:rsid w:val="4B5B6BAD"/>
    <w:rsid w:val="4B831158"/>
    <w:rsid w:val="4C73767A"/>
    <w:rsid w:val="4C8E5CA5"/>
    <w:rsid w:val="4C914A2C"/>
    <w:rsid w:val="4C93212D"/>
    <w:rsid w:val="4C9359B0"/>
    <w:rsid w:val="4D1E7B13"/>
    <w:rsid w:val="4D686C8D"/>
    <w:rsid w:val="4D9053D6"/>
    <w:rsid w:val="4DC515A5"/>
    <w:rsid w:val="4DE72DDF"/>
    <w:rsid w:val="4DE82A5F"/>
    <w:rsid w:val="4E04182F"/>
    <w:rsid w:val="4E383AE3"/>
    <w:rsid w:val="4E416971"/>
    <w:rsid w:val="4E8F44F1"/>
    <w:rsid w:val="4EB124A8"/>
    <w:rsid w:val="4F275969"/>
    <w:rsid w:val="4F2D30F6"/>
    <w:rsid w:val="4F404315"/>
    <w:rsid w:val="4F9A5CA8"/>
    <w:rsid w:val="4FB664D2"/>
    <w:rsid w:val="4FBF4BE3"/>
    <w:rsid w:val="4FE64AA3"/>
    <w:rsid w:val="4FF4183A"/>
    <w:rsid w:val="5013686C"/>
    <w:rsid w:val="505F0EE9"/>
    <w:rsid w:val="507E179E"/>
    <w:rsid w:val="50E0053E"/>
    <w:rsid w:val="51170698"/>
    <w:rsid w:val="51AA348A"/>
    <w:rsid w:val="51E31065"/>
    <w:rsid w:val="51E82F6F"/>
    <w:rsid w:val="52295F56"/>
    <w:rsid w:val="522A725B"/>
    <w:rsid w:val="525F1CB4"/>
    <w:rsid w:val="52910254"/>
    <w:rsid w:val="52A76E1D"/>
    <w:rsid w:val="52AE52B6"/>
    <w:rsid w:val="52C164D5"/>
    <w:rsid w:val="52C26AC1"/>
    <w:rsid w:val="52C4745A"/>
    <w:rsid w:val="52C670DA"/>
    <w:rsid w:val="52E5410B"/>
    <w:rsid w:val="52F92B19"/>
    <w:rsid w:val="53194965"/>
    <w:rsid w:val="534976B3"/>
    <w:rsid w:val="53B97C0A"/>
    <w:rsid w:val="53E21E30"/>
    <w:rsid w:val="53F01145"/>
    <w:rsid w:val="53F342C8"/>
    <w:rsid w:val="53F577CC"/>
    <w:rsid w:val="541D2F0E"/>
    <w:rsid w:val="545C7FCE"/>
    <w:rsid w:val="54746C27"/>
    <w:rsid w:val="54795826"/>
    <w:rsid w:val="549518D3"/>
    <w:rsid w:val="55106960"/>
    <w:rsid w:val="55465E74"/>
    <w:rsid w:val="558B30E5"/>
    <w:rsid w:val="561861CC"/>
    <w:rsid w:val="565A24B9"/>
    <w:rsid w:val="56750AE4"/>
    <w:rsid w:val="56827DFA"/>
    <w:rsid w:val="56893008"/>
    <w:rsid w:val="568A5206"/>
    <w:rsid w:val="56987D9F"/>
    <w:rsid w:val="569E3B38"/>
    <w:rsid w:val="56A17168"/>
    <w:rsid w:val="56B518CE"/>
    <w:rsid w:val="576D77D3"/>
    <w:rsid w:val="57C03085"/>
    <w:rsid w:val="57FD096B"/>
    <w:rsid w:val="58083479"/>
    <w:rsid w:val="58722B28"/>
    <w:rsid w:val="587902B5"/>
    <w:rsid w:val="58BF51A6"/>
    <w:rsid w:val="58D154FE"/>
    <w:rsid w:val="599A3C0F"/>
    <w:rsid w:val="59DB4679"/>
    <w:rsid w:val="59E92304"/>
    <w:rsid w:val="5A463D28"/>
    <w:rsid w:val="5AB133D7"/>
    <w:rsid w:val="5ADF27BD"/>
    <w:rsid w:val="5B032CEA"/>
    <w:rsid w:val="5B283E8E"/>
    <w:rsid w:val="5B351432"/>
    <w:rsid w:val="5B5D6D73"/>
    <w:rsid w:val="5B713816"/>
    <w:rsid w:val="5B9217CC"/>
    <w:rsid w:val="5BB82905"/>
    <w:rsid w:val="5BCA1926"/>
    <w:rsid w:val="5BF4276A"/>
    <w:rsid w:val="5CAC1F18"/>
    <w:rsid w:val="5CC10BB9"/>
    <w:rsid w:val="5CEE2982"/>
    <w:rsid w:val="5CF71093"/>
    <w:rsid w:val="5D1E0F52"/>
    <w:rsid w:val="5D2C3AEB"/>
    <w:rsid w:val="5D793BEB"/>
    <w:rsid w:val="5DE64C82"/>
    <w:rsid w:val="5DE7421F"/>
    <w:rsid w:val="5E130566"/>
    <w:rsid w:val="5E546DD1"/>
    <w:rsid w:val="5E9F014A"/>
    <w:rsid w:val="5EA22A81"/>
    <w:rsid w:val="5EB522EE"/>
    <w:rsid w:val="5EB73272"/>
    <w:rsid w:val="5ED44DA1"/>
    <w:rsid w:val="5EDF21E5"/>
    <w:rsid w:val="5F3B5A4A"/>
    <w:rsid w:val="5F744CAA"/>
    <w:rsid w:val="5FA047CF"/>
    <w:rsid w:val="600B06A1"/>
    <w:rsid w:val="60465003"/>
    <w:rsid w:val="61171AD8"/>
    <w:rsid w:val="61551A43"/>
    <w:rsid w:val="61A00737"/>
    <w:rsid w:val="623B41B9"/>
    <w:rsid w:val="62AB5771"/>
    <w:rsid w:val="62BC40AF"/>
    <w:rsid w:val="63A01501"/>
    <w:rsid w:val="63E171AA"/>
    <w:rsid w:val="63FC0596"/>
    <w:rsid w:val="6443458E"/>
    <w:rsid w:val="644C4E9D"/>
    <w:rsid w:val="64DE698B"/>
    <w:rsid w:val="65931931"/>
    <w:rsid w:val="65B85116"/>
    <w:rsid w:val="66620D05"/>
    <w:rsid w:val="669E7CCF"/>
    <w:rsid w:val="66AC3703"/>
    <w:rsid w:val="67080599"/>
    <w:rsid w:val="672158C0"/>
    <w:rsid w:val="672D4F56"/>
    <w:rsid w:val="67421678"/>
    <w:rsid w:val="67562897"/>
    <w:rsid w:val="676E37C1"/>
    <w:rsid w:val="67924C7A"/>
    <w:rsid w:val="67C94DD4"/>
    <w:rsid w:val="67EF7AB2"/>
    <w:rsid w:val="67F30720"/>
    <w:rsid w:val="685D5648"/>
    <w:rsid w:val="69264077"/>
    <w:rsid w:val="69416113"/>
    <w:rsid w:val="696B7D83"/>
    <w:rsid w:val="697A6D19"/>
    <w:rsid w:val="69CB581E"/>
    <w:rsid w:val="69FD3A6F"/>
    <w:rsid w:val="6A2C45BE"/>
    <w:rsid w:val="6A40325F"/>
    <w:rsid w:val="6A4D28E8"/>
    <w:rsid w:val="6A7C1DBF"/>
    <w:rsid w:val="6ACC66C6"/>
    <w:rsid w:val="6B770D5D"/>
    <w:rsid w:val="6B8366A3"/>
    <w:rsid w:val="6B9B5A9A"/>
    <w:rsid w:val="6BD500D6"/>
    <w:rsid w:val="6C386C1D"/>
    <w:rsid w:val="6C5B2654"/>
    <w:rsid w:val="6CC92C88"/>
    <w:rsid w:val="6CF2604B"/>
    <w:rsid w:val="6D7C6937"/>
    <w:rsid w:val="6D812437"/>
    <w:rsid w:val="6E0C201B"/>
    <w:rsid w:val="6E381CEB"/>
    <w:rsid w:val="6E697118"/>
    <w:rsid w:val="6EA43493"/>
    <w:rsid w:val="6ED674E5"/>
    <w:rsid w:val="6EDD106E"/>
    <w:rsid w:val="6F5A1CBD"/>
    <w:rsid w:val="6FC54BEF"/>
    <w:rsid w:val="6FF9096F"/>
    <w:rsid w:val="704427DA"/>
    <w:rsid w:val="7097124D"/>
    <w:rsid w:val="709F7DD6"/>
    <w:rsid w:val="70B25771"/>
    <w:rsid w:val="70BB05FF"/>
    <w:rsid w:val="71147D94"/>
    <w:rsid w:val="72000C97"/>
    <w:rsid w:val="72060D29"/>
    <w:rsid w:val="722053F1"/>
    <w:rsid w:val="72B77140"/>
    <w:rsid w:val="72BC6E4B"/>
    <w:rsid w:val="72D35A08"/>
    <w:rsid w:val="734935B0"/>
    <w:rsid w:val="739D77D1"/>
    <w:rsid w:val="73AF51C4"/>
    <w:rsid w:val="73CD7F8D"/>
    <w:rsid w:val="73D553EB"/>
    <w:rsid w:val="74B22BF8"/>
    <w:rsid w:val="74C85C27"/>
    <w:rsid w:val="74CA112A"/>
    <w:rsid w:val="750B7B58"/>
    <w:rsid w:val="750C7615"/>
    <w:rsid w:val="751E2DB2"/>
    <w:rsid w:val="75397BBC"/>
    <w:rsid w:val="7553498C"/>
    <w:rsid w:val="75F00F0C"/>
    <w:rsid w:val="75F10B8C"/>
    <w:rsid w:val="76070B31"/>
    <w:rsid w:val="76415493"/>
    <w:rsid w:val="768F467F"/>
    <w:rsid w:val="76C92DEE"/>
    <w:rsid w:val="76FE7987"/>
    <w:rsid w:val="77102849"/>
    <w:rsid w:val="77376CA5"/>
    <w:rsid w:val="776B03F9"/>
    <w:rsid w:val="77CC2A1C"/>
    <w:rsid w:val="78686692"/>
    <w:rsid w:val="78A56E7C"/>
    <w:rsid w:val="78B31A15"/>
    <w:rsid w:val="78FA4387"/>
    <w:rsid w:val="79312BD8"/>
    <w:rsid w:val="79D54FEF"/>
    <w:rsid w:val="7A5358BD"/>
    <w:rsid w:val="7A78007C"/>
    <w:rsid w:val="7ABF07F0"/>
    <w:rsid w:val="7AFA7350"/>
    <w:rsid w:val="7C0E3995"/>
    <w:rsid w:val="7C3C6A63"/>
    <w:rsid w:val="7C3F79E7"/>
    <w:rsid w:val="7C7F4EBC"/>
    <w:rsid w:val="7CC556C2"/>
    <w:rsid w:val="7D0C0035"/>
    <w:rsid w:val="7D3E1B08"/>
    <w:rsid w:val="7D684ECB"/>
    <w:rsid w:val="7D977C47"/>
    <w:rsid w:val="7E0C345B"/>
    <w:rsid w:val="7E264004"/>
    <w:rsid w:val="7E2C5F0E"/>
    <w:rsid w:val="7E4E7747"/>
    <w:rsid w:val="7E7B1510"/>
    <w:rsid w:val="7EAB205F"/>
    <w:rsid w:val="7EB70070"/>
    <w:rsid w:val="7FAD2B87"/>
    <w:rsid w:val="7FF83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21"/>
    <w:qFormat/>
    <w:uiPriority w:val="0"/>
    <w:pPr>
      <w:keepNext/>
      <w:keepLines/>
      <w:spacing w:line="360" w:lineRule="auto"/>
      <w:jc w:val="left"/>
      <w:outlineLvl w:val="0"/>
    </w:pPr>
    <w:rPr>
      <w:rFonts w:ascii="Times New Roman" w:hAnsi="Times New Roman" w:eastAsia="仿宋_GB2312"/>
      <w:b/>
      <w:bCs/>
      <w:kern w:val="0"/>
      <w:sz w:val="32"/>
      <w:szCs w:val="44"/>
    </w:rPr>
  </w:style>
  <w:style w:type="paragraph" w:styleId="5">
    <w:name w:val="heading 2"/>
    <w:basedOn w:val="1"/>
    <w:next w:val="1"/>
    <w:qFormat/>
    <w:uiPriority w:val="0"/>
    <w:pPr>
      <w:keepNext/>
      <w:keepLines/>
      <w:numPr>
        <w:ilvl w:val="1"/>
        <w:numId w:val="1"/>
      </w:numPr>
      <w:tabs>
        <w:tab w:val="left" w:pos="420"/>
      </w:tabs>
      <w:spacing w:before="120" w:after="120" w:line="360" w:lineRule="auto"/>
      <w:ind w:left="575" w:hanging="575"/>
      <w:outlineLvl w:val="1"/>
    </w:pPr>
    <w:rPr>
      <w:rFonts w:ascii="Arial" w:hAnsi="Arial"/>
      <w:b/>
      <w:bCs/>
      <w:sz w:val="24"/>
      <w:szCs w:val="32"/>
    </w:rPr>
  </w:style>
  <w:style w:type="paragraph" w:styleId="6">
    <w:name w:val="heading 3"/>
    <w:basedOn w:val="1"/>
    <w:next w:val="1"/>
    <w:unhideWhenUsed/>
    <w:qFormat/>
    <w:uiPriority w:val="0"/>
    <w:pPr>
      <w:keepNext/>
      <w:keepLines/>
      <w:spacing w:before="140" w:after="140" w:line="360" w:lineRule="auto"/>
      <w:outlineLvl w:val="2"/>
    </w:pPr>
    <w:rPr>
      <w:rFonts w:ascii="Times New Roman" w:hAnsi="Times New Roman" w:eastAsia="宋体"/>
      <w:b/>
      <w:bCs/>
      <w:sz w:val="30"/>
      <w:szCs w:val="32"/>
    </w:rPr>
  </w:style>
  <w:style w:type="paragraph" w:styleId="7">
    <w:name w:val="heading 4"/>
    <w:basedOn w:val="1"/>
    <w:next w:val="1"/>
    <w:unhideWhenUsed/>
    <w:qFormat/>
    <w:uiPriority w:val="0"/>
    <w:pPr>
      <w:keepNext/>
      <w:keepLines/>
      <w:spacing w:line="360" w:lineRule="auto"/>
      <w:ind w:firstLine="0" w:firstLineChars="0"/>
      <w:outlineLvl w:val="3"/>
    </w:pPr>
    <w:rPr>
      <w:rFonts w:ascii="Times New Roman" w:hAnsi="Times New Roman" w:cstheme="majorBidi"/>
      <w:b/>
      <w:bCs/>
      <w:sz w:val="28"/>
      <w:szCs w:val="28"/>
    </w:rPr>
  </w:style>
  <w:style w:type="paragraph" w:styleId="8">
    <w:name w:val="heading 5"/>
    <w:basedOn w:val="1"/>
    <w:next w:val="1"/>
    <w:unhideWhenUsed/>
    <w:qFormat/>
    <w:uiPriority w:val="0"/>
    <w:pPr>
      <w:keepNext/>
      <w:keepLines/>
      <w:numPr>
        <w:ilvl w:val="4"/>
        <w:numId w:val="2"/>
      </w:numPr>
      <w:spacing w:before="280" w:after="290" w:line="372" w:lineRule="auto"/>
      <w:outlineLvl w:val="4"/>
    </w:pPr>
    <w:rPr>
      <w:b/>
      <w:sz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Cs w:val="24"/>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paragraph" w:styleId="9">
    <w:name w:val="Normal Indent"/>
    <w:basedOn w:val="1"/>
    <w:qFormat/>
    <w:uiPriority w:val="0"/>
    <w:pPr>
      <w:ind w:firstLine="420" w:firstLineChars="200"/>
    </w:pPr>
    <w:rPr>
      <w:rFonts w:asciiTheme="minorHAnsi" w:hAnsiTheme="minorHAnsi" w:eastAsiaTheme="minorEastAsia" w:cstheme="minorBidi"/>
      <w:szCs w:val="24"/>
    </w:rPr>
  </w:style>
  <w:style w:type="paragraph" w:styleId="10">
    <w:name w:val="annotation text"/>
    <w:basedOn w:val="1"/>
    <w:qFormat/>
    <w:uiPriority w:val="0"/>
    <w:pPr>
      <w:jc w:val="left"/>
    </w:pPr>
  </w:style>
  <w:style w:type="paragraph" w:styleId="11">
    <w:name w:val="Body Text Indent"/>
    <w:basedOn w:val="1"/>
    <w:qFormat/>
    <w:uiPriority w:val="0"/>
    <w:pPr>
      <w:spacing w:after="120"/>
      <w:ind w:left="420" w:leftChars="200"/>
    </w:pPr>
  </w:style>
  <w:style w:type="paragraph" w:styleId="12">
    <w:name w:val="Body Text Indent 2"/>
    <w:basedOn w:val="1"/>
    <w:qFormat/>
    <w:uiPriority w:val="99"/>
    <w:pPr>
      <w:spacing w:line="300" w:lineRule="auto"/>
      <w:ind w:firstLine="480" w:firstLineChars="200"/>
    </w:pPr>
    <w:rPr>
      <w:rFonts w:ascii="宋体" w:hAnsi="Courier New"/>
      <w:snapToGrid w:val="0"/>
      <w:kern w:val="0"/>
      <w:szCs w:val="21"/>
    </w:rPr>
  </w:style>
  <w:style w:type="paragraph" w:styleId="13">
    <w:name w:val="footer"/>
    <w:basedOn w:val="1"/>
    <w:qFormat/>
    <w:uiPriority w:val="0"/>
    <w:pPr>
      <w:tabs>
        <w:tab w:val="center" w:pos="4153"/>
        <w:tab w:val="right" w:pos="8306"/>
      </w:tabs>
      <w:snapToGrid w:val="0"/>
      <w:jc w:val="left"/>
    </w:pPr>
    <w:rPr>
      <w:sz w:val="18"/>
    </w:rPr>
  </w:style>
  <w:style w:type="paragraph" w:styleId="14">
    <w:name w:val="toc 2"/>
    <w:basedOn w:val="1"/>
    <w:next w:val="1"/>
    <w:unhideWhenUsed/>
    <w:qFormat/>
    <w:uiPriority w:val="39"/>
    <w:pPr>
      <w:widowControl/>
      <w:tabs>
        <w:tab w:val="right" w:leader="dot" w:pos="9060"/>
      </w:tabs>
      <w:spacing w:line="360" w:lineRule="auto"/>
      <w:ind w:left="221"/>
      <w:jc w:val="left"/>
    </w:pPr>
    <w:rPr>
      <w:rFonts w:cs="Times New Roman" w:eastAsiaTheme="minorEastAsia"/>
      <w:kern w:val="0"/>
      <w:szCs w:val="22"/>
    </w:rPr>
  </w:style>
  <w:style w:type="paragraph" w:styleId="15">
    <w:name w:val="Normal (Web)"/>
    <w:basedOn w:val="1"/>
    <w:qFormat/>
    <w:uiPriority w:val="0"/>
    <w:pPr>
      <w:spacing w:beforeAutospacing="1" w:afterAutospacing="1"/>
      <w:jc w:val="left"/>
    </w:pPr>
    <w:rPr>
      <w:rFonts w:ascii="Times New Roman" w:hAnsi="Times New Roman" w:eastAsia="宋体" w:cs="Times New Roman"/>
      <w:kern w:val="0"/>
      <w:sz w:val="24"/>
    </w:rPr>
  </w:style>
  <w:style w:type="paragraph" w:styleId="16">
    <w:name w:val="Body Text First Indent 2"/>
    <w:basedOn w:val="11"/>
    <w:qFormat/>
    <w:uiPriority w:val="0"/>
    <w:pPr>
      <w:ind w:firstLine="420" w:firstLineChars="2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0"/>
    <w:rPr>
      <w:b/>
      <w:bCs/>
    </w:rPr>
  </w:style>
  <w:style w:type="character" w:customStyle="1" w:styleId="21">
    <w:name w:val="标题 1 Char"/>
    <w:link w:val="4"/>
    <w:qFormat/>
    <w:uiPriority w:val="0"/>
    <w:rPr>
      <w:rFonts w:ascii="Times New Roman" w:hAnsi="Times New Roman" w:eastAsia="仿宋_GB2312" w:cstheme="minorBidi"/>
      <w:b/>
      <w:bCs/>
      <w:kern w:val="0"/>
      <w:sz w:val="32"/>
      <w:szCs w:val="44"/>
      <w:lang w:val="en-US" w:eastAsia="zh-CN" w:bidi="ar-SA"/>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List Paragraph"/>
    <w:basedOn w:val="1"/>
    <w:qFormat/>
    <w:uiPriority w:val="34"/>
    <w:pPr>
      <w:ind w:firstLine="420" w:firstLineChars="200"/>
    </w:pPr>
    <w:rPr>
      <w:sz w:val="28"/>
      <w:szCs w:val="20"/>
    </w:rPr>
  </w:style>
  <w:style w:type="paragraph" w:customStyle="1" w:styleId="24">
    <w:name w:val="样式"/>
    <w:basedOn w:val="1"/>
    <w:qFormat/>
    <w:uiPriority w:val="0"/>
    <w:pPr>
      <w:numPr>
        <w:ilvl w:val="0"/>
        <w:numId w:val="3"/>
      </w:numPr>
      <w:tabs>
        <w:tab w:val="left" w:pos="567"/>
      </w:tabs>
      <w:snapToGrid w:val="0"/>
      <w:spacing w:line="460" w:lineRule="atLeast"/>
    </w:pPr>
    <w:rPr>
      <w:rFonts w:ascii="Arial" w:hAnsi="Arial"/>
      <w:spacing w:val="6"/>
      <w:szCs w:val="20"/>
    </w:rPr>
  </w:style>
  <w:style w:type="paragraph" w:customStyle="1" w:styleId="25">
    <w:name w:val="p0"/>
    <w:basedOn w:val="1"/>
    <w:qFormat/>
    <w:uiPriority w:val="0"/>
    <w:pPr>
      <w:widowControl/>
      <w:spacing w:line="240" w:lineRule="auto"/>
      <w:ind w:firstLine="0" w:firstLineChars="0"/>
    </w:pPr>
    <w:rPr>
      <w:rFonts w:ascii="Calibri" w:hAnsi="Calibri" w:cs="Calibri"/>
      <w:kern w:val="0"/>
      <w:sz w:val="21"/>
      <w:szCs w:val="21"/>
    </w:rPr>
  </w:style>
  <w:style w:type="paragraph" w:customStyle="1" w:styleId="26">
    <w:name w:val="目录 21"/>
    <w:basedOn w:val="1"/>
    <w:next w:val="1"/>
    <w:qFormat/>
    <w:uiPriority w:val="0"/>
    <w:pPr>
      <w:spacing w:before="100" w:beforeAutospacing="1" w:after="100" w:afterAutospacing="1"/>
      <w:ind w:left="420" w:leftChars="200"/>
    </w:pPr>
  </w:style>
  <w:style w:type="paragraph" w:customStyle="1" w:styleId="27">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3215</Words>
  <Characters>3424</Characters>
  <Lines>0</Lines>
  <Paragraphs>0</Paragraphs>
  <TotalTime>0</TotalTime>
  <ScaleCrop>false</ScaleCrop>
  <LinksUpToDate>false</LinksUpToDate>
  <CharactersWithSpaces>3434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2024-12-16T02:21:00Z</dcterms:created>
  <dc:creator>lenovo</dc:creator>
  <cp:lastModifiedBy>葛哲宇</cp:lastModifiedBy>
  <dcterms:modified xsi:type="dcterms:W3CDTF">2026-04-22T05:55:03Z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D036EB6F29B14FB288B8E8109D206753_13</vt:lpwstr>
  </property>
  <property fmtid="{D5CDD505-2E9C-101B-9397-08002B2CF9AE}" pid="4" name="KSOTemplateDocerSaveRecord">
    <vt:lpwstr>eyJoZGlkIjoiNjYxN2Y5NTM3Yzc1NWNmNWU5MjU5Njc1ZTQ4MmEyYjIiLCJ1c2VySWQiOiIxMDMzNTkzMTM3In0=</vt:lpwstr>
  </property>
</Properties>
</file>