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text" w:horzAnchor="page" w:tblpXSpec="center" w:tblpY="252"/>
        <w:tblOverlap w:val="never"/>
        <w:tblW w:w="52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998"/>
        <w:gridCol w:w="1339"/>
        <w:gridCol w:w="1643"/>
        <w:gridCol w:w="856"/>
        <w:gridCol w:w="856"/>
        <w:gridCol w:w="1051"/>
        <w:gridCol w:w="1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37" w:type="pct"/>
            <w:vAlign w:val="center"/>
          </w:tcPr>
          <w:p>
            <w:pPr>
              <w:snapToGrid w:val="0"/>
              <w:spacing w:line="240" w:lineRule="auto"/>
              <w:jc w:val="center"/>
              <w:rPr>
                <w:rFonts w:ascii="宋体" w:hAnsi="宋体" w:eastAsia="宋体" w:cs="宋体"/>
                <w:b/>
                <w:color w:val="auto"/>
                <w:szCs w:val="21"/>
                <w:highlight w:val="none"/>
              </w:rPr>
            </w:pPr>
            <w:bookmarkStart w:id="0" w:name="_GoBack"/>
            <w:r>
              <w:rPr>
                <w:rFonts w:hint="eastAsia" w:ascii="宋体" w:hAnsi="宋体" w:eastAsia="宋体" w:cs="宋体"/>
                <w:b/>
                <w:color w:val="auto"/>
                <w:szCs w:val="21"/>
                <w:highlight w:val="none"/>
              </w:rPr>
              <w:t>序号</w:t>
            </w:r>
          </w:p>
        </w:tc>
        <w:tc>
          <w:tcPr>
            <w:tcW w:w="554" w:type="pct"/>
            <w:vAlign w:val="center"/>
          </w:tcPr>
          <w:p>
            <w:pPr>
              <w:snapToGrid w:val="0"/>
              <w:spacing w:line="240"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标的</w:t>
            </w:r>
          </w:p>
        </w:tc>
        <w:tc>
          <w:tcPr>
            <w:tcW w:w="743" w:type="pct"/>
            <w:vAlign w:val="center"/>
          </w:tcPr>
          <w:p>
            <w:pPr>
              <w:snapToGrid w:val="0"/>
              <w:spacing w:line="240"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标包名称</w:t>
            </w:r>
          </w:p>
        </w:tc>
        <w:tc>
          <w:tcPr>
            <w:tcW w:w="912" w:type="pct"/>
            <w:vAlign w:val="center"/>
          </w:tcPr>
          <w:p>
            <w:pPr>
              <w:snapToGrid w:val="0"/>
              <w:spacing w:line="240" w:lineRule="auto"/>
              <w:jc w:val="center"/>
              <w:rPr>
                <w:rFonts w:ascii="宋体" w:hAnsi="宋体" w:eastAsia="宋体" w:cs="宋体"/>
                <w:b/>
                <w:color w:val="auto"/>
                <w:szCs w:val="21"/>
                <w:highlight w:val="none"/>
              </w:rPr>
            </w:pPr>
            <w:r>
              <w:rPr>
                <w:rFonts w:hint="eastAsia" w:ascii="宋体" w:hAnsi="宋体" w:cs="宋体"/>
                <w:b/>
                <w:color w:val="auto"/>
                <w:szCs w:val="21"/>
                <w:highlight w:val="none"/>
              </w:rPr>
              <w:t>服务内容</w:t>
            </w:r>
          </w:p>
        </w:tc>
        <w:tc>
          <w:tcPr>
            <w:tcW w:w="475" w:type="pct"/>
            <w:vAlign w:val="center"/>
          </w:tcPr>
          <w:p>
            <w:pPr>
              <w:snapToGrid w:val="0"/>
              <w:spacing w:line="240"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单项报价</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万元</w:t>
            </w:r>
            <w:r>
              <w:rPr>
                <w:rFonts w:hint="eastAsia" w:ascii="宋体" w:hAnsi="宋体" w:eastAsia="宋体" w:cs="宋体"/>
                <w:b/>
                <w:color w:val="auto"/>
                <w:szCs w:val="21"/>
                <w:highlight w:val="none"/>
                <w:lang w:eastAsia="zh-CN"/>
              </w:rPr>
              <w:t>）</w:t>
            </w:r>
          </w:p>
        </w:tc>
        <w:tc>
          <w:tcPr>
            <w:tcW w:w="475" w:type="pct"/>
            <w:vAlign w:val="center"/>
          </w:tcPr>
          <w:p>
            <w:pPr>
              <w:snapToGrid w:val="0"/>
              <w:spacing w:line="240"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服务费用</w:t>
            </w:r>
            <w:r>
              <w:rPr>
                <w:rFonts w:hint="eastAsia" w:ascii="宋体" w:hAnsi="宋体" w:eastAsia="宋体" w:cs="宋体"/>
                <w:b/>
                <w:color w:val="auto"/>
                <w:szCs w:val="21"/>
                <w:highlight w:val="none"/>
                <w:lang w:val="en-US" w:eastAsia="zh-CN"/>
              </w:rPr>
              <w:t>单项</w:t>
            </w:r>
            <w:r>
              <w:rPr>
                <w:rFonts w:hint="eastAsia" w:ascii="宋体" w:hAnsi="宋体" w:eastAsia="宋体" w:cs="宋体"/>
                <w:b/>
                <w:color w:val="auto"/>
                <w:szCs w:val="21"/>
                <w:highlight w:val="none"/>
              </w:rPr>
              <w:t>最高限价</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万元</w:t>
            </w:r>
            <w:r>
              <w:rPr>
                <w:rFonts w:hint="eastAsia" w:ascii="宋体" w:hAnsi="宋体" w:eastAsia="宋体" w:cs="宋体"/>
                <w:b/>
                <w:color w:val="auto"/>
                <w:szCs w:val="21"/>
                <w:highlight w:val="none"/>
                <w:lang w:eastAsia="zh-CN"/>
              </w:rPr>
              <w:t>）</w:t>
            </w:r>
          </w:p>
        </w:tc>
        <w:tc>
          <w:tcPr>
            <w:tcW w:w="583" w:type="pct"/>
            <w:vAlign w:val="center"/>
          </w:tcPr>
          <w:p>
            <w:pPr>
              <w:snapToGrid w:val="0"/>
              <w:spacing w:line="240" w:lineRule="auto"/>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价格比重</w:t>
            </w:r>
          </w:p>
        </w:tc>
        <w:tc>
          <w:tcPr>
            <w:tcW w:w="1017" w:type="pct"/>
            <w:vAlign w:val="center"/>
          </w:tcPr>
          <w:p>
            <w:pPr>
              <w:snapToGrid w:val="0"/>
              <w:spacing w:line="240" w:lineRule="auto"/>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237" w:type="pct"/>
            <w:vAlign w:val="center"/>
          </w:tcPr>
          <w:p>
            <w:pPr>
              <w:snapToGrid w:val="0"/>
              <w:spacing w:line="240" w:lineRule="auto"/>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1</w:t>
            </w:r>
          </w:p>
        </w:tc>
        <w:tc>
          <w:tcPr>
            <w:tcW w:w="554" w:type="pct"/>
            <w:vAlign w:val="center"/>
          </w:tcPr>
          <w:p>
            <w:pPr>
              <w:snapToGrid w:val="0"/>
              <w:spacing w:line="240" w:lineRule="auto"/>
              <w:jc w:val="left"/>
              <w:rPr>
                <w:rFonts w:hint="eastAsia" w:ascii="宋体" w:hAnsi="宋体" w:cs="宋体" w:eastAsiaTheme="minorEastAsia"/>
                <w:b/>
                <w:bCs w:val="0"/>
                <w:color w:val="auto"/>
                <w:szCs w:val="21"/>
                <w:highlight w:val="none"/>
                <w:lang w:eastAsia="zh-CN"/>
              </w:rPr>
            </w:pPr>
            <w:r>
              <w:t>南方电网产业发展集团有限责任公司股权投资项目独立第三方技术分析服务项目</w:t>
            </w:r>
          </w:p>
        </w:tc>
        <w:tc>
          <w:tcPr>
            <w:tcW w:w="743" w:type="pct"/>
            <w:vAlign w:val="center"/>
          </w:tcPr>
          <w:p>
            <w:pPr>
              <w:snapToGrid w:val="0"/>
              <w:spacing w:line="240" w:lineRule="auto"/>
              <w:jc w:val="left"/>
              <w:rPr>
                <w:rFonts w:hint="eastAsia" w:eastAsiaTheme="minorEastAsia"/>
                <w:b/>
                <w:bCs w:val="0"/>
                <w:color w:val="auto"/>
                <w:lang w:eastAsia="zh-CN"/>
              </w:rPr>
            </w:pPr>
            <w:r>
              <w:t>南方电网产业发展集团有限责任公司股权投资项目独立第三方技术分析服务项目</w:t>
            </w:r>
          </w:p>
        </w:tc>
        <w:tc>
          <w:tcPr>
            <w:tcW w:w="912" w:type="pct"/>
            <w:vAlign w:val="center"/>
          </w:tcPr>
          <w:p>
            <w:pPr>
              <w:snapToGrid w:val="0"/>
              <w:spacing w:line="240" w:lineRule="auto"/>
              <w:jc w:val="left"/>
              <w:rPr>
                <w:rFonts w:hint="default" w:ascii="宋体" w:hAnsi="宋体" w:cs="宋体" w:eastAsiaTheme="minorEastAsia"/>
                <w:bCs/>
                <w:color w:val="auto"/>
                <w:szCs w:val="21"/>
                <w:highlight w:val="none"/>
                <w:lang w:val="en-US" w:eastAsia="zh-CN"/>
              </w:rPr>
            </w:pPr>
            <w:r>
              <w:rPr>
                <w:rFonts w:hint="eastAsia" w:ascii="宋体" w:hAnsi="宋体" w:cs="宋体"/>
                <w:bCs/>
                <w:color w:val="auto"/>
                <w:szCs w:val="21"/>
                <w:highlight w:val="none"/>
                <w:lang w:val="en-US" w:eastAsia="zh-CN"/>
              </w:rPr>
              <w:t>单个标的公司的技术分析报告</w:t>
            </w:r>
          </w:p>
        </w:tc>
        <w:tc>
          <w:tcPr>
            <w:tcW w:w="475" w:type="pct"/>
            <w:vAlign w:val="center"/>
          </w:tcPr>
          <w:p>
            <w:pPr>
              <w:snapToGrid w:val="0"/>
              <w:spacing w:line="240" w:lineRule="auto"/>
              <w:jc w:val="center"/>
              <w:rPr>
                <w:rFonts w:hint="default" w:ascii="宋体" w:hAnsi="宋体" w:eastAsia="宋体" w:cs="宋体"/>
                <w:bCs/>
                <w:color w:val="auto"/>
                <w:szCs w:val="21"/>
                <w:highlight w:val="none"/>
                <w:lang w:val="en-US" w:eastAsia="zh-CN"/>
              </w:rPr>
            </w:pPr>
          </w:p>
        </w:tc>
        <w:tc>
          <w:tcPr>
            <w:tcW w:w="475" w:type="pct"/>
            <w:vAlign w:val="center"/>
          </w:tcPr>
          <w:p>
            <w:pPr>
              <w:snapToGrid w:val="0"/>
              <w:spacing w:line="240"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5</w:t>
            </w:r>
          </w:p>
        </w:tc>
        <w:tc>
          <w:tcPr>
            <w:tcW w:w="583" w:type="pct"/>
            <w:vAlign w:val="center"/>
          </w:tcPr>
          <w:p>
            <w:pPr>
              <w:snapToGrid w:val="0"/>
              <w:spacing w:line="240"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w:t>
            </w:r>
          </w:p>
        </w:tc>
        <w:tc>
          <w:tcPr>
            <w:tcW w:w="1017" w:type="pct"/>
            <w:vAlign w:val="center"/>
          </w:tcPr>
          <w:p>
            <w:pPr>
              <w:shd w:val="clear" w:color="auto" w:fill="auto"/>
              <w:jc w:val="left"/>
              <w:outlineLvl w:val="9"/>
              <w:rPr>
                <w:rFonts w:hint="eastAsia" w:hAnsi="宋体"/>
                <w:bCs/>
                <w:i w:val="0"/>
                <w:iCs w:val="0"/>
                <w:color w:val="000000"/>
                <w:sz w:val="21"/>
                <w:szCs w:val="21"/>
                <w:u w:val="single"/>
                <w:lang w:val="en-US" w:eastAsia="zh-CN"/>
              </w:rPr>
            </w:pPr>
            <w:r>
              <w:rPr>
                <w:rFonts w:hint="eastAsia" w:hAnsi="宋体"/>
                <w:bCs/>
                <w:i w:val="0"/>
                <w:iCs w:val="0"/>
                <w:color w:val="000000"/>
                <w:sz w:val="21"/>
                <w:szCs w:val="21"/>
                <w:u w:val="single"/>
                <w:lang w:val="en-US" w:eastAsia="zh-CN"/>
              </w:rPr>
              <w:t>单个标的的独立第三方技术分析报告，内容包括但不限于：</w:t>
            </w:r>
          </w:p>
          <w:p>
            <w:pPr>
              <w:shd w:val="clear" w:color="auto" w:fill="auto"/>
              <w:jc w:val="left"/>
              <w:outlineLvl w:val="9"/>
              <w:rPr>
                <w:rFonts w:hint="eastAsia" w:hAnsi="宋体"/>
                <w:bCs/>
                <w:i w:val="0"/>
                <w:iCs w:val="0"/>
                <w:color w:val="000000"/>
                <w:sz w:val="21"/>
                <w:szCs w:val="21"/>
                <w:u w:val="single"/>
                <w:lang w:val="en-US" w:eastAsia="zh-CN"/>
              </w:rPr>
            </w:pPr>
            <w:r>
              <w:rPr>
                <w:rFonts w:hint="eastAsia" w:hAnsi="宋体"/>
                <w:bCs/>
                <w:i w:val="0"/>
                <w:iCs w:val="0"/>
                <w:color w:val="000000"/>
                <w:sz w:val="21"/>
                <w:szCs w:val="21"/>
                <w:u w:val="single"/>
                <w:lang w:val="en-US" w:eastAsia="zh-CN"/>
              </w:rPr>
              <w:t>1.提供标的公司产品的技术先进性分析（包括产品性能参数、技术成熟度、研发实力、技术壁垒等），分析标的公司技术在行业内的先进性、成熟度、技术路线的可靠性，前瞻研判技术可持续性和未来发展。</w:t>
            </w:r>
          </w:p>
          <w:p>
            <w:pPr>
              <w:shd w:val="clear" w:color="auto" w:fill="auto"/>
              <w:jc w:val="left"/>
              <w:outlineLvl w:val="9"/>
              <w:rPr>
                <w:rFonts w:hint="eastAsia" w:hAnsi="宋体"/>
                <w:bCs/>
                <w:i w:val="0"/>
                <w:iCs w:val="0"/>
                <w:color w:val="000000"/>
                <w:sz w:val="21"/>
                <w:szCs w:val="21"/>
                <w:u w:val="single"/>
                <w:lang w:val="en-US" w:eastAsia="zh-CN"/>
              </w:rPr>
            </w:pPr>
            <w:r>
              <w:rPr>
                <w:rFonts w:hint="eastAsia" w:hAnsi="宋体"/>
                <w:bCs/>
                <w:i w:val="0"/>
                <w:iCs w:val="0"/>
                <w:color w:val="000000"/>
                <w:sz w:val="21"/>
                <w:szCs w:val="21"/>
                <w:u w:val="single"/>
                <w:lang w:val="en-US" w:eastAsia="zh-CN"/>
              </w:rPr>
              <w:t>2.提供标的公司所处赛道的技术先进性分析，包括但不限于技术发展趋势、技术竞争格局与壁垒评估、技术颠覆性与替代性风险等。</w:t>
            </w:r>
          </w:p>
          <w:p>
            <w:pPr>
              <w:shd w:val="clear" w:color="auto" w:fill="auto"/>
              <w:jc w:val="left"/>
              <w:outlineLvl w:val="9"/>
              <w:rPr>
                <w:rFonts w:hint="eastAsia" w:hAnsi="宋体"/>
                <w:bCs/>
                <w:i w:val="0"/>
                <w:iCs w:val="0"/>
                <w:color w:val="000000"/>
                <w:sz w:val="21"/>
                <w:szCs w:val="21"/>
                <w:u w:val="single"/>
                <w:lang w:val="en-US" w:eastAsia="zh-CN"/>
              </w:rPr>
            </w:pPr>
            <w:r>
              <w:rPr>
                <w:rFonts w:hint="eastAsia" w:hAnsi="宋体"/>
                <w:bCs/>
                <w:i w:val="0"/>
                <w:iCs w:val="0"/>
                <w:color w:val="000000"/>
                <w:sz w:val="21"/>
                <w:szCs w:val="21"/>
                <w:u w:val="single"/>
                <w:lang w:val="en-US" w:eastAsia="zh-CN"/>
              </w:rPr>
              <w:t>3.根据项目需求，提供标的项目技术咨询服务。</w:t>
            </w:r>
          </w:p>
          <w:p>
            <w:pPr>
              <w:spacing w:line="240" w:lineRule="auto"/>
              <w:rPr>
                <w:rFonts w:hint="eastAsia" w:ascii="宋体" w:hAnsi="宋体" w:cs="宋体" w:eastAsiaTheme="minorEastAsia"/>
                <w:bCs/>
                <w:color w:val="auto"/>
                <w:szCs w:val="21"/>
                <w:highlight w:val="none"/>
                <w:lang w:val="en-US" w:eastAsia="zh-CN"/>
              </w:rPr>
            </w:pPr>
          </w:p>
        </w:tc>
      </w:tr>
      <w:bookmarkEnd w:id="0"/>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1A6031"/>
    <w:rsid w:val="3A1A60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2026-04-23T08:36:00Z</dcterms:created>
  <dc:creator>建议</dc:creator>
  <cp:lastModifiedBy>建议</cp:lastModifiedBy>
  <dcterms:modified xsi:type="dcterms:W3CDTF">2026-04-23T08:36:32Z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8BF71936F4BC4FDF8F334A3732110FA0</vt:lpwstr>
  </property>
</Properties>
</file>