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468" w:afterLines="150" w:line="480" w:lineRule="auto"/>
        <w:ind w:firstLine="600" w:firstLineChars="200"/>
        <w:jc w:val="center"/>
        <w:rPr>
          <w:rFonts w:hint="eastAsia" w:ascii="宋体" w:hAnsi="宋体"/>
          <w:b/>
          <w:bCs/>
          <w:snapToGrid w:val="0"/>
          <w:sz w:val="30"/>
          <w:szCs w:val="30"/>
        </w:rPr>
      </w:pPr>
    </w:p>
    <w:p>
      <w:pPr>
        <w:widowControl/>
        <w:jc w:val="center"/>
        <w:rPr>
          <w:rFonts w:hint="eastAsia" w:ascii="宋体" w:hAnsi="宋体" w:cs="宋体"/>
          <w:color w:val="000000"/>
          <w:kern w:val="0"/>
          <w:sz w:val="18"/>
          <w:szCs w:val="18"/>
        </w:rPr>
      </w:pPr>
      <w:r>
        <w:rPr>
          <w:rFonts w:hint="eastAsia" w:ascii="宋体" w:hAnsi="宋体" w:cs="宋体"/>
          <w:b/>
          <w:bCs/>
          <w:snapToGrid w:val="0"/>
          <w:sz w:val="52"/>
          <w:szCs w:val="52"/>
        </w:rPr>
        <w:t>快速接头技术规范书</w:t>
      </w:r>
    </w:p>
    <w:p>
      <w:pPr>
        <w:spacing w:after="468" w:afterLines="150" w:line="480" w:lineRule="auto"/>
        <w:ind w:firstLine="600" w:firstLineChars="200"/>
        <w:jc w:val="center"/>
        <w:rPr>
          <w:rFonts w:hint="eastAsia" w:ascii="宋体" w:hAnsi="宋体"/>
          <w:b/>
          <w:bCs/>
          <w:snapToGrid w:val="0"/>
          <w:sz w:val="30"/>
          <w:szCs w:val="30"/>
        </w:rPr>
      </w:pPr>
    </w:p>
    <w:p>
      <w:pPr>
        <w:spacing w:after="468" w:afterLines="150" w:line="480" w:lineRule="auto"/>
        <w:ind w:firstLine="600" w:firstLineChars="200"/>
        <w:jc w:val="center"/>
        <w:rPr>
          <w:rFonts w:hint="eastAsia" w:ascii="宋体" w:hAnsi="宋体"/>
          <w:b/>
          <w:bCs/>
          <w:snapToGrid w:val="0"/>
          <w:sz w:val="30"/>
          <w:szCs w:val="30"/>
        </w:rPr>
      </w:pPr>
    </w:p>
    <w:p>
      <w:pPr>
        <w:spacing w:after="468" w:afterLines="150" w:line="480" w:lineRule="auto"/>
        <w:ind w:firstLine="600" w:firstLineChars="200"/>
        <w:jc w:val="center"/>
        <w:rPr>
          <w:rFonts w:hint="eastAsia" w:ascii="宋体" w:hAnsi="宋体"/>
          <w:b/>
          <w:bCs/>
          <w:snapToGrid w:val="0"/>
          <w:sz w:val="30"/>
          <w:szCs w:val="30"/>
        </w:rPr>
      </w:pPr>
    </w:p>
    <w:p>
      <w:pPr>
        <w:spacing w:after="468" w:afterLines="150" w:line="480" w:lineRule="auto"/>
        <w:ind w:firstLine="600" w:firstLineChars="200"/>
        <w:jc w:val="center"/>
        <w:rPr>
          <w:rFonts w:hint="eastAsia" w:ascii="宋体" w:hAnsi="宋体"/>
          <w:b/>
          <w:bCs/>
          <w:snapToGrid w:val="0"/>
          <w:sz w:val="30"/>
          <w:szCs w:val="30"/>
        </w:rPr>
      </w:pPr>
    </w:p>
    <w:p>
      <w:pPr>
        <w:spacing w:after="468" w:afterLines="150" w:line="480" w:lineRule="auto"/>
        <w:ind w:firstLine="600" w:firstLineChars="200"/>
        <w:jc w:val="center"/>
        <w:rPr>
          <w:rFonts w:hint="eastAsia" w:ascii="宋体" w:hAnsi="宋体"/>
          <w:b/>
          <w:bCs/>
          <w:snapToGrid w:val="0"/>
          <w:sz w:val="30"/>
          <w:szCs w:val="30"/>
        </w:rPr>
      </w:pPr>
    </w:p>
    <w:p>
      <w:pPr>
        <w:pStyle w:val="11"/>
        <w:jc w:val="center"/>
        <w:rPr>
          <w:rFonts w:hint="eastAsia" w:hAnsi="宋体"/>
          <w:b/>
          <w:color w:val="000000"/>
          <w:sz w:val="36"/>
          <w:szCs w:val="36"/>
        </w:rPr>
      </w:pPr>
      <w:r>
        <w:rPr>
          <w:rFonts w:hint="eastAsia" w:hAnsi="宋体"/>
          <w:b/>
          <w:color w:val="000000"/>
          <w:sz w:val="36"/>
          <w:szCs w:val="36"/>
        </w:rPr>
        <w:t>项目名称：2026年钦州网区（变电二所）一次及运行生产材料项目</w:t>
      </w:r>
    </w:p>
    <w:p>
      <w:pPr>
        <w:spacing w:after="468" w:afterLines="150" w:line="480" w:lineRule="auto"/>
        <w:ind w:firstLine="600" w:firstLineChars="200"/>
        <w:jc w:val="center"/>
        <w:rPr>
          <w:rFonts w:hint="eastAsia" w:ascii="宋体" w:hAnsi="宋体"/>
          <w:b/>
          <w:bCs/>
          <w:snapToGrid w:val="0"/>
          <w:sz w:val="30"/>
          <w:szCs w:val="30"/>
        </w:rPr>
      </w:pPr>
    </w:p>
    <w:p>
      <w:pPr>
        <w:jc w:val="center"/>
        <w:rPr>
          <w:rFonts w:hint="eastAsia" w:ascii="宋体" w:hAnsi="宋体"/>
          <w:b/>
          <w:sz w:val="32"/>
          <w:szCs w:val="32"/>
        </w:rPr>
      </w:pPr>
      <w:r>
        <w:rPr>
          <w:rFonts w:hint="eastAsia" w:ascii="宋体" w:hAnsi="宋体"/>
          <w:b/>
          <w:sz w:val="32"/>
          <w:szCs w:val="32"/>
        </w:rPr>
        <w:t>广西电网公司钦州供电局</w:t>
      </w:r>
    </w:p>
    <w:p>
      <w:pPr>
        <w:jc w:val="center"/>
        <w:rPr>
          <w:rFonts w:hint="eastAsia" w:ascii="宋体" w:hAnsi="宋体"/>
          <w:b/>
          <w:bCs/>
          <w:snapToGrid w:val="0"/>
          <w:sz w:val="30"/>
          <w:szCs w:val="32"/>
        </w:rPr>
      </w:pPr>
      <w:r>
        <w:rPr>
          <w:rFonts w:hint="eastAsia" w:ascii="宋体" w:hAnsi="宋体"/>
          <w:b/>
          <w:sz w:val="32"/>
          <w:szCs w:val="32"/>
        </w:rPr>
        <w:t>2026年03月</w:t>
      </w:r>
    </w:p>
    <w:p>
      <w:pPr>
        <w:spacing w:after="468" w:afterLines="150" w:line="480" w:lineRule="auto"/>
        <w:rPr>
          <w:rFonts w:hint="eastAsia" w:ascii="宋体" w:hAnsi="宋体"/>
          <w:b/>
          <w:bCs/>
          <w:snapToGrid w:val="0"/>
          <w:sz w:val="30"/>
          <w:szCs w:val="30"/>
        </w:rPr>
      </w:pPr>
    </w:p>
    <w:p>
      <w:pPr>
        <w:spacing w:after="468" w:afterLines="150" w:line="480" w:lineRule="auto"/>
        <w:ind w:firstLine="600" w:firstLineChars="200"/>
        <w:jc w:val="center"/>
        <w:rPr>
          <w:rFonts w:hint="eastAsia" w:ascii="宋体" w:hAnsi="宋体"/>
          <w:b/>
          <w:bCs/>
          <w:snapToGrid w:val="0"/>
          <w:sz w:val="30"/>
          <w:szCs w:val="30"/>
        </w:rPr>
      </w:pPr>
    </w:p>
    <w:p>
      <w:pPr>
        <w:spacing w:after="468" w:afterLines="150" w:line="480" w:lineRule="auto"/>
        <w:ind w:firstLine="600" w:firstLineChars="200"/>
        <w:jc w:val="center"/>
        <w:rPr>
          <w:rFonts w:hint="eastAsia" w:ascii="宋体" w:hAnsi="宋体"/>
          <w:b/>
          <w:bCs/>
          <w:snapToGrid w:val="0"/>
          <w:sz w:val="30"/>
          <w:szCs w:val="30"/>
        </w:rPr>
      </w:pPr>
    </w:p>
    <w:p>
      <w:pPr>
        <w:pStyle w:val="2"/>
        <w:numPr>
          <w:ilvl w:val="0"/>
          <w:numId w:val="1"/>
        </w:numPr>
        <w:spacing w:before="240" w:after="0" w:line="360" w:lineRule="auto"/>
        <w:ind w:left="437" w:hanging="437"/>
        <w:rPr>
          <w:rFonts w:hint="eastAsia" w:ascii="宋体" w:hAnsi="宋体"/>
          <w:bCs/>
          <w:sz w:val="24"/>
          <w:szCs w:val="24"/>
        </w:rPr>
      </w:pPr>
      <w:r>
        <w:rPr>
          <w:rFonts w:hint="eastAsia" w:ascii="宋体" w:hAnsi="宋体"/>
          <w:bCs/>
          <w:sz w:val="24"/>
          <w:szCs w:val="24"/>
        </w:rPr>
        <w:t>总则</w:t>
      </w:r>
    </w:p>
    <w:p>
      <w:pPr>
        <w:rPr>
          <w:rFonts w:hint="eastAsia" w:ascii="宋体" w:hAnsi="宋体" w:cs="宋体"/>
          <w:color w:val="000000"/>
          <w:kern w:val="0"/>
          <w:sz w:val="18"/>
          <w:szCs w:val="18"/>
        </w:rPr>
      </w:pPr>
      <w:r>
        <w:rPr>
          <w:rFonts w:hint="eastAsia" w:ascii="宋体" w:hAnsi="宋体"/>
          <w:sz w:val="24"/>
        </w:rPr>
        <w:t>1.1 本技术条件适用于广西电网公司不锈钢快速接头（自密封）的订货及验收的技术要求。</w:t>
      </w:r>
    </w:p>
    <w:p>
      <w:pPr>
        <w:spacing w:line="360" w:lineRule="auto"/>
        <w:ind w:firstLine="480" w:firstLineChars="200"/>
        <w:rPr>
          <w:rFonts w:hint="eastAsia" w:ascii="宋体" w:hAnsi="宋体"/>
          <w:sz w:val="24"/>
        </w:rPr>
      </w:pPr>
      <w:r>
        <w:rPr>
          <w:rFonts w:hint="eastAsia" w:ascii="宋体" w:hAnsi="宋体"/>
          <w:sz w:val="24"/>
        </w:rPr>
        <w:t>1.2 需求方在本规范书中提出了最低限度的技术要求，并未规定所有的技术要求和适用的标准，未对一切技术细则作出规定，也未充分引述有关标准和规范的条文，供方应提供一套满足本规范书和现行有关标准要求的高质量产品及其相应服务。</w:t>
      </w:r>
    </w:p>
    <w:p>
      <w:pPr>
        <w:spacing w:line="360" w:lineRule="auto"/>
        <w:ind w:firstLine="480" w:firstLineChars="200"/>
        <w:rPr>
          <w:rFonts w:hint="eastAsia" w:ascii="宋体" w:hAnsi="宋体"/>
          <w:sz w:val="24"/>
        </w:rPr>
      </w:pPr>
      <w:r>
        <w:rPr>
          <w:rFonts w:hint="eastAsia" w:ascii="宋体" w:hAnsi="宋体"/>
          <w:sz w:val="24"/>
        </w:rPr>
        <w:t>1.3 如果供方没有以书面形式对本规范书的条款提出异议，则意味着供方提供的设备（或系统）完全满足本规范书的要求。如有异议，不管是多么微小，都应在投标书中以“对规范书的意见和与规范书的差异”为标题的专门章节加以详细描述。</w:t>
      </w:r>
    </w:p>
    <w:p>
      <w:pPr>
        <w:spacing w:line="360" w:lineRule="auto"/>
        <w:ind w:firstLine="480" w:firstLineChars="200"/>
        <w:rPr>
          <w:rFonts w:hint="eastAsia" w:ascii="宋体" w:hAnsi="宋体"/>
          <w:sz w:val="24"/>
        </w:rPr>
      </w:pPr>
      <w:r>
        <w:rPr>
          <w:rFonts w:hint="eastAsia" w:ascii="宋体" w:hAnsi="宋体"/>
          <w:sz w:val="24"/>
        </w:rPr>
        <w:t>1.4 本设备技术规范书经需供双方确认后作为订货合同的技术附件，与合同正文具有同等的法律效力。</w:t>
      </w:r>
    </w:p>
    <w:p>
      <w:pPr>
        <w:spacing w:line="360" w:lineRule="auto"/>
        <w:ind w:firstLine="480" w:firstLineChars="200"/>
        <w:rPr>
          <w:rFonts w:hint="eastAsia" w:ascii="宋体" w:hAnsi="宋体"/>
          <w:sz w:val="24"/>
        </w:rPr>
      </w:pPr>
      <w:r>
        <w:rPr>
          <w:rFonts w:hint="eastAsia" w:ascii="宋体" w:hAnsi="宋体"/>
          <w:sz w:val="24"/>
        </w:rPr>
        <w:t>1.5 供方须执行现行国家标准和行业标准。</w:t>
      </w:r>
    </w:p>
    <w:p>
      <w:pPr>
        <w:spacing w:line="360" w:lineRule="auto"/>
        <w:ind w:firstLine="480" w:firstLineChars="200"/>
        <w:rPr>
          <w:rFonts w:hint="eastAsia" w:ascii="宋体" w:hAnsi="宋体"/>
          <w:sz w:val="24"/>
        </w:rPr>
      </w:pPr>
      <w:r>
        <w:rPr>
          <w:rFonts w:hint="eastAsia" w:ascii="宋体" w:hAnsi="宋体"/>
          <w:sz w:val="24"/>
        </w:rPr>
        <w:t>1.6 本设备技术规范书未尽事宜，由需供双方协商确定。</w:t>
      </w:r>
    </w:p>
    <w:p>
      <w:pPr>
        <w:spacing w:line="360" w:lineRule="auto"/>
        <w:rPr>
          <w:rFonts w:hint="eastAsia" w:ascii="宋体" w:hAnsi="宋体" w:cs="宋体"/>
          <w:sz w:val="24"/>
        </w:rPr>
      </w:pPr>
    </w:p>
    <w:p>
      <w:pPr>
        <w:spacing w:line="360" w:lineRule="auto"/>
        <w:outlineLvl w:val="0"/>
        <w:rPr>
          <w:rFonts w:hint="eastAsia" w:ascii="宋体" w:hAnsi="宋体" w:cs="宋体"/>
          <w:b/>
          <w:sz w:val="24"/>
        </w:rPr>
      </w:pPr>
      <w:r>
        <w:rPr>
          <w:rFonts w:hint="eastAsia" w:ascii="宋体" w:hAnsi="宋体" w:cs="宋体"/>
          <w:b/>
          <w:sz w:val="24"/>
        </w:rPr>
        <w:t>2. 技术参数</w:t>
      </w:r>
    </w:p>
    <w:tbl>
      <w:tblPr>
        <w:tblStyle w:val="14"/>
        <w:tblW w:w="97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668"/>
        <w:gridCol w:w="2700"/>
        <w:gridCol w:w="1087"/>
        <w:gridCol w:w="1050"/>
        <w:gridCol w:w="24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76" w:type="dxa"/>
            <w:noWrap w:val="0"/>
            <w:vAlign w:val="center"/>
          </w:tcPr>
          <w:p>
            <w:pPr>
              <w:pStyle w:val="36"/>
              <w:numPr>
                <w:ilvl w:val="0"/>
                <w:numId w:val="0"/>
              </w:numPr>
              <w:snapToGrid w:val="0"/>
              <w:spacing w:line="300" w:lineRule="auto"/>
              <w:jc w:val="center"/>
              <w:rPr>
                <w:rFonts w:hint="eastAsia"/>
                <w:sz w:val="28"/>
                <w:szCs w:val="28"/>
              </w:rPr>
            </w:pPr>
            <w:r>
              <w:rPr>
                <w:rFonts w:hint="eastAsia"/>
                <w:sz w:val="28"/>
                <w:szCs w:val="28"/>
              </w:rPr>
              <w:t>序号</w:t>
            </w:r>
          </w:p>
        </w:tc>
        <w:tc>
          <w:tcPr>
            <w:tcW w:w="1668" w:type="dxa"/>
            <w:noWrap w:val="0"/>
            <w:vAlign w:val="center"/>
          </w:tcPr>
          <w:p>
            <w:pPr>
              <w:pStyle w:val="36"/>
              <w:numPr>
                <w:ilvl w:val="0"/>
                <w:numId w:val="0"/>
              </w:numPr>
              <w:snapToGrid w:val="0"/>
              <w:spacing w:line="300" w:lineRule="auto"/>
              <w:jc w:val="center"/>
              <w:rPr>
                <w:rFonts w:hint="eastAsia"/>
                <w:sz w:val="28"/>
                <w:szCs w:val="28"/>
              </w:rPr>
            </w:pPr>
            <w:r>
              <w:rPr>
                <w:rFonts w:hint="eastAsia"/>
                <w:sz w:val="28"/>
                <w:szCs w:val="28"/>
              </w:rPr>
              <w:t>物资名称</w:t>
            </w:r>
          </w:p>
        </w:tc>
        <w:tc>
          <w:tcPr>
            <w:tcW w:w="2700" w:type="dxa"/>
            <w:noWrap w:val="0"/>
            <w:vAlign w:val="center"/>
          </w:tcPr>
          <w:p>
            <w:pPr>
              <w:pStyle w:val="36"/>
              <w:numPr>
                <w:ilvl w:val="0"/>
                <w:numId w:val="0"/>
              </w:numPr>
              <w:snapToGrid w:val="0"/>
              <w:spacing w:line="300" w:lineRule="auto"/>
              <w:jc w:val="center"/>
              <w:rPr>
                <w:rFonts w:hint="eastAsia"/>
                <w:sz w:val="28"/>
                <w:szCs w:val="28"/>
              </w:rPr>
            </w:pPr>
            <w:r>
              <w:rPr>
                <w:rFonts w:hint="eastAsia"/>
                <w:sz w:val="28"/>
                <w:szCs w:val="28"/>
              </w:rPr>
              <w:t>型号规格</w:t>
            </w:r>
          </w:p>
        </w:tc>
        <w:tc>
          <w:tcPr>
            <w:tcW w:w="1087" w:type="dxa"/>
            <w:noWrap w:val="0"/>
            <w:vAlign w:val="center"/>
          </w:tcPr>
          <w:p>
            <w:pPr>
              <w:pStyle w:val="36"/>
              <w:numPr>
                <w:ilvl w:val="0"/>
                <w:numId w:val="0"/>
              </w:numPr>
              <w:snapToGrid w:val="0"/>
              <w:spacing w:line="300" w:lineRule="auto"/>
              <w:jc w:val="center"/>
              <w:rPr>
                <w:rFonts w:hint="eastAsia"/>
                <w:sz w:val="28"/>
                <w:szCs w:val="28"/>
              </w:rPr>
            </w:pPr>
            <w:r>
              <w:rPr>
                <w:rFonts w:hint="eastAsia"/>
                <w:sz w:val="28"/>
                <w:szCs w:val="28"/>
              </w:rPr>
              <w:t>单位</w:t>
            </w:r>
          </w:p>
        </w:tc>
        <w:tc>
          <w:tcPr>
            <w:tcW w:w="1050" w:type="dxa"/>
            <w:noWrap w:val="0"/>
            <w:vAlign w:val="center"/>
          </w:tcPr>
          <w:p>
            <w:pPr>
              <w:pStyle w:val="36"/>
              <w:numPr>
                <w:ilvl w:val="0"/>
                <w:numId w:val="0"/>
              </w:numPr>
              <w:snapToGrid w:val="0"/>
              <w:spacing w:line="300" w:lineRule="auto"/>
              <w:jc w:val="center"/>
              <w:rPr>
                <w:rFonts w:hint="eastAsia"/>
                <w:sz w:val="28"/>
                <w:szCs w:val="28"/>
              </w:rPr>
            </w:pPr>
            <w:r>
              <w:rPr>
                <w:rFonts w:hint="eastAsia"/>
                <w:sz w:val="28"/>
                <w:szCs w:val="28"/>
              </w:rPr>
              <w:t>数量</w:t>
            </w:r>
          </w:p>
        </w:tc>
        <w:tc>
          <w:tcPr>
            <w:tcW w:w="2475" w:type="dxa"/>
            <w:noWrap w:val="0"/>
            <w:vAlign w:val="center"/>
          </w:tcPr>
          <w:p>
            <w:pPr>
              <w:pStyle w:val="36"/>
              <w:numPr>
                <w:ilvl w:val="0"/>
                <w:numId w:val="0"/>
              </w:numPr>
              <w:snapToGrid w:val="0"/>
              <w:spacing w:line="300" w:lineRule="auto"/>
              <w:jc w:val="center"/>
              <w:rPr>
                <w:rFonts w:hint="eastAsia"/>
                <w:sz w:val="28"/>
                <w:szCs w:val="28"/>
              </w:rPr>
            </w:pPr>
            <w:r>
              <w:rPr>
                <w:rFonts w:hint="eastAsia"/>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76" w:type="dxa"/>
            <w:noWrap w:val="0"/>
            <w:vAlign w:val="center"/>
          </w:tcPr>
          <w:p>
            <w:pPr>
              <w:pStyle w:val="36"/>
              <w:numPr>
                <w:ilvl w:val="0"/>
                <w:numId w:val="0"/>
              </w:numPr>
              <w:snapToGrid w:val="0"/>
              <w:spacing w:line="300" w:lineRule="auto"/>
              <w:jc w:val="center"/>
              <w:rPr>
                <w:rFonts w:hint="eastAsia" w:eastAsia="宋体"/>
                <w:sz w:val="28"/>
                <w:szCs w:val="28"/>
                <w:lang w:val="en-US" w:eastAsia="zh-CN"/>
              </w:rPr>
            </w:pPr>
            <w:r>
              <w:rPr>
                <w:rFonts w:hint="eastAsia"/>
                <w:sz w:val="28"/>
                <w:szCs w:val="28"/>
                <w:lang w:val="en-US" w:eastAsia="zh-CN"/>
              </w:rPr>
              <w:t>1</w:t>
            </w:r>
          </w:p>
        </w:tc>
        <w:tc>
          <w:tcPr>
            <w:tcW w:w="1668" w:type="dxa"/>
            <w:noWrap w:val="0"/>
            <w:vAlign w:val="center"/>
          </w:tcPr>
          <w:p>
            <w:pPr>
              <w:pStyle w:val="36"/>
              <w:numPr>
                <w:ilvl w:val="0"/>
                <w:numId w:val="0"/>
              </w:numPr>
              <w:snapToGrid w:val="0"/>
              <w:spacing w:line="300" w:lineRule="auto"/>
              <w:ind w:left="0" w:leftChars="0" w:firstLine="0" w:firstLineChars="0"/>
              <w:jc w:val="center"/>
              <w:rPr>
                <w:rFonts w:hint="eastAsia"/>
                <w:sz w:val="28"/>
                <w:szCs w:val="28"/>
                <w:lang w:eastAsia="zh-CN"/>
              </w:rPr>
            </w:pPr>
            <w:r>
              <w:rPr>
                <w:rFonts w:hint="eastAsia"/>
                <w:sz w:val="28"/>
                <w:szCs w:val="28"/>
                <w:lang w:eastAsia="zh-CN"/>
              </w:rPr>
              <w:t>快速接头</w:t>
            </w:r>
          </w:p>
        </w:tc>
        <w:tc>
          <w:tcPr>
            <w:tcW w:w="2700" w:type="dxa"/>
            <w:noWrap w:val="0"/>
            <w:vAlign w:val="center"/>
          </w:tcPr>
          <w:p>
            <w:pPr>
              <w:pStyle w:val="36"/>
              <w:numPr>
                <w:ilvl w:val="0"/>
                <w:numId w:val="0"/>
              </w:numPr>
              <w:snapToGrid w:val="0"/>
              <w:spacing w:line="276" w:lineRule="auto"/>
              <w:ind w:left="0" w:leftChars="0" w:firstLine="0" w:firstLineChars="0"/>
              <w:jc w:val="center"/>
              <w:rPr>
                <w:rFonts w:hint="eastAsia"/>
                <w:sz w:val="28"/>
                <w:szCs w:val="28"/>
              </w:rPr>
            </w:pPr>
            <w:r>
              <w:rPr>
                <w:rFonts w:hint="eastAsia"/>
                <w:sz w:val="28"/>
                <w:szCs w:val="28"/>
              </w:rPr>
              <w:t>316全不锈钢快速接头KSJT-CD-50</w:t>
            </w:r>
          </w:p>
        </w:tc>
        <w:tc>
          <w:tcPr>
            <w:tcW w:w="1087" w:type="dxa"/>
            <w:noWrap w:val="0"/>
            <w:vAlign w:val="center"/>
          </w:tcPr>
          <w:p>
            <w:pPr>
              <w:pStyle w:val="36"/>
              <w:numPr>
                <w:ilvl w:val="0"/>
                <w:numId w:val="0"/>
              </w:numPr>
              <w:snapToGrid w:val="0"/>
              <w:spacing w:line="300" w:lineRule="auto"/>
              <w:ind w:left="0" w:leftChars="0" w:firstLine="0" w:firstLineChars="0"/>
              <w:jc w:val="center"/>
              <w:rPr>
                <w:rFonts w:hint="eastAsia"/>
                <w:sz w:val="28"/>
                <w:szCs w:val="28"/>
                <w:lang w:eastAsia="zh-CN"/>
              </w:rPr>
            </w:pPr>
            <w:r>
              <w:rPr>
                <w:rFonts w:hint="eastAsia"/>
                <w:sz w:val="28"/>
                <w:szCs w:val="28"/>
                <w:lang w:eastAsia="zh-CN"/>
              </w:rPr>
              <w:t>个</w:t>
            </w:r>
          </w:p>
        </w:tc>
        <w:tc>
          <w:tcPr>
            <w:tcW w:w="1050" w:type="dxa"/>
            <w:noWrap w:val="0"/>
            <w:vAlign w:val="center"/>
          </w:tcPr>
          <w:p>
            <w:pPr>
              <w:pStyle w:val="36"/>
              <w:numPr>
                <w:ilvl w:val="0"/>
                <w:numId w:val="0"/>
              </w:numPr>
              <w:snapToGrid w:val="0"/>
              <w:spacing w:line="300" w:lineRule="auto"/>
              <w:ind w:left="0" w:leftChars="0" w:firstLine="0" w:firstLineChars="0"/>
              <w:jc w:val="center"/>
              <w:rPr>
                <w:rFonts w:hint="eastAsia"/>
                <w:sz w:val="28"/>
                <w:szCs w:val="28"/>
                <w:lang w:val="en-US" w:eastAsia="zh-CN"/>
              </w:rPr>
            </w:pPr>
            <w:r>
              <w:rPr>
                <w:rFonts w:hint="eastAsia"/>
                <w:sz w:val="28"/>
                <w:szCs w:val="28"/>
                <w:lang w:val="en-US" w:eastAsia="zh-CN"/>
              </w:rPr>
              <w:t>4</w:t>
            </w:r>
          </w:p>
        </w:tc>
        <w:tc>
          <w:tcPr>
            <w:tcW w:w="2475" w:type="dxa"/>
            <w:noWrap w:val="0"/>
            <w:vAlign w:val="center"/>
          </w:tcPr>
          <w:p>
            <w:pPr>
              <w:pStyle w:val="36"/>
              <w:numPr>
                <w:ilvl w:val="0"/>
                <w:numId w:val="0"/>
              </w:numPr>
              <w:snapToGrid w:val="0"/>
              <w:spacing w:line="276" w:lineRule="auto"/>
              <w:ind w:left="0" w:leftChars="0" w:firstLine="0" w:firstLineChars="0"/>
              <w:rPr>
                <w:rFonts w:hint="eastAsia" w:eastAsia="宋体"/>
                <w:sz w:val="28"/>
                <w:szCs w:val="28"/>
                <w:lang w:eastAsia="zh-CN"/>
              </w:rPr>
            </w:pPr>
            <w:r>
              <w:rPr>
                <w:rFonts w:hint="eastAsia" w:eastAsia="宋体"/>
                <w:sz w:val="28"/>
                <w:szCs w:val="28"/>
                <w:lang w:eastAsia="zh-CN"/>
              </w:rPr>
              <w:t>滤油机快速接头</w:t>
            </w:r>
          </w:p>
        </w:tc>
      </w:tr>
    </w:tbl>
    <w:p>
      <w:pPr>
        <w:rPr>
          <w:rFonts w:hint="eastAsia" w:ascii="宋体" w:hAnsi="宋体" w:cs="宋体"/>
          <w:bCs/>
          <w:sz w:val="24"/>
        </w:rPr>
      </w:pPr>
    </w:p>
    <w:p>
      <w:pPr>
        <w:spacing w:line="360" w:lineRule="auto"/>
        <w:outlineLvl w:val="0"/>
        <w:rPr>
          <w:rFonts w:hint="eastAsia" w:ascii="宋体" w:hAnsi="宋体"/>
          <w:b/>
          <w:sz w:val="24"/>
        </w:rPr>
      </w:pPr>
      <w:r>
        <w:rPr>
          <w:rFonts w:hint="eastAsia" w:ascii="宋体" w:hAnsi="宋体"/>
          <w:b/>
          <w:sz w:val="24"/>
        </w:rPr>
        <w:t>3.其它要求</w:t>
      </w:r>
    </w:p>
    <w:p>
      <w:pPr>
        <w:spacing w:line="360" w:lineRule="auto"/>
        <w:rPr>
          <w:rFonts w:hint="eastAsia" w:ascii="宋体" w:hAnsi="宋体"/>
          <w:sz w:val="24"/>
        </w:rPr>
      </w:pPr>
      <w:r>
        <w:rPr>
          <w:rFonts w:hint="eastAsia" w:ascii="宋体" w:hAnsi="宋体"/>
          <w:sz w:val="24"/>
        </w:rPr>
        <w:t>3.1　供货方应按合同要求供货及相应随机附件，并提供货物清单。</w:t>
      </w:r>
    </w:p>
    <w:p>
      <w:pPr>
        <w:spacing w:line="360" w:lineRule="auto"/>
        <w:rPr>
          <w:rFonts w:hint="eastAsia" w:ascii="宋体" w:hAnsi="宋体"/>
          <w:sz w:val="24"/>
        </w:rPr>
      </w:pPr>
      <w:r>
        <w:rPr>
          <w:rFonts w:hint="eastAsia" w:ascii="宋体" w:hAnsi="宋体"/>
          <w:sz w:val="24"/>
        </w:rPr>
        <w:t>3.2　装置的包装应符合国家有关标准的规定。在运输过程中供货方对设备应采取防震、防雨等措施。</w:t>
      </w:r>
    </w:p>
    <w:p>
      <w:pPr>
        <w:spacing w:line="360" w:lineRule="auto"/>
        <w:rPr>
          <w:rFonts w:hint="eastAsia" w:ascii="宋体" w:hAnsi="宋体"/>
          <w:sz w:val="24"/>
        </w:rPr>
      </w:pPr>
      <w:r>
        <w:rPr>
          <w:rFonts w:hint="eastAsia" w:ascii="宋体" w:hAnsi="宋体"/>
          <w:sz w:val="24"/>
        </w:rPr>
        <w:t>3.3　供货方应给订货方技术部门进行现场技术培训，必要的情况下到供货方实地进行考察和技术培训。</w:t>
      </w:r>
    </w:p>
    <w:p>
      <w:pPr>
        <w:pStyle w:val="35"/>
        <w:spacing w:line="360" w:lineRule="auto"/>
        <w:rPr>
          <w:rFonts w:hint="eastAsia" w:ascii="宋体" w:hAnsi="宋体"/>
          <w:sz w:val="24"/>
        </w:rPr>
      </w:pPr>
      <w:r>
        <w:rPr>
          <w:rFonts w:hint="eastAsia" w:ascii="宋体" w:hAnsi="宋体"/>
          <w:sz w:val="24"/>
        </w:rPr>
        <w:t>3.4供货方应提供购置设备的完整的中文使用说明书及中文技术资料3份（包括电子文档）。</w:t>
      </w:r>
    </w:p>
    <w:p>
      <w:pPr>
        <w:spacing w:line="360" w:lineRule="auto"/>
        <w:rPr>
          <w:rFonts w:hint="eastAsia" w:ascii="宋体" w:hAnsi="宋体"/>
          <w:sz w:val="24"/>
        </w:rPr>
      </w:pPr>
      <w:r>
        <w:rPr>
          <w:rFonts w:hint="eastAsia" w:ascii="宋体" w:hAnsi="宋体"/>
          <w:sz w:val="24"/>
        </w:rPr>
        <w:t>3.5当产品的软件更新时，供货方应及时提供相应的软件及技术培训或其它技术服务。</w:t>
      </w:r>
    </w:p>
    <w:p>
      <w:pPr>
        <w:spacing w:line="360" w:lineRule="auto"/>
        <w:rPr>
          <w:rFonts w:hint="eastAsia" w:ascii="宋体" w:hAnsi="宋体"/>
          <w:sz w:val="24"/>
        </w:rPr>
      </w:pPr>
      <w:r>
        <w:rPr>
          <w:rFonts w:hint="eastAsia" w:ascii="宋体" w:hAnsi="宋体"/>
          <w:sz w:val="24"/>
        </w:rPr>
        <w:t>3.6资料提交的基本要求</w:t>
      </w:r>
    </w:p>
    <w:p>
      <w:pPr>
        <w:spacing w:line="360" w:lineRule="auto"/>
        <w:rPr>
          <w:rFonts w:hint="eastAsia" w:ascii="宋体" w:hAnsi="宋体"/>
          <w:sz w:val="24"/>
        </w:rPr>
      </w:pPr>
      <w:r>
        <w:rPr>
          <w:rFonts w:hint="eastAsia" w:ascii="宋体" w:hAnsi="宋体"/>
          <w:sz w:val="24"/>
        </w:rPr>
        <w:t>3.3.1 供方应在投标阶段提供有关资料。</w:t>
      </w:r>
    </w:p>
    <w:p>
      <w:pPr>
        <w:spacing w:line="360" w:lineRule="auto"/>
        <w:rPr>
          <w:rFonts w:hint="eastAsia" w:ascii="宋体" w:hAnsi="宋体"/>
          <w:sz w:val="24"/>
        </w:rPr>
      </w:pPr>
      <w:r>
        <w:rPr>
          <w:rFonts w:hint="eastAsia" w:ascii="宋体" w:hAnsi="宋体"/>
          <w:sz w:val="24"/>
        </w:rPr>
        <w:t>3.3.2 供方须及时提供设备的资料与图纸。</w:t>
      </w:r>
    </w:p>
    <w:p>
      <w:pPr>
        <w:spacing w:line="360" w:lineRule="auto"/>
        <w:rPr>
          <w:rFonts w:hint="eastAsia" w:ascii="宋体" w:hAnsi="宋体"/>
          <w:sz w:val="24"/>
        </w:rPr>
      </w:pPr>
      <w:r>
        <w:rPr>
          <w:rFonts w:hint="eastAsia" w:ascii="宋体" w:hAnsi="宋体"/>
          <w:sz w:val="24"/>
        </w:rPr>
        <w:t>3.3.3 供方应提供满足合同设备性能检验/见证所需的全部技术资料。</w:t>
      </w:r>
    </w:p>
    <w:p>
      <w:pPr>
        <w:spacing w:line="360" w:lineRule="auto"/>
        <w:rPr>
          <w:rFonts w:hint="eastAsia" w:ascii="宋体" w:hAnsi="宋体"/>
          <w:sz w:val="24"/>
        </w:rPr>
      </w:pPr>
      <w:r>
        <w:rPr>
          <w:rFonts w:hint="eastAsia" w:ascii="宋体" w:hAnsi="宋体"/>
          <w:sz w:val="24"/>
        </w:rPr>
        <w:t>3.3.4调试、安装、使用和维护检修所需的技术资料，包括但不限于：</w:t>
      </w:r>
    </w:p>
    <w:p>
      <w:pPr>
        <w:spacing w:line="360" w:lineRule="auto"/>
        <w:rPr>
          <w:rFonts w:hint="eastAsia" w:ascii="宋体" w:hAnsi="宋体"/>
          <w:sz w:val="24"/>
        </w:rPr>
      </w:pPr>
      <w:r>
        <w:rPr>
          <w:rFonts w:hint="eastAsia" w:ascii="宋体" w:hAnsi="宋体"/>
          <w:sz w:val="24"/>
        </w:rPr>
        <w:t>3.3.4.1提供设备的说明书，以及组装、拆卸时所需用的技术资料。</w:t>
      </w:r>
    </w:p>
    <w:p>
      <w:pPr>
        <w:spacing w:line="360" w:lineRule="auto"/>
        <w:rPr>
          <w:rFonts w:hint="eastAsia" w:ascii="宋体" w:hAnsi="宋体"/>
          <w:sz w:val="24"/>
        </w:rPr>
      </w:pPr>
      <w:r>
        <w:rPr>
          <w:rFonts w:hint="eastAsia" w:ascii="宋体" w:hAnsi="宋体"/>
          <w:sz w:val="24"/>
        </w:rPr>
        <w:t>3.3.4.2安装、使用、维护、检修所需的详尽图纸和技术文件，包括设备总图、部件总图、分图和必要的零件图、计算资料等。</w:t>
      </w:r>
    </w:p>
    <w:p>
      <w:pPr>
        <w:spacing w:line="360" w:lineRule="auto"/>
        <w:rPr>
          <w:rFonts w:hint="eastAsia" w:ascii="宋体" w:hAnsi="宋体"/>
          <w:sz w:val="24"/>
        </w:rPr>
      </w:pPr>
      <w:r>
        <w:rPr>
          <w:rFonts w:hint="eastAsia" w:ascii="宋体" w:hAnsi="宋体"/>
          <w:sz w:val="24"/>
        </w:rPr>
        <w:t>3.3.4.3供方应提供备品、配件总清单和易损零件图。</w:t>
      </w:r>
    </w:p>
    <w:p>
      <w:pPr>
        <w:spacing w:line="360" w:lineRule="auto"/>
        <w:outlineLvl w:val="0"/>
        <w:rPr>
          <w:rFonts w:ascii="宋体" w:hAnsi="宋体"/>
          <w:b/>
          <w:sz w:val="24"/>
        </w:rPr>
      </w:pPr>
      <w:r>
        <w:rPr>
          <w:rFonts w:hint="eastAsia" w:ascii="宋体" w:hAnsi="宋体"/>
          <w:b/>
          <w:sz w:val="24"/>
        </w:rPr>
        <w:t>4. 验收与培训</w:t>
      </w:r>
    </w:p>
    <w:p>
      <w:pPr>
        <w:spacing w:line="360" w:lineRule="auto"/>
        <w:rPr>
          <w:rFonts w:hint="eastAsia"/>
          <w:sz w:val="24"/>
        </w:rPr>
      </w:pPr>
      <w:r>
        <w:rPr>
          <w:rFonts w:hint="eastAsia"/>
          <w:sz w:val="24"/>
        </w:rPr>
        <w:t>4.1在交货后一个月内订货方负责组织验收，验收按照技术规范要求进行。</w:t>
      </w:r>
    </w:p>
    <w:p>
      <w:pPr>
        <w:spacing w:line="360" w:lineRule="auto"/>
        <w:rPr>
          <w:rFonts w:hint="eastAsia"/>
          <w:sz w:val="24"/>
        </w:rPr>
      </w:pPr>
      <w:r>
        <w:rPr>
          <w:rFonts w:hint="eastAsia"/>
          <w:sz w:val="24"/>
        </w:rPr>
        <w:t>7.2供方负责对订货方的人员进行专业培训，培训内容包括操作使用、故障判断方法、注意事项、保养维护等。（交货后一个月内进行）</w:t>
      </w:r>
    </w:p>
    <w:p>
      <w:pPr>
        <w:spacing w:line="360" w:lineRule="auto"/>
        <w:outlineLvl w:val="0"/>
        <w:rPr>
          <w:rFonts w:hint="eastAsia" w:ascii="宋体" w:hAnsi="宋体"/>
          <w:b/>
          <w:sz w:val="24"/>
        </w:rPr>
      </w:pPr>
      <w:r>
        <w:rPr>
          <w:rFonts w:hint="eastAsia" w:ascii="宋体" w:hAnsi="宋体"/>
          <w:b/>
          <w:sz w:val="24"/>
        </w:rPr>
        <w:t>5. 售后服务</w:t>
      </w:r>
    </w:p>
    <w:p>
      <w:pPr>
        <w:spacing w:line="360" w:lineRule="auto"/>
        <w:rPr>
          <w:rFonts w:hint="eastAsia" w:ascii="宋体" w:hAnsi="宋体"/>
          <w:sz w:val="24"/>
        </w:rPr>
      </w:pPr>
      <w:r>
        <w:rPr>
          <w:rFonts w:hint="eastAsia" w:ascii="宋体" w:hAnsi="宋体"/>
          <w:sz w:val="24"/>
        </w:rPr>
        <w:t>5.1 自验货之日起，提供不少于3年质保期。</w:t>
      </w:r>
    </w:p>
    <w:p>
      <w:pPr>
        <w:spacing w:line="360" w:lineRule="auto"/>
        <w:rPr>
          <w:rFonts w:hint="eastAsia" w:ascii="宋体" w:hAnsi="宋体"/>
          <w:sz w:val="24"/>
        </w:rPr>
      </w:pPr>
      <w:r>
        <w:rPr>
          <w:rFonts w:hint="eastAsia" w:ascii="宋体" w:hAnsi="宋体"/>
          <w:sz w:val="24"/>
        </w:rPr>
        <w:t>5.2 提供终生维修和技术支持，免费提供使用培训服务。若需求方需要供方货对设备进行性能检验时，供货方应免费提供设备全面性能检验服务，并提供检验报告。</w:t>
      </w:r>
    </w:p>
    <w:p>
      <w:pPr>
        <w:spacing w:line="360" w:lineRule="auto"/>
        <w:rPr>
          <w:rFonts w:hint="eastAsia" w:ascii="宋体" w:hAnsi="宋体"/>
          <w:sz w:val="24"/>
        </w:rPr>
      </w:pPr>
      <w:r>
        <w:rPr>
          <w:rFonts w:hint="eastAsia" w:ascii="宋体" w:hAnsi="宋体"/>
          <w:sz w:val="24"/>
        </w:rPr>
        <w:t>5.3生产厂家(或代理商)负责产品的长期售后服务。一旦产品出现故障，无论是保修期内还是保修期外，要求生产厂家在48小时内予以响应并将故障排除。</w:t>
      </w:r>
    </w:p>
    <w:p>
      <w:pPr>
        <w:spacing w:line="360" w:lineRule="auto"/>
        <w:rPr>
          <w:rFonts w:hint="eastAsia" w:ascii="宋体" w:hAnsi="宋体"/>
          <w:sz w:val="24"/>
        </w:rPr>
      </w:pPr>
      <w:r>
        <w:rPr>
          <w:rFonts w:hint="eastAsia" w:ascii="宋体" w:hAnsi="宋体"/>
          <w:sz w:val="24"/>
        </w:rPr>
        <w:t>5.4供方应在投标书中作出设备质保期和保修期限的承诺。</w:t>
      </w:r>
    </w:p>
    <w:p>
      <w:pPr>
        <w:spacing w:line="400" w:lineRule="exact"/>
        <w:outlineLvl w:val="0"/>
        <w:rPr>
          <w:rFonts w:hint="eastAsia" w:ascii="宋体" w:hAnsi="宋体"/>
          <w:b/>
          <w:sz w:val="24"/>
        </w:rPr>
      </w:pPr>
      <w:r>
        <w:rPr>
          <w:rFonts w:hint="eastAsia" w:ascii="宋体" w:hAnsi="宋体"/>
          <w:b/>
          <w:sz w:val="24"/>
        </w:rPr>
        <w:t>6、供货范围</w:t>
      </w:r>
    </w:p>
    <w:p>
      <w:pPr>
        <w:spacing w:line="400" w:lineRule="exact"/>
        <w:outlineLvl w:val="0"/>
        <w:rPr>
          <w:rFonts w:hint="eastAsia" w:ascii="宋体" w:hAnsi="宋体"/>
          <w:b/>
          <w:sz w:val="24"/>
        </w:rPr>
      </w:pPr>
    </w:p>
    <w:p>
      <w:pPr>
        <w:spacing w:line="360" w:lineRule="auto"/>
        <w:ind w:firstLine="480" w:firstLineChars="200"/>
        <w:rPr>
          <w:rFonts w:hint="eastAsia" w:ascii="宋体" w:hAnsi="宋体"/>
          <w:sz w:val="24"/>
        </w:rPr>
      </w:pPr>
      <w:r>
        <w:rPr>
          <w:rFonts w:hint="eastAsia" w:ascii="宋体" w:hAnsi="宋体"/>
          <w:sz w:val="24"/>
        </w:rPr>
        <w:t>投标方应确保供货范围完整，对于属于合同设备运行所必需的部件，即使本供货范围未列出或数目不足，投标方仍须在执行合同时补足。</w:t>
      </w:r>
    </w:p>
    <w:p>
      <w:pPr>
        <w:spacing w:line="360" w:lineRule="auto"/>
        <w:ind w:firstLine="480" w:firstLineChars="200"/>
        <w:rPr>
          <w:rFonts w:hint="eastAsia" w:ascii="宋体" w:hAnsi="宋体"/>
          <w:sz w:val="24"/>
        </w:rPr>
      </w:pPr>
      <w:r>
        <w:rPr>
          <w:rFonts w:hint="eastAsia" w:ascii="宋体" w:hAnsi="宋体"/>
          <w:sz w:val="24"/>
        </w:rPr>
        <w:t>投标</w:t>
      </w:r>
      <w:r>
        <w:rPr>
          <w:rFonts w:ascii="宋体" w:hAnsi="宋体"/>
          <w:sz w:val="24"/>
        </w:rPr>
        <w:t>方应根据自身设备的具体情况，</w:t>
      </w:r>
      <w:r>
        <w:rPr>
          <w:rFonts w:hint="eastAsia" w:ascii="宋体" w:hAnsi="宋体"/>
          <w:sz w:val="24"/>
        </w:rPr>
        <w:t>提供</w:t>
      </w:r>
      <w:r>
        <w:rPr>
          <w:rFonts w:ascii="宋体" w:hAnsi="宋体"/>
          <w:sz w:val="24"/>
        </w:rPr>
        <w:t>详细的设备配置清单，包括安装材料、专用工具和备品备件</w:t>
      </w:r>
      <w:r>
        <w:rPr>
          <w:rFonts w:hint="eastAsia" w:ascii="宋体" w:hAnsi="宋体"/>
          <w:sz w:val="24"/>
        </w:rPr>
        <w:t>，清单中依次说明型号、数量、产地、生产厂家等内容。</w:t>
      </w:r>
    </w:p>
    <w:p>
      <w:pPr>
        <w:rPr>
          <w:rFonts w:hint="eastAsia" w:ascii="Arial" w:hAnsi="Arial"/>
          <w:sz w:val="24"/>
        </w:rPr>
      </w:pPr>
    </w:p>
    <w:tbl>
      <w:tblPr>
        <w:tblStyle w:val="14"/>
        <w:tblW w:w="8334" w:type="dxa"/>
        <w:tblInd w:w="0" w:type="dxa"/>
        <w:tblLayout w:type="fixed"/>
        <w:tblCellMar>
          <w:top w:w="0" w:type="dxa"/>
          <w:left w:w="0" w:type="dxa"/>
          <w:bottom w:w="0" w:type="dxa"/>
          <w:right w:w="0" w:type="dxa"/>
        </w:tblCellMar>
      </w:tblPr>
      <w:tblGrid>
        <w:gridCol w:w="1009"/>
        <w:gridCol w:w="2453"/>
        <w:gridCol w:w="2436"/>
        <w:gridCol w:w="2436"/>
      </w:tblGrid>
      <w:tr>
        <w:tblPrEx>
          <w:tblLayout w:type="fixed"/>
          <w:tblCellMar>
            <w:top w:w="0" w:type="dxa"/>
            <w:left w:w="0" w:type="dxa"/>
            <w:bottom w:w="0" w:type="dxa"/>
            <w:right w:w="0" w:type="dxa"/>
          </w:tblCellMar>
        </w:tblPrEx>
        <w:trPr>
          <w:trHeight w:val="1125" w:hRule="atLeast"/>
        </w:trPr>
        <w:tc>
          <w:tcPr>
            <w:tcW w:w="100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序号</w:t>
            </w:r>
          </w:p>
        </w:tc>
        <w:tc>
          <w:tcPr>
            <w:tcW w:w="2453"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物资名称</w:t>
            </w:r>
          </w:p>
        </w:tc>
        <w:tc>
          <w:tcPr>
            <w:tcW w:w="24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数量</w:t>
            </w:r>
          </w:p>
        </w:tc>
        <w:tc>
          <w:tcPr>
            <w:tcW w:w="24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计量单位</w:t>
            </w:r>
          </w:p>
        </w:tc>
      </w:tr>
      <w:tr>
        <w:tblPrEx>
          <w:tblLayout w:type="fixed"/>
          <w:tblCellMar>
            <w:top w:w="0" w:type="dxa"/>
            <w:left w:w="0" w:type="dxa"/>
            <w:bottom w:w="0" w:type="dxa"/>
            <w:right w:w="0" w:type="dxa"/>
          </w:tblCellMar>
        </w:tblPrEx>
        <w:trPr>
          <w:trHeight w:val="2057" w:hRule="atLeast"/>
        </w:trPr>
        <w:tc>
          <w:tcPr>
            <w:tcW w:w="100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1</w:t>
            </w:r>
          </w:p>
        </w:tc>
        <w:tc>
          <w:tcPr>
            <w:tcW w:w="245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快速接头</w:t>
            </w:r>
          </w:p>
        </w:tc>
        <w:tc>
          <w:tcPr>
            <w:tcW w:w="24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eastAsia" w:ascii="宋体" w:hAnsi="宋体" w:cs="宋体" w:eastAsiaTheme="minorEastAsia"/>
                <w:color w:val="000000"/>
                <w:kern w:val="0"/>
                <w:sz w:val="24"/>
                <w:lang w:val="en-US" w:eastAsia="zh-CN" w:bidi="ar"/>
              </w:rPr>
            </w:pPr>
            <w:r>
              <w:rPr>
                <w:rFonts w:hint="eastAsia" w:ascii="宋体" w:hAnsi="宋体" w:cs="宋体"/>
                <w:color w:val="000000"/>
                <w:kern w:val="0"/>
                <w:sz w:val="24"/>
                <w:lang w:val="en-US" w:eastAsia="zh-CN" w:bidi="ar"/>
              </w:rPr>
              <w:t>4</w:t>
            </w:r>
            <w:bookmarkStart w:id="0" w:name="_GoBack"/>
            <w:bookmarkEnd w:id="0"/>
          </w:p>
        </w:tc>
        <w:tc>
          <w:tcPr>
            <w:tcW w:w="24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jc w:val="center"/>
              <w:textAlignment w:val="center"/>
              <w:rPr>
                <w:rFonts w:hint="default" w:ascii="宋体" w:hAnsi="宋体" w:cs="宋体" w:eastAsiaTheme="minorEastAsia"/>
                <w:color w:val="000000"/>
                <w:kern w:val="0"/>
                <w:sz w:val="24"/>
                <w:lang w:val="en-US" w:eastAsia="zh-CN" w:bidi="ar"/>
              </w:rPr>
            </w:pPr>
            <w:r>
              <w:rPr>
                <w:rFonts w:hint="eastAsia" w:ascii="宋体" w:hAnsi="宋体" w:cs="宋体"/>
                <w:color w:val="000000"/>
                <w:kern w:val="0"/>
                <w:sz w:val="24"/>
                <w:lang w:val="en-US" w:eastAsia="zh-CN" w:bidi="ar"/>
              </w:rPr>
              <w:t>个</w:t>
            </w:r>
          </w:p>
        </w:tc>
      </w:tr>
    </w:tbl>
    <w:p>
      <w:pPr>
        <w:spacing w:line="360" w:lineRule="auto"/>
        <w:rPr>
          <w:rFonts w:hint="eastAsia" w:ascii="Arial" w:hAnsi="Arial"/>
          <w:color w:val="000000"/>
          <w:sz w:val="24"/>
        </w:rPr>
      </w:pPr>
      <w:r>
        <w:rPr>
          <w:rFonts w:hint="eastAsia" w:ascii="Arial" w:hAnsi="Arial"/>
          <w:color w:val="000000"/>
          <w:sz w:val="24"/>
        </w:rPr>
        <w:br w:type="page"/>
      </w:r>
      <w:r>
        <w:rPr>
          <w:rFonts w:hint="eastAsia" w:ascii="Arial" w:hAnsi="Arial"/>
          <w:color w:val="000000"/>
          <w:sz w:val="24"/>
        </w:rPr>
        <w:t>参考图片</w:t>
      </w:r>
    </w:p>
    <w:p>
      <w:pPr>
        <w:spacing w:line="360" w:lineRule="auto"/>
        <w:rPr>
          <w:rFonts w:hint="eastAsia" w:ascii="Arial" w:hAnsi="Arial"/>
          <w:color w:val="000000"/>
          <w:sz w:val="24"/>
        </w:rPr>
      </w:pP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00000009"/>
    <w:lvl w:ilvl="0" w:tentative="0">
      <w:start w:val="1"/>
      <w:numFmt w:val="decimal"/>
      <w:lvlText w:val="%1."/>
      <w:lvlJc w:val="left"/>
      <w:pPr>
        <w:tabs>
          <w:tab w:val="left" w:pos="435"/>
        </w:tabs>
        <w:ind w:left="435" w:hanging="435"/>
      </w:pPr>
      <w:rPr>
        <w:rFonts w:hint="default"/>
      </w:rPr>
    </w:lvl>
    <w:lvl w:ilvl="1" w:tentative="0">
      <w:start w:val="1"/>
      <w:numFmt w:val="decimal"/>
      <w:isLgl/>
      <w:lvlText w:val="%1.%2"/>
      <w:lvlJc w:val="left"/>
      <w:pPr>
        <w:tabs>
          <w:tab w:val="left" w:pos="480"/>
        </w:tabs>
        <w:ind w:left="480" w:hanging="480"/>
      </w:pPr>
      <w:rPr>
        <w:rFonts w:hint="default" w:ascii="宋体" w:hAnsi="宋体" w:eastAsia="宋体"/>
      </w:rPr>
    </w:lvl>
    <w:lvl w:ilvl="2" w:tentative="0">
      <w:start w:val="1"/>
      <w:numFmt w:val="decimal"/>
      <w:pStyle w:val="36"/>
      <w:isLgl/>
      <w:lvlText w:val="%1.%2.%3"/>
      <w:lvlJc w:val="left"/>
      <w:pPr>
        <w:tabs>
          <w:tab w:val="left" w:pos="720"/>
        </w:tabs>
        <w:ind w:left="720" w:hanging="720"/>
      </w:pPr>
      <w:rPr>
        <w:rFonts w:hint="default"/>
      </w:rPr>
    </w:lvl>
    <w:lvl w:ilvl="3" w:tentative="0">
      <w:start w:val="1"/>
      <w:numFmt w:val="decimal"/>
      <w:isLgl/>
      <w:lvlText w:val="%1.%2.%3.%4"/>
      <w:lvlJc w:val="left"/>
      <w:pPr>
        <w:tabs>
          <w:tab w:val="left" w:pos="1080"/>
        </w:tabs>
        <w:ind w:left="1080" w:hanging="1080"/>
      </w:pPr>
      <w:rPr>
        <w:rFonts w:hint="default"/>
      </w:rPr>
    </w:lvl>
    <w:lvl w:ilvl="4" w:tentative="0">
      <w:start w:val="1"/>
      <w:numFmt w:val="decimal"/>
      <w:isLgl/>
      <w:lvlText w:val="%1.%2.%3.%4.%5"/>
      <w:lvlJc w:val="left"/>
      <w:pPr>
        <w:tabs>
          <w:tab w:val="left" w:pos="1080"/>
        </w:tabs>
        <w:ind w:left="1080" w:hanging="1080"/>
      </w:pPr>
      <w:rPr>
        <w:rFonts w:hint="default"/>
      </w:rPr>
    </w:lvl>
    <w:lvl w:ilvl="5" w:tentative="0">
      <w:start w:val="1"/>
      <w:numFmt w:val="decimal"/>
      <w:isLgl/>
      <w:lvlText w:val="%1.%2.%3.%4.%5.%6"/>
      <w:lvlJc w:val="left"/>
      <w:pPr>
        <w:tabs>
          <w:tab w:val="left" w:pos="1440"/>
        </w:tabs>
        <w:ind w:left="1440" w:hanging="1440"/>
      </w:pPr>
      <w:rPr>
        <w:rFonts w:hint="default"/>
      </w:rPr>
    </w:lvl>
    <w:lvl w:ilvl="6" w:tentative="0">
      <w:start w:val="1"/>
      <w:numFmt w:val="decimal"/>
      <w:isLgl/>
      <w:lvlText w:val="%1.%2.%3.%4.%5.%6.%7"/>
      <w:lvlJc w:val="left"/>
      <w:pPr>
        <w:tabs>
          <w:tab w:val="left" w:pos="1800"/>
        </w:tabs>
        <w:ind w:left="1800" w:hanging="1800"/>
      </w:pPr>
      <w:rPr>
        <w:rFonts w:hint="default"/>
      </w:rPr>
    </w:lvl>
    <w:lvl w:ilvl="7" w:tentative="0">
      <w:start w:val="1"/>
      <w:numFmt w:val="decimal"/>
      <w:isLgl/>
      <w:lvlText w:val="%1.%2.%3.%4.%5.%6.%7.%8"/>
      <w:lvlJc w:val="left"/>
      <w:pPr>
        <w:tabs>
          <w:tab w:val="left" w:pos="1800"/>
        </w:tabs>
        <w:ind w:left="1800" w:hanging="1800"/>
      </w:pPr>
      <w:rPr>
        <w:rFonts w:hint="default"/>
      </w:rPr>
    </w:lvl>
    <w:lvl w:ilvl="8" w:tentative="0">
      <w:start w:val="1"/>
      <w:numFmt w:val="decimal"/>
      <w:isLgl/>
      <w:lvlText w:val="%1.%2.%3.%4.%5.%6.%7.%8.%9"/>
      <w:lvlJc w:val="left"/>
      <w:pPr>
        <w:tabs>
          <w:tab w:val="left" w:pos="2160"/>
        </w:tabs>
        <w:ind w:left="216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D8F"/>
    <w:rsid w:val="001904DD"/>
    <w:rsid w:val="001B202D"/>
    <w:rsid w:val="00315D88"/>
    <w:rsid w:val="005167C9"/>
    <w:rsid w:val="006443C3"/>
    <w:rsid w:val="006A44FF"/>
    <w:rsid w:val="009479AF"/>
    <w:rsid w:val="009F611C"/>
    <w:rsid w:val="00A71D8F"/>
    <w:rsid w:val="00B204E7"/>
    <w:rsid w:val="00C7366E"/>
    <w:rsid w:val="00CF39C2"/>
    <w:rsid w:val="00E17A3B"/>
    <w:rsid w:val="00E63D2C"/>
    <w:rsid w:val="00E7639E"/>
    <w:rsid w:val="00EE510B"/>
    <w:rsid w:val="00F76964"/>
    <w:rsid w:val="0F28769B"/>
    <w:rsid w:val="23024D20"/>
    <w:rsid w:val="48A618B5"/>
    <w:rsid w:val="56D72A0D"/>
    <w:rsid w:val="62622CBE"/>
    <w:rsid w:val="753638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6"/>
    <w:qFormat/>
    <w:uiPriority w:val="0"/>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7"/>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8"/>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19"/>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0"/>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1"/>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2"/>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3"/>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4"/>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5">
    <w:name w:val="Default Paragraph Font"/>
    <w:semiHidden/>
    <w:unhideWhenUsed/>
    <w:qFormat/>
    <w:uiPriority w:val="1"/>
  </w:style>
  <w:style w:type="table" w:default="1" w:styleId="14">
    <w:name w:val="Normal Table"/>
    <w:semiHidden/>
    <w:unhideWhenUsed/>
    <w:uiPriority w:val="99"/>
    <w:tblPr>
      <w:tblLayout w:type="fixed"/>
      <w:tblCellMar>
        <w:top w:w="0" w:type="dxa"/>
        <w:left w:w="108" w:type="dxa"/>
        <w:bottom w:w="0" w:type="dxa"/>
        <w:right w:w="108" w:type="dxa"/>
      </w:tblCellMar>
    </w:tblPr>
  </w:style>
  <w:style w:type="paragraph" w:styleId="11">
    <w:name w:val="Plain Text"/>
    <w:basedOn w:val="1"/>
    <w:link w:val="34"/>
    <w:qFormat/>
    <w:uiPriority w:val="0"/>
    <w:rPr>
      <w:rFonts w:ascii="宋体" w:hAnsi="Courier New" w:eastAsia="宋体" w:cs="Times New Roman"/>
      <w:szCs w:val="20"/>
    </w:rPr>
  </w:style>
  <w:style w:type="paragraph" w:styleId="12">
    <w:name w:val="Subtitle"/>
    <w:basedOn w:val="1"/>
    <w:next w:val="1"/>
    <w:link w:val="26"/>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3">
    <w:name w:val="Title"/>
    <w:basedOn w:val="1"/>
    <w:next w:val="1"/>
    <w:link w:val="25"/>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6">
    <w:name w:val="标题 1 字符"/>
    <w:basedOn w:val="15"/>
    <w:link w:val="2"/>
    <w:qFormat/>
    <w:uiPriority w:val="9"/>
    <w:rPr>
      <w:rFonts w:asciiTheme="majorHAnsi" w:hAnsiTheme="majorHAnsi" w:eastAsiaTheme="majorEastAsia" w:cstheme="majorBidi"/>
      <w:color w:val="104862" w:themeColor="accent1" w:themeShade="BF"/>
      <w:sz w:val="48"/>
      <w:szCs w:val="48"/>
    </w:rPr>
  </w:style>
  <w:style w:type="character" w:customStyle="1" w:styleId="17">
    <w:name w:val="标题 2 字符"/>
    <w:basedOn w:val="15"/>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18">
    <w:name w:val="标题 3 字符"/>
    <w:basedOn w:val="15"/>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19">
    <w:name w:val="标题 4 字符"/>
    <w:basedOn w:val="15"/>
    <w:link w:val="5"/>
    <w:semiHidden/>
    <w:qFormat/>
    <w:uiPriority w:val="9"/>
    <w:rPr>
      <w:rFonts w:cstheme="majorBidi"/>
      <w:color w:val="104862" w:themeColor="accent1" w:themeShade="BF"/>
      <w:sz w:val="28"/>
      <w:szCs w:val="28"/>
    </w:rPr>
  </w:style>
  <w:style w:type="character" w:customStyle="1" w:styleId="20">
    <w:name w:val="标题 5 字符"/>
    <w:basedOn w:val="15"/>
    <w:link w:val="6"/>
    <w:semiHidden/>
    <w:uiPriority w:val="9"/>
    <w:rPr>
      <w:rFonts w:cstheme="majorBidi"/>
      <w:color w:val="104862" w:themeColor="accent1" w:themeShade="BF"/>
      <w:sz w:val="24"/>
      <w:szCs w:val="24"/>
    </w:rPr>
  </w:style>
  <w:style w:type="character" w:customStyle="1" w:styleId="21">
    <w:name w:val="标题 6 字符"/>
    <w:basedOn w:val="15"/>
    <w:link w:val="7"/>
    <w:semiHidden/>
    <w:qFormat/>
    <w:uiPriority w:val="9"/>
    <w:rPr>
      <w:rFonts w:cstheme="majorBidi"/>
      <w:b/>
      <w:bCs/>
      <w:color w:val="104862" w:themeColor="accent1" w:themeShade="BF"/>
    </w:rPr>
  </w:style>
  <w:style w:type="character" w:customStyle="1" w:styleId="22">
    <w:name w:val="标题 7 字符"/>
    <w:basedOn w:val="15"/>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3">
    <w:name w:val="标题 8 字符"/>
    <w:basedOn w:val="15"/>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4">
    <w:name w:val="标题 9 字符"/>
    <w:basedOn w:val="15"/>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5">
    <w:name w:val="标题 字符"/>
    <w:basedOn w:val="15"/>
    <w:link w:val="13"/>
    <w:qFormat/>
    <w:uiPriority w:val="10"/>
    <w:rPr>
      <w:rFonts w:asciiTheme="majorHAnsi" w:hAnsiTheme="majorHAnsi" w:eastAsiaTheme="majorEastAsia" w:cstheme="majorBidi"/>
      <w:spacing w:val="-10"/>
      <w:kern w:val="28"/>
      <w:sz w:val="56"/>
      <w:szCs w:val="56"/>
    </w:rPr>
  </w:style>
  <w:style w:type="character" w:customStyle="1" w:styleId="26">
    <w:name w:val="副标题 字符"/>
    <w:basedOn w:val="15"/>
    <w:link w:val="12"/>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7">
    <w:name w:val="Quote"/>
    <w:basedOn w:val="1"/>
    <w:next w:val="1"/>
    <w:link w:val="28"/>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8">
    <w:name w:val="引用 字符"/>
    <w:basedOn w:val="15"/>
    <w:link w:val="27"/>
    <w:qFormat/>
    <w:uiPriority w:val="29"/>
    <w:rPr>
      <w:i/>
      <w:iCs/>
      <w:color w:val="404040" w:themeColor="text1" w:themeTint="BF"/>
      <w14:textFill>
        <w14:solidFill>
          <w14:schemeClr w14:val="tx1">
            <w14:lumMod w14:val="75000"/>
            <w14:lumOff w14:val="25000"/>
          </w14:schemeClr>
        </w14:solidFill>
      </w14:textFill>
    </w:rPr>
  </w:style>
  <w:style w:type="paragraph" w:styleId="29">
    <w:name w:val="List Paragraph"/>
    <w:basedOn w:val="1"/>
    <w:qFormat/>
    <w:uiPriority w:val="34"/>
    <w:pPr>
      <w:ind w:left="720"/>
      <w:contextualSpacing/>
    </w:pPr>
  </w:style>
  <w:style w:type="character" w:customStyle="1" w:styleId="30">
    <w:name w:val="Intense Emphasis"/>
    <w:basedOn w:val="15"/>
    <w:qFormat/>
    <w:uiPriority w:val="21"/>
    <w:rPr>
      <w:i/>
      <w:iCs/>
      <w:color w:val="104862" w:themeColor="accent1" w:themeShade="BF"/>
    </w:rPr>
  </w:style>
  <w:style w:type="paragraph" w:styleId="31">
    <w:name w:val="Intense Quote"/>
    <w:basedOn w:val="1"/>
    <w:next w:val="1"/>
    <w:link w:val="32"/>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2">
    <w:name w:val="明显引用 字符"/>
    <w:basedOn w:val="15"/>
    <w:link w:val="31"/>
    <w:qFormat/>
    <w:uiPriority w:val="30"/>
    <w:rPr>
      <w:i/>
      <w:iCs/>
      <w:color w:val="104862" w:themeColor="accent1" w:themeShade="BF"/>
    </w:rPr>
  </w:style>
  <w:style w:type="character" w:customStyle="1" w:styleId="33">
    <w:name w:val="Intense Reference"/>
    <w:basedOn w:val="15"/>
    <w:qFormat/>
    <w:uiPriority w:val="32"/>
    <w:rPr>
      <w:b/>
      <w:bCs/>
      <w:smallCaps/>
      <w:color w:val="104862" w:themeColor="accent1" w:themeShade="BF"/>
      <w:spacing w:val="5"/>
    </w:rPr>
  </w:style>
  <w:style w:type="character" w:customStyle="1" w:styleId="34">
    <w:name w:val="纯文本 字符"/>
    <w:basedOn w:val="15"/>
    <w:link w:val="11"/>
    <w:qFormat/>
    <w:uiPriority w:val="0"/>
    <w:rPr>
      <w:rFonts w:ascii="宋体" w:hAnsi="Courier New" w:eastAsia="宋体" w:cs="Times New Roman"/>
      <w:szCs w:val="20"/>
    </w:rPr>
  </w:style>
  <w:style w:type="paragraph" w:customStyle="1" w:styleId="35">
    <w:name w:val="p0"/>
    <w:basedOn w:val="1"/>
    <w:qFormat/>
    <w:uiPriority w:val="0"/>
    <w:pPr>
      <w:widowControl/>
    </w:pPr>
    <w:rPr>
      <w:rFonts w:ascii="Times New Roman" w:hAnsi="Times New Roman" w:eastAsia="宋体" w:cs="Times New Roman"/>
      <w:kern w:val="0"/>
      <w:szCs w:val="20"/>
    </w:rPr>
  </w:style>
  <w:style w:type="paragraph" w:customStyle="1" w:styleId="36">
    <w:name w:val="样式1"/>
    <w:basedOn w:val="1"/>
    <w:uiPriority w:val="0"/>
    <w:pPr>
      <w:numPr>
        <w:ilvl w:val="2"/>
        <w:numId w:val="1"/>
      </w:numPr>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687</Words>
  <Characters>729</Characters>
  <Lines>45</Lines>
  <Paragraphs>45</Paragraphs>
  <TotalTime>4</TotalTime>
  <ScaleCrop>false</ScaleCrop>
  <LinksUpToDate>false</LinksUpToDate>
  <CharactersWithSpaces>1371</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2026-03-16T07:21:00Z</dcterms:created>
  <dc:creator>超华 刘</dc:creator>
  <cp:lastModifiedBy>liufazheng.qz</cp:lastModifiedBy>
  <dcterms:modified xsi:type="dcterms:W3CDTF">2026-03-27T01:30:29Z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1249D291E416448A839E1040B76C58B5</vt:lpwstr>
  </property>
</Properties>
</file>