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spacing w:line="20" w:lineRule="exact"/>
        <w:rPr>
          <w:rFonts w:eastAsia="黑体"/>
          <w:b/>
          <w:color w:val="auto"/>
          <w:szCs w:val="28"/>
        </w:rPr>
      </w:pPr>
      <w:r>
        <w:rPr>
          <w:rFonts w:eastAsia="黑体"/>
          <w:b/>
          <w:color w:val="auto"/>
          <w:szCs w:val="28"/>
        </w:rPr>
        <w:drawing>
          <wp:anchor distT="0" distB="0" distL="114300" distR="114300" simplePos="0" relativeHeight="251659264" behindDoc="1" locked="0" layoutInCell="1" allowOverlap="1">
            <wp:simplePos x="0" y="0"/>
            <wp:positionH relativeFrom="column">
              <wp:posOffset>-1738630</wp:posOffset>
            </wp:positionH>
            <wp:positionV relativeFrom="paragraph">
              <wp:posOffset>-1605280</wp:posOffset>
            </wp:positionV>
            <wp:extent cx="8912225" cy="2732405"/>
            <wp:effectExtent l="19050" t="0" r="3175" b="0"/>
            <wp:wrapTight wrapText="bothSides">
              <wp:wrapPolygon>
                <wp:start x="-46" y="0"/>
                <wp:lineTo x="-46" y="21384"/>
                <wp:lineTo x="21608" y="21384"/>
                <wp:lineTo x="21608" y="0"/>
                <wp:lineTo x="-46" y="0"/>
              </wp:wrapPolygon>
            </wp:wrapTight>
            <wp:docPr id="3" name="图片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模板-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8912225" cy="2732405"/>
                    </a:xfrm>
                    <a:prstGeom prst="rect">
                      <a:avLst/>
                    </a:prstGeom>
                    <a:noFill/>
                    <a:ln>
                      <a:noFill/>
                    </a:ln>
                  </pic:spPr>
                </pic:pic>
              </a:graphicData>
            </a:graphic>
          </wp:anchor>
        </w:drawing>
      </w:r>
      <w:bookmarkStart w:id="0" w:name="_Toc239218200"/>
      <w:bookmarkStart w:id="1" w:name="_Toc208823419"/>
      <w:bookmarkStart w:id="2" w:name="_Toc208823333"/>
      <w:bookmarkStart w:id="3" w:name="_Toc209342124"/>
      <w:bookmarkStart w:id="4" w:name="_Toc224794098"/>
      <w:bookmarkStart w:id="5" w:name="_Toc208823249"/>
    </w:p>
    <w:p>
      <w:pPr>
        <w:wordWrap/>
        <w:spacing w:line="360" w:lineRule="auto"/>
        <w:jc w:val="center"/>
        <w:rPr>
          <w:rFonts w:hint="default" w:ascii="Times New Roman" w:hAnsi="Times New Roman" w:eastAsia="黑体" w:cs="Times New Roman"/>
          <w:b/>
          <w:color w:val="auto"/>
          <w:sz w:val="52"/>
          <w:szCs w:val="52"/>
          <w:lang w:val="en-US"/>
        </w:rPr>
      </w:pPr>
    </w:p>
    <w:p>
      <w:pPr>
        <w:wordWrap/>
        <w:spacing w:line="360" w:lineRule="auto"/>
        <w:jc w:val="center"/>
        <w:rPr>
          <w:rFonts w:hint="default" w:ascii="Times New Roman" w:hAnsi="Times New Roman" w:eastAsia="黑体" w:cs="Times New Roman"/>
          <w:b/>
          <w:color w:val="auto"/>
          <w:sz w:val="52"/>
          <w:szCs w:val="52"/>
          <w:lang w:val="en-US"/>
        </w:rPr>
      </w:pPr>
      <w:r>
        <w:rPr>
          <w:rFonts w:hint="eastAsia" w:eastAsia="黑体" w:cs="Times New Roman"/>
          <w:b/>
          <w:color w:val="auto"/>
          <w:sz w:val="52"/>
          <w:szCs w:val="52"/>
          <w:lang w:val="en-US" w:eastAsia="zh-CN"/>
        </w:rPr>
        <w:t>南宁局2025年透明磁吸有机玻璃板采购项目</w:t>
      </w:r>
      <w:r>
        <w:rPr>
          <w:rFonts w:hint="default" w:ascii="Times New Roman" w:hAnsi="Times New Roman" w:eastAsia="黑体" w:cs="Times New Roman"/>
          <w:b/>
          <w:color w:val="auto"/>
          <w:sz w:val="52"/>
          <w:szCs w:val="52"/>
          <w:lang w:val="en-US"/>
        </w:rPr>
        <w:t>技术规范书</w:t>
      </w:r>
    </w:p>
    <w:p>
      <w:pPr>
        <w:widowControl w:val="0"/>
        <w:wordWrap/>
        <w:adjustRightInd w:val="0"/>
        <w:snapToGrid w:val="0"/>
        <w:spacing w:before="664" w:beforeLines="200" w:line="480" w:lineRule="auto"/>
        <w:ind w:firstLine="2235" w:firstLineChars="795"/>
        <w:jc w:val="both"/>
        <w:rPr>
          <w:rFonts w:eastAsia="黑体"/>
          <w:b/>
          <w:color w:val="auto"/>
          <w:szCs w:val="28"/>
        </w:rPr>
      </w:pPr>
    </w:p>
    <w:p>
      <w:pPr>
        <w:widowControl w:val="0"/>
        <w:wordWrap/>
        <w:adjustRightInd w:val="0"/>
        <w:snapToGrid w:val="0"/>
        <w:spacing w:before="664" w:beforeLines="200" w:line="480" w:lineRule="auto"/>
        <w:ind w:firstLine="2235" w:firstLineChars="795"/>
        <w:jc w:val="both"/>
        <w:rPr>
          <w:rFonts w:eastAsia="黑体"/>
          <w:b/>
          <w:color w:val="auto"/>
          <w:szCs w:val="28"/>
        </w:rPr>
      </w:pPr>
    </w:p>
    <w:p>
      <w:pPr>
        <w:widowControl w:val="0"/>
        <w:wordWrap/>
        <w:adjustRightInd w:val="0"/>
        <w:snapToGrid w:val="0"/>
        <w:spacing w:before="664" w:beforeLines="200" w:line="480" w:lineRule="auto"/>
        <w:ind w:firstLine="2235" w:firstLineChars="795"/>
        <w:jc w:val="both"/>
        <w:rPr>
          <w:rFonts w:eastAsia="黑体"/>
          <w:b/>
          <w:color w:val="auto"/>
          <w:szCs w:val="28"/>
        </w:rPr>
      </w:pPr>
    </w:p>
    <w:p>
      <w:pPr>
        <w:widowControl w:val="0"/>
        <w:wordWrap/>
        <w:adjustRightInd w:val="0"/>
        <w:snapToGrid w:val="0"/>
        <w:spacing w:before="664" w:beforeLines="200" w:line="480" w:lineRule="auto"/>
        <w:ind w:firstLine="2235" w:firstLineChars="795"/>
        <w:jc w:val="both"/>
        <w:rPr>
          <w:rFonts w:eastAsia="黑体"/>
          <w:b/>
          <w:color w:val="auto"/>
          <w:szCs w:val="28"/>
        </w:rPr>
      </w:pPr>
    </w:p>
    <w:p>
      <w:pPr>
        <w:widowControl w:val="0"/>
        <w:wordWrap/>
        <w:adjustRightInd w:val="0"/>
        <w:snapToGrid w:val="0"/>
        <w:spacing w:before="664" w:beforeLines="200" w:line="480" w:lineRule="auto"/>
        <w:ind w:firstLine="2235" w:firstLineChars="795"/>
        <w:jc w:val="both"/>
        <w:rPr>
          <w:rFonts w:eastAsia="黑体"/>
          <w:b/>
          <w:color w:val="auto"/>
          <w:szCs w:val="28"/>
        </w:rPr>
      </w:pPr>
    </w:p>
    <w:p>
      <w:pPr>
        <w:widowControl w:val="0"/>
        <w:wordWrap/>
        <w:adjustRightInd w:val="0"/>
        <w:snapToGrid w:val="0"/>
        <w:spacing w:before="664" w:beforeLines="200" w:line="480" w:lineRule="auto"/>
        <w:ind w:firstLine="2235" w:firstLineChars="795"/>
        <w:jc w:val="both"/>
        <w:rPr>
          <w:rFonts w:eastAsia="黑体"/>
          <w:b/>
          <w:color w:val="auto"/>
          <w:szCs w:val="28"/>
        </w:rPr>
      </w:pPr>
    </w:p>
    <w:bookmarkEnd w:id="0"/>
    <w:bookmarkEnd w:id="1"/>
    <w:bookmarkEnd w:id="2"/>
    <w:bookmarkEnd w:id="3"/>
    <w:bookmarkEnd w:id="4"/>
    <w:bookmarkEnd w:id="5"/>
    <w:p>
      <w:pPr>
        <w:pageBreakBefore w:val="0"/>
        <w:kinsoku/>
        <w:wordWrap/>
        <w:overflowPunct/>
        <w:bidi w:val="0"/>
        <w:adjustRightInd/>
        <w:snapToGrid/>
        <w:spacing w:before="624" w:beforeLines="200"/>
        <w:jc w:val="center"/>
        <w:rPr>
          <w:rFonts w:hint="default" w:ascii="Times New Roman" w:hAnsi="Times New Roman" w:eastAsia="黑体" w:cs="Times New Roman"/>
          <w:color w:val="0C0C0C"/>
          <w:spacing w:val="20"/>
          <w:w w:val="135"/>
          <w:sz w:val="30"/>
        </w:rPr>
      </w:pPr>
      <w:r>
        <w:rPr>
          <w:rFonts w:hint="default" w:ascii="Times New Roman" w:hAnsi="Times New Roman" w:eastAsia="黑体" w:cs="Times New Roman"/>
          <w:b/>
          <w:bCs/>
          <w:color w:val="0C0C0C"/>
          <w:spacing w:val="20"/>
          <w:w w:val="135"/>
          <w:sz w:val="30"/>
        </w:rPr>
        <w:t>中国南方电网有限责任公司</w:t>
      </w:r>
    </w:p>
    <w:p>
      <w:pPr>
        <w:pageBreakBefore w:val="0"/>
        <w:kinsoku/>
        <w:wordWrap/>
        <w:overflowPunct/>
        <w:bidi w:val="0"/>
        <w:adjustRightInd/>
        <w:snapToGrid/>
        <w:jc w:val="center"/>
        <w:rPr>
          <w:rFonts w:hint="default" w:ascii="Times New Roman" w:hAnsi="Times New Roman" w:eastAsia="黑体" w:cs="Times New Roman"/>
          <w:b/>
          <w:bCs/>
          <w:color w:val="0C0C0C"/>
          <w:spacing w:val="20"/>
          <w:w w:val="135"/>
          <w:sz w:val="30"/>
        </w:rPr>
      </w:pPr>
      <w:r>
        <w:rPr>
          <w:rFonts w:hint="default" w:ascii="Times New Roman" w:hAnsi="Times New Roman" w:eastAsia="黑体" w:cs="Times New Roman"/>
          <w:b/>
          <w:bCs/>
          <w:color w:val="0C0C0C"/>
          <w:spacing w:val="20"/>
          <w:w w:val="135"/>
          <w:sz w:val="30"/>
        </w:rPr>
        <w:t>20</w:t>
      </w:r>
      <w:r>
        <w:rPr>
          <w:rFonts w:hint="default" w:ascii="Times New Roman" w:hAnsi="Times New Roman" w:eastAsia="黑体" w:cs="Times New Roman"/>
          <w:b/>
          <w:bCs/>
          <w:color w:val="0C0C0C"/>
          <w:spacing w:val="20"/>
          <w:w w:val="135"/>
          <w:sz w:val="30"/>
          <w:lang w:val="en-US" w:eastAsia="zh-CN"/>
        </w:rPr>
        <w:t>2</w:t>
      </w:r>
      <w:r>
        <w:rPr>
          <w:rFonts w:hint="eastAsia" w:eastAsia="黑体" w:cs="Times New Roman"/>
          <w:b/>
          <w:bCs/>
          <w:color w:val="0C0C0C"/>
          <w:spacing w:val="20"/>
          <w:w w:val="135"/>
          <w:sz w:val="30"/>
          <w:lang w:val="en-US" w:eastAsia="zh-CN"/>
        </w:rPr>
        <w:t>5</w:t>
      </w:r>
      <w:r>
        <w:rPr>
          <w:rFonts w:hint="default" w:ascii="Times New Roman" w:hAnsi="Times New Roman" w:eastAsia="黑体" w:cs="Times New Roman"/>
          <w:b/>
          <w:bCs/>
          <w:color w:val="0C0C0C"/>
          <w:spacing w:val="20"/>
          <w:w w:val="135"/>
          <w:sz w:val="30"/>
        </w:rPr>
        <w:t>年</w:t>
      </w:r>
      <w:r>
        <w:rPr>
          <w:rFonts w:hint="eastAsia" w:eastAsia="黑体" w:cs="Times New Roman"/>
          <w:b/>
          <w:bCs/>
          <w:color w:val="0C0C0C"/>
          <w:spacing w:val="20"/>
          <w:w w:val="135"/>
          <w:sz w:val="30"/>
          <w:lang w:val="en-US" w:eastAsia="zh-CN"/>
        </w:rPr>
        <w:t>05</w:t>
      </w:r>
      <w:r>
        <w:rPr>
          <w:rFonts w:hint="default" w:ascii="Times New Roman" w:hAnsi="Times New Roman" w:eastAsia="黑体" w:cs="Times New Roman"/>
          <w:b/>
          <w:bCs/>
          <w:color w:val="0C0C0C"/>
          <w:spacing w:val="20"/>
          <w:w w:val="135"/>
          <w:sz w:val="30"/>
        </w:rPr>
        <w:t>月</w:t>
      </w:r>
    </w:p>
    <w:p>
      <w:pPr>
        <w:wordWrap/>
        <w:spacing w:line="360" w:lineRule="auto"/>
        <w:jc w:val="both"/>
        <w:rPr>
          <w:rFonts w:eastAsia="黑体"/>
          <w:b/>
          <w:color w:val="auto"/>
          <w:sz w:val="30"/>
        </w:rPr>
        <w:sectPr>
          <w:footerReference r:id="rId7" w:type="first"/>
          <w:headerReference r:id="rId3" w:type="default"/>
          <w:footerReference r:id="rId5" w:type="default"/>
          <w:headerReference r:id="rId4" w:type="even"/>
          <w:footerReference r:id="rId6" w:type="even"/>
          <w:pgSz w:w="11907" w:h="16839"/>
          <w:pgMar w:top="1758" w:right="1797" w:bottom="1440" w:left="1797" w:header="851" w:footer="1134" w:gutter="0"/>
          <w:cols w:space="720" w:num="1"/>
          <w:docGrid w:linePitch="381" w:charSpace="0"/>
        </w:sectPr>
      </w:pPr>
    </w:p>
    <w:p>
      <w:pPr>
        <w:spacing w:before="312" w:beforeLines="100" w:line="560" w:lineRule="exact"/>
        <w:jc w:val="center"/>
        <w:rPr>
          <w:rFonts w:ascii="Arial" w:hAnsi="Arial"/>
          <w:bCs/>
          <w:sz w:val="44"/>
          <w:szCs w:val="44"/>
        </w:rPr>
      </w:pPr>
      <w:r>
        <w:rPr>
          <w:rFonts w:hint="eastAsia" w:ascii="方正小标宋_GBK" w:hAnsi="方正小标宋_GBK" w:eastAsia="方正小标宋_GBK" w:cs="方正小标宋_GBK"/>
          <w:bCs/>
          <w:sz w:val="44"/>
          <w:szCs w:val="44"/>
        </w:rPr>
        <w:t>知识产权声明</w:t>
      </w:r>
    </w:p>
    <w:p>
      <w:pPr>
        <w:spacing w:line="560" w:lineRule="exact"/>
        <w:ind w:left="851"/>
        <w:jc w:val="center"/>
        <w:rPr>
          <w:rFonts w:ascii="Arial" w:hAnsi="Arial"/>
          <w:b/>
          <w:sz w:val="32"/>
          <w:szCs w:val="32"/>
        </w:rPr>
      </w:pPr>
    </w:p>
    <w:p>
      <w:pPr>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南方电网公司拥有本作品的知识产权，未经南方电网公司书面许可，任何单位和个人不得擅自</w:t>
      </w:r>
      <w:r>
        <w:rPr>
          <w:rFonts w:hint="eastAsia" w:ascii="仿宋_GB2312" w:hAnsi="仿宋_GB2312" w:eastAsia="仿宋_GB2312" w:cs="仿宋_GB2312"/>
          <w:color w:val="333333"/>
          <w:sz w:val="32"/>
          <w:szCs w:val="32"/>
        </w:rPr>
        <w:t>使用（包括但不限于复制、发行、转载、通过信息网络传播等）</w:t>
      </w:r>
      <w:r>
        <w:rPr>
          <w:rFonts w:hint="eastAsia" w:ascii="仿宋_GB2312" w:hAnsi="仿宋_GB2312" w:eastAsia="仿宋_GB2312" w:cs="仿宋_GB2312"/>
          <w:sz w:val="32"/>
          <w:szCs w:val="32"/>
        </w:rPr>
        <w:t>，否则，南方电网公司将依法追究法律责任。</w:t>
      </w:r>
    </w:p>
    <w:p>
      <w:pPr>
        <w:spacing w:line="560" w:lineRule="exact"/>
        <w:ind w:left="850"/>
        <w:rPr>
          <w:rFonts w:ascii="Arial" w:hAnsi="Arial"/>
          <w:sz w:val="28"/>
          <w:szCs w:val="28"/>
        </w:rPr>
      </w:pPr>
    </w:p>
    <w:p>
      <w:pPr>
        <w:spacing w:line="560" w:lineRule="exact"/>
        <w:jc w:val="both"/>
        <w:rPr>
          <w:rFonts w:ascii="Trebuchet MS" w:hAnsi="Trebuchet MS" w:cs="Trebuchet MS"/>
          <w:sz w:val="44"/>
          <w:szCs w:val="44"/>
        </w:rPr>
      </w:pPr>
    </w:p>
    <w:p>
      <w:pPr>
        <w:spacing w:line="560" w:lineRule="exact"/>
        <w:jc w:val="center"/>
        <w:rPr>
          <w:rFonts w:ascii="Trebuchet MS" w:hAnsi="Trebuchet MS" w:cs="Trebuchet MS"/>
          <w:sz w:val="44"/>
          <w:szCs w:val="44"/>
        </w:rPr>
      </w:pPr>
      <w:r>
        <w:rPr>
          <w:rFonts w:ascii="Trebuchet MS" w:hAnsi="Trebuchet MS" w:cs="Trebuchet MS"/>
          <w:sz w:val="44"/>
          <w:szCs w:val="44"/>
        </w:rPr>
        <w:t>Intellectual Property Rights Statement</w:t>
      </w:r>
    </w:p>
    <w:p>
      <w:pPr>
        <w:spacing w:line="560" w:lineRule="exact"/>
        <w:ind w:left="851" w:firstLine="640"/>
        <w:rPr>
          <w:rFonts w:ascii="Arial" w:hAnsi="Arial"/>
          <w:sz w:val="32"/>
          <w:szCs w:val="32"/>
        </w:rPr>
      </w:pPr>
    </w:p>
    <w:p>
      <w:pPr>
        <w:spacing w:line="560" w:lineRule="exact"/>
        <w:jc w:val="left"/>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pStyle w:val="33"/>
        <w:widowControl w:val="0"/>
        <w:wordWrap/>
        <w:spacing w:after="0" w:line="360" w:lineRule="auto"/>
        <w:jc w:val="both"/>
        <w:rPr>
          <w:rFonts w:ascii="Times New Roman" w:hAnsi="Times New Roman" w:eastAsiaTheme="majorEastAsia"/>
          <w:color w:val="auto"/>
          <w:kern w:val="2"/>
          <w:sz w:val="28"/>
          <w:szCs w:val="28"/>
          <w:lang w:val="zh-CN"/>
        </w:rPr>
      </w:pPr>
    </w:p>
    <w:p>
      <w:pPr>
        <w:pStyle w:val="33"/>
        <w:widowControl w:val="0"/>
        <w:wordWrap/>
        <w:spacing w:after="0" w:line="360" w:lineRule="auto"/>
        <w:jc w:val="both"/>
        <w:rPr>
          <w:rFonts w:ascii="Times New Roman" w:hAnsi="Times New Roman" w:eastAsiaTheme="majorEastAsia"/>
          <w:color w:val="auto"/>
          <w:kern w:val="2"/>
          <w:sz w:val="28"/>
          <w:szCs w:val="28"/>
          <w:lang w:val="zh-CN"/>
        </w:rPr>
      </w:pPr>
    </w:p>
    <w:p>
      <w:pPr>
        <w:pStyle w:val="33"/>
        <w:widowControl w:val="0"/>
        <w:wordWrap/>
        <w:spacing w:after="0" w:line="360" w:lineRule="auto"/>
        <w:jc w:val="both"/>
        <w:rPr>
          <w:rFonts w:ascii="Times New Roman" w:hAnsi="Times New Roman" w:eastAsiaTheme="majorEastAsia"/>
          <w:color w:val="auto"/>
          <w:kern w:val="2"/>
          <w:sz w:val="28"/>
          <w:szCs w:val="28"/>
          <w:lang w:val="zh-CN"/>
        </w:rPr>
      </w:pPr>
    </w:p>
    <w:p>
      <w:pPr>
        <w:pStyle w:val="33"/>
        <w:widowControl w:val="0"/>
        <w:wordWrap/>
        <w:spacing w:after="0" w:line="360" w:lineRule="auto"/>
        <w:jc w:val="both"/>
        <w:rPr>
          <w:rFonts w:ascii="Times New Roman" w:hAnsi="Times New Roman" w:eastAsiaTheme="majorEastAsia"/>
          <w:color w:val="auto"/>
          <w:kern w:val="2"/>
          <w:sz w:val="28"/>
          <w:szCs w:val="28"/>
          <w:lang w:val="zh-CN"/>
        </w:rPr>
      </w:pPr>
    </w:p>
    <w:p>
      <w:pPr>
        <w:pStyle w:val="33"/>
        <w:widowControl w:val="0"/>
        <w:wordWrap/>
        <w:spacing w:after="0" w:line="360" w:lineRule="auto"/>
        <w:jc w:val="both"/>
        <w:rPr>
          <w:rFonts w:ascii="Times New Roman" w:hAnsi="Times New Roman" w:eastAsiaTheme="majorEastAsia"/>
          <w:color w:val="auto"/>
          <w:kern w:val="2"/>
          <w:sz w:val="28"/>
          <w:szCs w:val="28"/>
          <w:lang w:val="zh-CN"/>
        </w:rPr>
      </w:pPr>
    </w:p>
    <w:p>
      <w:pPr>
        <w:pStyle w:val="33"/>
        <w:widowControl w:val="0"/>
        <w:wordWrap/>
        <w:spacing w:after="0" w:line="360" w:lineRule="auto"/>
        <w:jc w:val="both"/>
        <w:rPr>
          <w:rFonts w:ascii="Times New Roman" w:hAnsi="Times New Roman" w:eastAsiaTheme="majorEastAsia"/>
          <w:color w:val="auto"/>
          <w:kern w:val="2"/>
          <w:sz w:val="28"/>
          <w:szCs w:val="28"/>
          <w:lang w:val="zh-CN"/>
        </w:rPr>
      </w:pPr>
    </w:p>
    <w:p>
      <w:pPr>
        <w:pStyle w:val="33"/>
        <w:widowControl w:val="0"/>
        <w:wordWrap/>
        <w:spacing w:after="0" w:line="360" w:lineRule="auto"/>
        <w:jc w:val="center"/>
        <w:rPr>
          <w:rFonts w:ascii="Times New Roman" w:hAnsi="Times New Roman" w:eastAsiaTheme="majorEastAsia"/>
          <w:color w:val="auto"/>
          <w:kern w:val="2"/>
          <w:sz w:val="36"/>
          <w:szCs w:val="36"/>
          <w:lang w:val="zh-CN"/>
        </w:rPr>
      </w:pPr>
    </w:p>
    <w:p>
      <w:pPr>
        <w:pStyle w:val="33"/>
        <w:widowControl w:val="0"/>
        <w:wordWrap/>
        <w:spacing w:after="0" w:line="360" w:lineRule="auto"/>
        <w:jc w:val="center"/>
        <w:rPr>
          <w:rFonts w:hint="eastAsia" w:ascii="宋体" w:hAnsi="宋体" w:eastAsia="宋体" w:cs="宋体"/>
          <w:color w:val="auto"/>
          <w:kern w:val="2"/>
          <w:sz w:val="20"/>
          <w:szCs w:val="20"/>
          <w:lang w:val="zh-CN"/>
        </w:rPr>
      </w:pPr>
    </w:p>
    <w:p>
      <w:pPr>
        <w:pStyle w:val="17"/>
        <w:tabs>
          <w:tab w:val="right" w:leader="dot" w:pos="9214"/>
        </w:tabs>
        <w:wordWrap/>
        <w:snapToGrid/>
        <w:spacing w:line="360" w:lineRule="auto"/>
        <w:ind w:firstLine="0" w:firstLineChars="0"/>
        <w:jc w:val="center"/>
        <w:rPr>
          <w:rFonts w:hint="eastAsia" w:ascii="宋体" w:hAnsi="宋体" w:eastAsia="宋体" w:cs="宋体"/>
          <w:color w:val="auto"/>
          <w:kern w:val="2"/>
          <w:sz w:val="36"/>
          <w:szCs w:val="36"/>
          <w:lang w:val="zh-CN"/>
        </w:rPr>
      </w:pPr>
      <w:r>
        <w:rPr>
          <w:rFonts w:hint="eastAsia" w:ascii="宋体" w:hAnsi="宋体" w:eastAsia="宋体" w:cs="宋体"/>
          <w:color w:val="auto"/>
          <w:kern w:val="2"/>
          <w:sz w:val="36"/>
          <w:szCs w:val="36"/>
          <w:lang w:val="zh-CN"/>
        </w:rPr>
        <w:t>目  录</w:t>
      </w:r>
    </w:p>
    <w:p>
      <w:pPr>
        <w:pStyle w:val="17"/>
        <w:tabs>
          <w:tab w:val="right" w:leader="dot" w:pos="9214"/>
        </w:tabs>
        <w:wordWrap/>
        <w:snapToGrid/>
        <w:spacing w:line="360" w:lineRule="auto"/>
        <w:ind w:firstLine="0" w:firstLineChars="0"/>
        <w:rPr>
          <w:rFonts w:hint="eastAsia" w:ascii="宋体" w:hAnsi="宋体" w:eastAsia="宋体" w:cs="宋体"/>
          <w:color w:val="auto"/>
          <w:kern w:val="2"/>
          <w:sz w:val="21"/>
          <w:szCs w:val="21"/>
          <w:lang w:val="zh-CN"/>
        </w:rPr>
      </w:pPr>
      <w:r>
        <w:rPr>
          <w:rFonts w:hint="eastAsia" w:ascii="宋体" w:hAnsi="宋体" w:eastAsia="宋体" w:cs="宋体"/>
          <w:b/>
          <w:bCs/>
          <w:color w:val="auto"/>
          <w:kern w:val="2"/>
          <w:sz w:val="21"/>
          <w:szCs w:val="21"/>
          <w:lang w:val="zh-CN"/>
        </w:rPr>
        <w:t xml:space="preserve">1 </w:t>
      </w:r>
      <w:r>
        <w:rPr>
          <w:rFonts w:hint="eastAsia" w:ascii="宋体" w:hAnsi="宋体" w:cs="宋体"/>
          <w:b/>
          <w:bCs/>
          <w:color w:val="auto"/>
          <w:kern w:val="2"/>
          <w:sz w:val="21"/>
          <w:szCs w:val="21"/>
          <w:lang w:val="en-US" w:eastAsia="zh-CN"/>
        </w:rPr>
        <w:t xml:space="preserve"> </w:t>
      </w:r>
      <w:r>
        <w:rPr>
          <w:rFonts w:hint="eastAsia" w:ascii="宋体" w:hAnsi="宋体" w:eastAsia="宋体" w:cs="宋体"/>
          <w:b/>
          <w:bCs/>
          <w:color w:val="auto"/>
          <w:kern w:val="2"/>
          <w:sz w:val="21"/>
          <w:szCs w:val="21"/>
          <w:lang w:val="zh-CN"/>
        </w:rPr>
        <w:t>总则</w:t>
      </w:r>
      <w:r>
        <w:rPr>
          <w:rFonts w:hint="eastAsia" w:ascii="宋体" w:hAnsi="宋体" w:eastAsia="宋体" w:cs="宋体"/>
          <w:color w:val="auto"/>
          <w:kern w:val="2"/>
          <w:sz w:val="21"/>
          <w:szCs w:val="21"/>
          <w:lang w:val="zh-CN"/>
        </w:rPr>
        <w:tab/>
      </w:r>
      <w:r>
        <w:rPr>
          <w:rFonts w:hint="eastAsia" w:ascii="宋体" w:hAnsi="宋体" w:eastAsia="宋体" w:cs="宋体"/>
          <w:color w:val="auto"/>
          <w:kern w:val="2"/>
          <w:sz w:val="21"/>
          <w:szCs w:val="21"/>
          <w:lang w:val="zh-CN"/>
        </w:rPr>
        <w:t>1</w:t>
      </w:r>
    </w:p>
    <w:p>
      <w:pPr>
        <w:pStyle w:val="17"/>
        <w:tabs>
          <w:tab w:val="right" w:leader="dot" w:pos="9214"/>
        </w:tabs>
        <w:wordWrap/>
        <w:snapToGrid/>
        <w:spacing w:line="360" w:lineRule="auto"/>
        <w:ind w:firstLine="0" w:firstLineChars="0"/>
        <w:rPr>
          <w:rFonts w:hint="eastAsia" w:ascii="宋体" w:hAnsi="宋体" w:eastAsia="宋体" w:cs="宋体"/>
          <w:color w:val="auto"/>
          <w:kern w:val="2"/>
          <w:sz w:val="21"/>
          <w:szCs w:val="21"/>
          <w:lang w:val="zh-CN"/>
        </w:rPr>
      </w:pPr>
      <w:r>
        <w:rPr>
          <w:rFonts w:hint="eastAsia" w:ascii="宋体" w:hAnsi="宋体" w:eastAsia="宋体" w:cs="宋体"/>
          <w:b/>
          <w:bCs/>
          <w:color w:val="auto"/>
          <w:kern w:val="2"/>
          <w:sz w:val="21"/>
          <w:szCs w:val="21"/>
          <w:lang w:val="zh-CN"/>
        </w:rPr>
        <w:t xml:space="preserve">2 </w:t>
      </w:r>
      <w:r>
        <w:rPr>
          <w:rFonts w:hint="eastAsia" w:ascii="宋体" w:hAnsi="宋体" w:cs="宋体"/>
          <w:b/>
          <w:bCs/>
          <w:color w:val="auto"/>
          <w:kern w:val="2"/>
          <w:sz w:val="21"/>
          <w:szCs w:val="21"/>
          <w:lang w:val="en-US" w:eastAsia="zh-CN"/>
        </w:rPr>
        <w:t xml:space="preserve"> </w:t>
      </w:r>
      <w:r>
        <w:rPr>
          <w:rFonts w:hint="eastAsia" w:ascii="宋体" w:hAnsi="宋体" w:eastAsia="宋体" w:cs="宋体"/>
          <w:b/>
          <w:bCs/>
          <w:color w:val="auto"/>
          <w:kern w:val="2"/>
          <w:sz w:val="21"/>
          <w:szCs w:val="21"/>
          <w:lang w:val="zh-CN"/>
        </w:rPr>
        <w:t>工作范围</w:t>
      </w:r>
      <w:r>
        <w:rPr>
          <w:rFonts w:hint="eastAsia" w:ascii="宋体" w:hAnsi="宋体" w:eastAsia="宋体" w:cs="宋体"/>
          <w:color w:val="auto"/>
          <w:kern w:val="2"/>
          <w:sz w:val="21"/>
          <w:szCs w:val="21"/>
          <w:lang w:val="zh-CN"/>
        </w:rPr>
        <w:tab/>
      </w:r>
      <w:r>
        <w:rPr>
          <w:rFonts w:hint="eastAsia" w:ascii="宋体" w:hAnsi="宋体" w:eastAsia="宋体" w:cs="宋体"/>
          <w:color w:val="auto"/>
          <w:kern w:val="2"/>
          <w:sz w:val="21"/>
          <w:szCs w:val="21"/>
          <w:lang w:val="zh-CN"/>
        </w:rPr>
        <w:t>1</w:t>
      </w:r>
    </w:p>
    <w:p>
      <w:pPr>
        <w:pStyle w:val="17"/>
        <w:tabs>
          <w:tab w:val="right" w:leader="dot" w:pos="9214"/>
        </w:tabs>
        <w:wordWrap/>
        <w:snapToGrid/>
        <w:spacing w:line="360" w:lineRule="auto"/>
        <w:ind w:firstLine="0" w:firstLineChars="0"/>
        <w:rPr>
          <w:rFonts w:hint="eastAsia" w:ascii="宋体" w:hAnsi="宋体" w:cs="宋体"/>
          <w:color w:val="auto"/>
          <w:kern w:val="2"/>
          <w:sz w:val="21"/>
          <w:szCs w:val="21"/>
          <w:lang w:val="en-US" w:eastAsia="zh-CN"/>
        </w:rPr>
      </w:pPr>
      <w:r>
        <w:rPr>
          <w:rFonts w:hint="eastAsia" w:ascii="宋体" w:hAnsi="宋体" w:eastAsia="宋体" w:cs="宋体"/>
          <w:b/>
          <w:bCs/>
          <w:color w:val="auto"/>
          <w:kern w:val="2"/>
          <w:sz w:val="21"/>
          <w:szCs w:val="21"/>
          <w:lang w:val="zh-CN"/>
        </w:rPr>
        <w:t xml:space="preserve">3 </w:t>
      </w:r>
      <w:r>
        <w:rPr>
          <w:rFonts w:hint="eastAsia" w:ascii="宋体" w:hAnsi="宋体" w:cs="宋体"/>
          <w:b/>
          <w:bCs/>
          <w:color w:val="auto"/>
          <w:kern w:val="2"/>
          <w:sz w:val="21"/>
          <w:szCs w:val="21"/>
          <w:lang w:val="en-US" w:eastAsia="zh-CN"/>
        </w:rPr>
        <w:t xml:space="preserve"> </w:t>
      </w:r>
      <w:r>
        <w:rPr>
          <w:rFonts w:hint="eastAsia" w:ascii="宋体" w:hAnsi="宋体" w:eastAsia="宋体" w:cs="宋体"/>
          <w:b/>
          <w:bCs/>
          <w:color w:val="auto"/>
          <w:kern w:val="2"/>
          <w:sz w:val="21"/>
          <w:szCs w:val="21"/>
          <w:lang w:val="zh-CN"/>
        </w:rPr>
        <w:t>编制依据和执行标准</w:t>
      </w:r>
      <w:r>
        <w:rPr>
          <w:rFonts w:hint="eastAsia" w:ascii="宋体" w:hAnsi="宋体" w:eastAsia="宋体" w:cs="宋体"/>
          <w:color w:val="auto"/>
          <w:kern w:val="2"/>
          <w:sz w:val="21"/>
          <w:szCs w:val="21"/>
          <w:lang w:val="zh-CN"/>
        </w:rPr>
        <w:tab/>
      </w:r>
      <w:r>
        <w:rPr>
          <w:rFonts w:hint="eastAsia" w:ascii="宋体" w:hAnsi="宋体" w:cs="宋体"/>
          <w:color w:val="auto"/>
          <w:kern w:val="2"/>
          <w:sz w:val="21"/>
          <w:szCs w:val="21"/>
          <w:lang w:val="en-US" w:eastAsia="zh-CN"/>
        </w:rPr>
        <w:t>2</w:t>
      </w:r>
    </w:p>
    <w:p>
      <w:pPr>
        <w:pStyle w:val="17"/>
        <w:tabs>
          <w:tab w:val="right" w:leader="dot" w:pos="9214"/>
        </w:tabs>
        <w:wordWrap/>
        <w:snapToGrid/>
        <w:spacing w:line="360" w:lineRule="auto"/>
        <w:ind w:firstLine="0" w:firstLineChars="0"/>
        <w:rPr>
          <w:rFonts w:hint="eastAsia" w:ascii="宋体" w:hAnsi="宋体" w:eastAsia="宋体" w:cs="宋体"/>
          <w:color w:val="auto"/>
          <w:kern w:val="2"/>
          <w:sz w:val="21"/>
          <w:szCs w:val="21"/>
          <w:lang w:val="en-US" w:eastAsia="zh-CN"/>
        </w:rPr>
      </w:pPr>
      <w:r>
        <w:rPr>
          <w:rFonts w:hint="eastAsia" w:ascii="宋体" w:hAnsi="宋体" w:cs="宋体"/>
          <w:b/>
          <w:bCs/>
          <w:color w:val="auto"/>
          <w:kern w:val="2"/>
          <w:sz w:val="21"/>
          <w:szCs w:val="21"/>
          <w:lang w:val="en-US" w:eastAsia="zh-CN"/>
        </w:rPr>
        <w:t>4</w:t>
      </w:r>
      <w:r>
        <w:rPr>
          <w:rFonts w:hint="eastAsia" w:ascii="宋体" w:hAnsi="宋体" w:eastAsia="宋体" w:cs="宋体"/>
          <w:b/>
          <w:bCs/>
          <w:color w:val="auto"/>
          <w:kern w:val="2"/>
          <w:sz w:val="21"/>
          <w:szCs w:val="21"/>
          <w:lang w:val="zh-CN"/>
        </w:rPr>
        <w:t xml:space="preserve"> </w:t>
      </w:r>
      <w:r>
        <w:rPr>
          <w:rFonts w:hint="eastAsia" w:ascii="宋体" w:hAnsi="宋体" w:cs="宋体"/>
          <w:b/>
          <w:bCs/>
          <w:color w:val="auto"/>
          <w:kern w:val="2"/>
          <w:sz w:val="21"/>
          <w:szCs w:val="21"/>
          <w:lang w:val="en-US" w:eastAsia="zh-CN"/>
        </w:rPr>
        <w:t xml:space="preserve"> 使用条件</w:t>
      </w:r>
      <w:r>
        <w:rPr>
          <w:rFonts w:hint="eastAsia" w:ascii="宋体" w:hAnsi="宋体" w:eastAsia="宋体" w:cs="宋体"/>
          <w:color w:val="auto"/>
          <w:kern w:val="2"/>
          <w:sz w:val="21"/>
          <w:szCs w:val="21"/>
          <w:lang w:val="zh-CN"/>
        </w:rPr>
        <w:tab/>
      </w:r>
      <w:r>
        <w:rPr>
          <w:rFonts w:hint="eastAsia" w:ascii="宋体" w:hAnsi="宋体" w:cs="宋体"/>
          <w:color w:val="auto"/>
          <w:kern w:val="2"/>
          <w:sz w:val="21"/>
          <w:szCs w:val="21"/>
          <w:lang w:val="en-US" w:eastAsia="zh-CN"/>
        </w:rPr>
        <w:t>3</w:t>
      </w:r>
    </w:p>
    <w:p>
      <w:pPr>
        <w:pStyle w:val="17"/>
        <w:tabs>
          <w:tab w:val="right" w:leader="dot" w:pos="9214"/>
        </w:tabs>
        <w:wordWrap/>
        <w:snapToGrid/>
        <w:spacing w:line="360" w:lineRule="auto"/>
        <w:ind w:firstLine="0" w:firstLineChars="0"/>
        <w:rPr>
          <w:rFonts w:hint="eastAsia" w:ascii="宋体" w:hAnsi="宋体" w:cs="宋体"/>
          <w:color w:val="auto"/>
          <w:kern w:val="2"/>
          <w:sz w:val="21"/>
          <w:szCs w:val="21"/>
          <w:lang w:val="en-US" w:eastAsia="zh-CN"/>
        </w:rPr>
      </w:pPr>
      <w:r>
        <w:rPr>
          <w:rFonts w:hint="eastAsia" w:ascii="宋体" w:hAnsi="宋体" w:cs="宋体"/>
          <w:b/>
          <w:bCs/>
          <w:color w:val="auto"/>
          <w:kern w:val="2"/>
          <w:sz w:val="21"/>
          <w:szCs w:val="21"/>
          <w:lang w:val="en-US" w:eastAsia="zh-CN"/>
        </w:rPr>
        <w:t>5</w:t>
      </w:r>
      <w:r>
        <w:rPr>
          <w:rFonts w:hint="eastAsia" w:ascii="宋体" w:hAnsi="宋体" w:eastAsia="宋体" w:cs="宋体"/>
          <w:b/>
          <w:bCs/>
          <w:color w:val="auto"/>
          <w:kern w:val="2"/>
          <w:sz w:val="21"/>
          <w:szCs w:val="21"/>
          <w:lang w:val="zh-CN"/>
        </w:rPr>
        <w:t xml:space="preserve"> </w:t>
      </w:r>
      <w:r>
        <w:rPr>
          <w:rFonts w:hint="eastAsia" w:ascii="宋体" w:hAnsi="宋体" w:cs="宋体"/>
          <w:b/>
          <w:bCs/>
          <w:color w:val="auto"/>
          <w:kern w:val="2"/>
          <w:sz w:val="21"/>
          <w:szCs w:val="21"/>
          <w:lang w:val="en-US" w:eastAsia="zh-CN"/>
        </w:rPr>
        <w:t xml:space="preserve"> </w:t>
      </w:r>
      <w:r>
        <w:rPr>
          <w:rFonts w:hint="eastAsia" w:ascii="宋体" w:hAnsi="宋体" w:eastAsia="宋体" w:cs="宋体"/>
          <w:b/>
          <w:bCs/>
          <w:color w:val="auto"/>
          <w:kern w:val="2"/>
          <w:sz w:val="21"/>
          <w:szCs w:val="21"/>
          <w:lang w:val="zh-CN"/>
        </w:rPr>
        <w:t>技术</w:t>
      </w:r>
      <w:r>
        <w:rPr>
          <w:rFonts w:hint="eastAsia" w:ascii="宋体" w:hAnsi="宋体" w:cs="宋体"/>
          <w:b/>
          <w:bCs/>
          <w:color w:val="auto"/>
          <w:kern w:val="2"/>
          <w:sz w:val="21"/>
          <w:szCs w:val="21"/>
          <w:lang w:val="en-US" w:eastAsia="zh-CN"/>
        </w:rPr>
        <w:t>服务</w:t>
      </w:r>
      <w:r>
        <w:rPr>
          <w:rFonts w:hint="eastAsia" w:ascii="宋体" w:hAnsi="宋体" w:eastAsia="宋体" w:cs="宋体"/>
          <w:b/>
          <w:bCs/>
          <w:color w:val="auto"/>
          <w:kern w:val="2"/>
          <w:sz w:val="21"/>
          <w:szCs w:val="21"/>
          <w:lang w:val="zh-CN"/>
        </w:rPr>
        <w:t>要求</w:t>
      </w:r>
      <w:r>
        <w:rPr>
          <w:rFonts w:hint="eastAsia" w:ascii="宋体" w:hAnsi="宋体" w:eastAsia="宋体" w:cs="宋体"/>
          <w:color w:val="auto"/>
          <w:kern w:val="2"/>
          <w:sz w:val="21"/>
          <w:szCs w:val="21"/>
          <w:lang w:val="zh-CN"/>
        </w:rPr>
        <w:tab/>
      </w:r>
      <w:r>
        <w:rPr>
          <w:rFonts w:hint="eastAsia" w:ascii="宋体" w:hAnsi="宋体" w:cs="宋体"/>
          <w:color w:val="auto"/>
          <w:kern w:val="2"/>
          <w:sz w:val="21"/>
          <w:szCs w:val="21"/>
          <w:lang w:val="en-US" w:eastAsia="zh-CN"/>
        </w:rPr>
        <w:t>3</w:t>
      </w:r>
    </w:p>
    <w:p>
      <w:pPr>
        <w:pStyle w:val="17"/>
        <w:tabs>
          <w:tab w:val="right" w:leader="dot" w:pos="9214"/>
        </w:tabs>
        <w:wordWrap/>
        <w:snapToGrid/>
        <w:spacing w:line="360" w:lineRule="auto"/>
        <w:ind w:firstLine="0" w:firstLineChars="0"/>
        <w:rPr>
          <w:rFonts w:hint="eastAsia" w:ascii="宋体" w:hAnsi="宋体" w:eastAsia="宋体" w:cs="宋体"/>
          <w:color w:val="auto"/>
          <w:kern w:val="2"/>
          <w:sz w:val="21"/>
          <w:szCs w:val="21"/>
          <w:lang w:val="en-US" w:eastAsia="zh-CN"/>
        </w:rPr>
      </w:pPr>
      <w:r>
        <w:rPr>
          <w:rFonts w:hint="eastAsia" w:ascii="宋体" w:hAnsi="宋体" w:cs="宋体"/>
          <w:b/>
          <w:bCs/>
          <w:color w:val="auto"/>
          <w:kern w:val="2"/>
          <w:sz w:val="21"/>
          <w:szCs w:val="21"/>
          <w:lang w:val="en-US" w:eastAsia="zh-CN"/>
        </w:rPr>
        <w:t>6</w:t>
      </w:r>
      <w:r>
        <w:rPr>
          <w:rFonts w:hint="eastAsia" w:ascii="宋体" w:hAnsi="宋体" w:eastAsia="宋体" w:cs="宋体"/>
          <w:b/>
          <w:bCs/>
          <w:color w:val="auto"/>
          <w:kern w:val="2"/>
          <w:sz w:val="21"/>
          <w:szCs w:val="21"/>
          <w:lang w:val="zh-CN"/>
        </w:rPr>
        <w:t xml:space="preserve"> </w:t>
      </w:r>
      <w:r>
        <w:rPr>
          <w:rFonts w:hint="eastAsia" w:ascii="宋体" w:hAnsi="宋体" w:cs="宋体"/>
          <w:b/>
          <w:bCs/>
          <w:color w:val="auto"/>
          <w:kern w:val="2"/>
          <w:sz w:val="21"/>
          <w:szCs w:val="21"/>
          <w:lang w:val="en-US" w:eastAsia="zh-CN"/>
        </w:rPr>
        <w:t xml:space="preserve"> 设备资料</w:t>
      </w:r>
      <w:r>
        <w:rPr>
          <w:rFonts w:hint="eastAsia" w:ascii="宋体" w:hAnsi="宋体" w:eastAsia="宋体" w:cs="宋体"/>
          <w:color w:val="auto"/>
          <w:kern w:val="2"/>
          <w:sz w:val="21"/>
          <w:szCs w:val="21"/>
          <w:lang w:val="zh-CN"/>
        </w:rPr>
        <w:tab/>
      </w:r>
      <w:r>
        <w:rPr>
          <w:rFonts w:hint="eastAsia" w:ascii="宋体" w:hAnsi="宋体" w:cs="宋体"/>
          <w:color w:val="auto"/>
          <w:kern w:val="2"/>
          <w:sz w:val="21"/>
          <w:szCs w:val="21"/>
          <w:lang w:val="en-US" w:eastAsia="zh-CN"/>
        </w:rPr>
        <w:t>3</w:t>
      </w:r>
    </w:p>
    <w:p>
      <w:pPr>
        <w:pStyle w:val="17"/>
        <w:tabs>
          <w:tab w:val="right" w:leader="dot" w:pos="9214"/>
        </w:tabs>
        <w:wordWrap/>
        <w:snapToGrid/>
        <w:spacing w:line="360" w:lineRule="auto"/>
        <w:ind w:firstLine="0" w:firstLineChars="0"/>
        <w:rPr>
          <w:rFonts w:hint="default"/>
          <w:lang w:val="en-US" w:eastAsia="zh-CN"/>
        </w:rPr>
      </w:pPr>
      <w:r>
        <w:rPr>
          <w:rFonts w:hint="eastAsia" w:ascii="宋体" w:hAnsi="宋体" w:cs="宋体"/>
          <w:b/>
          <w:bCs/>
          <w:color w:val="auto"/>
          <w:kern w:val="2"/>
          <w:sz w:val="21"/>
          <w:szCs w:val="21"/>
          <w:lang w:val="en-US" w:eastAsia="zh-CN"/>
        </w:rPr>
        <w:t>7</w:t>
      </w:r>
      <w:r>
        <w:rPr>
          <w:rFonts w:hint="eastAsia" w:ascii="宋体" w:hAnsi="宋体" w:eastAsia="宋体" w:cs="宋体"/>
          <w:b/>
          <w:bCs/>
          <w:color w:val="auto"/>
          <w:kern w:val="2"/>
          <w:sz w:val="21"/>
          <w:szCs w:val="21"/>
          <w:lang w:val="zh-CN"/>
        </w:rPr>
        <w:t xml:space="preserve"> </w:t>
      </w:r>
      <w:r>
        <w:rPr>
          <w:rFonts w:hint="eastAsia" w:ascii="宋体" w:hAnsi="宋体" w:cs="宋体"/>
          <w:b/>
          <w:bCs/>
          <w:color w:val="auto"/>
          <w:kern w:val="2"/>
          <w:sz w:val="21"/>
          <w:szCs w:val="21"/>
          <w:lang w:val="en-US" w:eastAsia="zh-CN"/>
        </w:rPr>
        <w:t xml:space="preserve"> </w:t>
      </w:r>
      <w:r>
        <w:rPr>
          <w:rFonts w:hint="eastAsia" w:ascii="宋体" w:hAnsi="宋体" w:eastAsia="宋体" w:cs="宋体"/>
          <w:b/>
          <w:bCs/>
          <w:color w:val="auto"/>
          <w:kern w:val="2"/>
          <w:sz w:val="21"/>
          <w:szCs w:val="21"/>
          <w:lang w:val="zh-CN"/>
        </w:rPr>
        <w:t>包装、运输、贮存和质量保证</w:t>
      </w:r>
      <w:r>
        <w:rPr>
          <w:rFonts w:hint="eastAsia" w:ascii="宋体" w:hAnsi="宋体" w:eastAsia="宋体" w:cs="宋体"/>
          <w:color w:val="auto"/>
          <w:kern w:val="2"/>
          <w:sz w:val="21"/>
          <w:szCs w:val="21"/>
          <w:lang w:val="zh-CN"/>
        </w:rPr>
        <w:tab/>
      </w:r>
      <w:r>
        <w:rPr>
          <w:rFonts w:hint="eastAsia" w:ascii="宋体" w:hAnsi="宋体" w:cs="宋体"/>
          <w:color w:val="auto"/>
          <w:kern w:val="2"/>
          <w:sz w:val="21"/>
          <w:szCs w:val="21"/>
          <w:lang w:val="en-US" w:eastAsia="zh-CN"/>
        </w:rPr>
        <w:t>3</w:t>
      </w:r>
    </w:p>
    <w:p>
      <w:pPr>
        <w:pStyle w:val="17"/>
        <w:tabs>
          <w:tab w:val="right" w:leader="dot" w:pos="9214"/>
        </w:tabs>
        <w:wordWrap/>
        <w:snapToGrid/>
        <w:spacing w:line="360" w:lineRule="auto"/>
        <w:ind w:firstLine="0" w:firstLineChars="0"/>
        <w:rPr>
          <w:rFonts w:hint="eastAsia" w:ascii="宋体" w:hAnsi="宋体" w:eastAsia="宋体" w:cs="宋体"/>
          <w:color w:val="auto"/>
          <w:kern w:val="2"/>
          <w:sz w:val="21"/>
          <w:szCs w:val="21"/>
          <w:lang w:val="en-US" w:eastAsia="zh-CN"/>
        </w:rPr>
      </w:pPr>
      <w:r>
        <w:rPr>
          <w:rFonts w:hint="eastAsia" w:ascii="宋体" w:hAnsi="宋体" w:cs="宋体"/>
          <w:b/>
          <w:bCs/>
          <w:color w:val="auto"/>
          <w:kern w:val="2"/>
          <w:sz w:val="21"/>
          <w:szCs w:val="21"/>
          <w:lang w:val="en-US" w:eastAsia="zh-CN"/>
        </w:rPr>
        <w:t>8</w:t>
      </w:r>
      <w:r>
        <w:rPr>
          <w:rFonts w:hint="eastAsia" w:ascii="宋体" w:hAnsi="宋体" w:eastAsia="宋体" w:cs="宋体"/>
          <w:b/>
          <w:bCs/>
          <w:color w:val="auto"/>
          <w:kern w:val="2"/>
          <w:sz w:val="21"/>
          <w:szCs w:val="21"/>
          <w:lang w:val="zh-CN"/>
        </w:rPr>
        <w:t xml:space="preserve"> </w:t>
      </w:r>
      <w:r>
        <w:rPr>
          <w:rFonts w:hint="eastAsia" w:ascii="宋体" w:hAnsi="宋体" w:cs="宋体"/>
          <w:b/>
          <w:bCs/>
          <w:color w:val="auto"/>
          <w:kern w:val="2"/>
          <w:sz w:val="21"/>
          <w:szCs w:val="21"/>
          <w:lang w:val="en-US" w:eastAsia="zh-CN"/>
        </w:rPr>
        <w:t xml:space="preserve"> </w:t>
      </w:r>
      <w:r>
        <w:rPr>
          <w:rFonts w:hint="eastAsia" w:ascii="宋体" w:hAnsi="宋体" w:eastAsia="宋体" w:cs="宋体"/>
          <w:b/>
          <w:bCs/>
          <w:color w:val="auto"/>
          <w:kern w:val="2"/>
          <w:sz w:val="21"/>
          <w:szCs w:val="21"/>
          <w:lang w:val="zh-CN"/>
        </w:rPr>
        <w:t>技术差异表</w:t>
      </w:r>
      <w:r>
        <w:rPr>
          <w:rFonts w:hint="eastAsia" w:ascii="宋体" w:hAnsi="宋体" w:eastAsia="宋体" w:cs="宋体"/>
          <w:color w:val="auto"/>
          <w:kern w:val="2"/>
          <w:sz w:val="21"/>
          <w:szCs w:val="21"/>
          <w:lang w:val="zh-CN"/>
        </w:rPr>
        <w:tab/>
      </w:r>
      <w:r>
        <w:rPr>
          <w:rFonts w:hint="eastAsia" w:ascii="宋体" w:hAnsi="宋体" w:cs="宋体"/>
          <w:color w:val="auto"/>
          <w:kern w:val="2"/>
          <w:sz w:val="21"/>
          <w:szCs w:val="21"/>
          <w:lang w:val="en-US" w:eastAsia="zh-CN"/>
        </w:rPr>
        <w:t>4</w:t>
      </w:r>
    </w:p>
    <w:p>
      <w:pPr>
        <w:pStyle w:val="17"/>
        <w:tabs>
          <w:tab w:val="right" w:leader="dot" w:pos="9214"/>
        </w:tabs>
        <w:wordWrap/>
        <w:snapToGrid/>
        <w:spacing w:line="360" w:lineRule="auto"/>
        <w:ind w:firstLine="0" w:firstLineChars="0"/>
        <w:rPr>
          <w:rFonts w:hint="eastAsia" w:eastAsia="宋体"/>
          <w:color w:val="auto"/>
          <w:sz w:val="21"/>
          <w:szCs w:val="21"/>
          <w:lang w:val="en-US" w:eastAsia="zh-CN"/>
        </w:rPr>
      </w:pPr>
      <w:r>
        <w:rPr>
          <w:rFonts w:hint="eastAsia" w:ascii="宋体" w:hAnsi="宋体" w:cs="宋体"/>
          <w:b/>
          <w:bCs/>
          <w:color w:val="auto"/>
          <w:kern w:val="2"/>
          <w:sz w:val="21"/>
          <w:szCs w:val="21"/>
          <w:lang w:val="en-US" w:eastAsia="zh-CN"/>
        </w:rPr>
        <w:t xml:space="preserve">9  </w:t>
      </w:r>
      <w:r>
        <w:rPr>
          <w:rFonts w:hint="eastAsia" w:ascii="宋体" w:hAnsi="宋体" w:eastAsia="宋体" w:cs="宋体"/>
          <w:b/>
          <w:bCs/>
          <w:color w:val="auto"/>
          <w:kern w:val="2"/>
          <w:sz w:val="21"/>
          <w:szCs w:val="21"/>
          <w:lang w:val="zh-CN"/>
        </w:rPr>
        <w:t>投标方需说明的其他问题</w:t>
      </w:r>
      <w:r>
        <w:rPr>
          <w:rFonts w:hint="eastAsia" w:ascii="宋体" w:hAnsi="宋体" w:eastAsia="宋体" w:cs="宋体"/>
          <w:color w:val="auto"/>
          <w:kern w:val="2"/>
          <w:sz w:val="21"/>
          <w:szCs w:val="21"/>
          <w:lang w:val="zh-CN"/>
        </w:rPr>
        <w:tab/>
      </w:r>
      <w:r>
        <w:rPr>
          <w:rFonts w:hint="eastAsia" w:ascii="宋体" w:hAnsi="宋体" w:cs="宋体"/>
          <w:color w:val="auto"/>
          <w:kern w:val="2"/>
          <w:sz w:val="21"/>
          <w:szCs w:val="21"/>
          <w:lang w:val="en-US" w:eastAsia="zh-CN"/>
        </w:rPr>
        <w:t>4</w:t>
      </w:r>
    </w:p>
    <w:p/>
    <w:p>
      <w:pPr>
        <w:pStyle w:val="17"/>
        <w:tabs>
          <w:tab w:val="right" w:leader="dot" w:pos="9746"/>
        </w:tabs>
        <w:wordWrap/>
        <w:snapToGrid/>
        <w:ind w:firstLine="560"/>
        <w:jc w:val="left"/>
        <w:rPr>
          <w:color w:val="auto"/>
        </w:rPr>
      </w:pPr>
    </w:p>
    <w:p>
      <w:pPr>
        <w:suppressAutoHyphens/>
        <w:wordWrap/>
        <w:spacing w:line="360" w:lineRule="auto"/>
        <w:ind w:firstLine="560" w:firstLineChars="200"/>
        <w:rPr>
          <w:color w:val="auto"/>
          <w:szCs w:val="36"/>
        </w:rPr>
      </w:pPr>
    </w:p>
    <w:p>
      <w:pPr>
        <w:wordWrap/>
        <w:ind w:firstLine="420"/>
        <w:outlineLvl w:val="2"/>
        <w:rPr>
          <w:rFonts w:hint="eastAsia" w:eastAsia="宋体"/>
          <w:color w:val="auto"/>
          <w:lang w:val="en-US" w:eastAsia="zh-CN"/>
        </w:rPr>
        <w:sectPr>
          <w:pgSz w:w="11906" w:h="16838"/>
          <w:pgMar w:top="1758" w:right="1797" w:bottom="1440" w:left="1797" w:header="851" w:footer="1134" w:gutter="0"/>
          <w:pgNumType w:start="1"/>
          <w:cols w:space="720" w:num="1"/>
          <w:titlePg/>
          <w:docGrid w:linePitch="381" w:charSpace="0"/>
        </w:sectPr>
      </w:pPr>
      <w:bookmarkStart w:id="6" w:name="_Toc32176"/>
      <w:r>
        <w:rPr>
          <w:rFonts w:hint="eastAsia"/>
          <w:color w:val="auto"/>
          <w:lang w:val="en-US" w:eastAsia="zh-CN"/>
        </w:rPr>
        <w:t xml:space="preserve"> </w:t>
      </w:r>
    </w:p>
    <w:p>
      <w:pPr>
        <w:pageBreakBefore w:val="0"/>
        <w:kinsoku/>
        <w:wordWrap/>
        <w:overflowPunct/>
        <w:topLinePunct w:val="0"/>
        <w:bidi w:val="0"/>
        <w:spacing w:line="360" w:lineRule="auto"/>
        <w:outlineLvl w:val="0"/>
        <w:rPr>
          <w:b/>
          <w:color w:val="auto"/>
          <w:sz w:val="21"/>
          <w:szCs w:val="21"/>
        </w:rPr>
      </w:pPr>
      <w:bookmarkStart w:id="7" w:name="_Toc5138"/>
      <w:r>
        <w:rPr>
          <w:b/>
          <w:color w:val="auto"/>
          <w:sz w:val="21"/>
          <w:szCs w:val="21"/>
        </w:rPr>
        <w:t>1  总则</w:t>
      </w:r>
      <w:bookmarkEnd w:id="6"/>
      <w:bookmarkEnd w:id="7"/>
    </w:p>
    <w:p>
      <w:pPr>
        <w:pageBreakBefore w:val="0"/>
        <w:kinsoku/>
        <w:wordWrap/>
        <w:overflowPunct/>
        <w:topLinePunct w:val="0"/>
        <w:bidi w:val="0"/>
        <w:spacing w:line="360" w:lineRule="auto"/>
        <w:outlineLvl w:val="0"/>
        <w:rPr>
          <w:rFonts w:hint="eastAsia"/>
          <w:color w:val="auto"/>
          <w:sz w:val="21"/>
          <w:szCs w:val="21"/>
        </w:rPr>
      </w:pPr>
      <w:bookmarkStart w:id="8" w:name="_Toc279695347"/>
      <w:bookmarkStart w:id="9" w:name="_Toc386042756"/>
      <w:bookmarkStart w:id="10" w:name="_Toc22108236"/>
      <w:bookmarkStart w:id="11" w:name="_Toc276492358"/>
      <w:bookmarkStart w:id="12" w:name="_Toc291951552"/>
      <w:bookmarkStart w:id="13" w:name="_Toc246216316"/>
      <w:bookmarkStart w:id="14" w:name="_Toc4888"/>
      <w:bookmarkStart w:id="15" w:name="_Toc386042638"/>
      <w:bookmarkStart w:id="16" w:name="_Toc276490890"/>
      <w:bookmarkStart w:id="17" w:name="_Toc386156370"/>
      <w:bookmarkStart w:id="18" w:name="_Toc386154252"/>
      <w:bookmarkStart w:id="19" w:name="_Toc271281204"/>
      <w:bookmarkStart w:id="20" w:name="_Toc112756677"/>
      <w:bookmarkStart w:id="21" w:name="_Toc15975"/>
      <w:bookmarkStart w:id="22" w:name="_Toc241911995"/>
      <w:bookmarkStart w:id="23" w:name="_Toc155114607"/>
      <w:bookmarkStart w:id="24" w:name="_Toc5331"/>
      <w:r>
        <w:rPr>
          <w:rFonts w:hint="eastAsia"/>
          <w:color w:val="auto"/>
          <w:sz w:val="21"/>
          <w:szCs w:val="21"/>
        </w:rPr>
        <w:t>1.1  本招标技术文件适用于中国南方电网有限责任公司超高压输电公司</w:t>
      </w:r>
      <w:bookmarkStart w:id="25" w:name="OLE_LINK6"/>
      <w:bookmarkStart w:id="26" w:name="OLE_LINK7"/>
      <w:r>
        <w:rPr>
          <w:rFonts w:hint="eastAsia"/>
          <w:color w:val="auto"/>
          <w:sz w:val="21"/>
          <w:szCs w:val="21"/>
        </w:rPr>
        <w:t>南宁局2025年透明磁吸有机玻璃板采购</w:t>
      </w:r>
      <w:bookmarkEnd w:id="25"/>
      <w:r>
        <w:rPr>
          <w:rFonts w:hint="eastAsia"/>
          <w:color w:val="auto"/>
          <w:sz w:val="21"/>
          <w:szCs w:val="21"/>
        </w:rPr>
        <w:t>项目采购</w:t>
      </w:r>
      <w:bookmarkEnd w:id="26"/>
      <w:r>
        <w:rPr>
          <w:rFonts w:hint="eastAsia"/>
          <w:color w:val="auto"/>
          <w:sz w:val="21"/>
          <w:szCs w:val="21"/>
          <w:lang w:val="en-US" w:eastAsia="zh-CN"/>
        </w:rPr>
        <w:t>物资在功能设计、性能等方面的技术要求</w:t>
      </w:r>
      <w:r>
        <w:rPr>
          <w:rFonts w:hint="eastAsia"/>
          <w:color w:val="auto"/>
          <w:sz w:val="21"/>
          <w:szCs w:val="21"/>
        </w:rPr>
        <w:t>。</w:t>
      </w:r>
    </w:p>
    <w:p>
      <w:pPr>
        <w:pageBreakBefore w:val="0"/>
        <w:kinsoku/>
        <w:wordWrap/>
        <w:overflowPunct/>
        <w:topLinePunct w:val="0"/>
        <w:bidi w:val="0"/>
        <w:spacing w:line="360" w:lineRule="auto"/>
        <w:outlineLvl w:val="0"/>
        <w:rPr>
          <w:rFonts w:hint="eastAsia"/>
          <w:color w:val="auto"/>
          <w:sz w:val="21"/>
          <w:szCs w:val="21"/>
        </w:rPr>
      </w:pPr>
      <w:r>
        <w:rPr>
          <w:rFonts w:hint="eastAsia"/>
          <w:color w:val="auto"/>
          <w:sz w:val="21"/>
          <w:szCs w:val="21"/>
        </w:rPr>
        <w:t>1.2  本设备招标技术文件提出的是最低限度的技术要求。凡本招标技术文件中未规定，但在相关设备的行业标准、国家标准或IEC标准中有规定的规范条文，投标方应按相应标准的条文进行</w:t>
      </w:r>
      <w:r>
        <w:rPr>
          <w:rFonts w:hint="eastAsia"/>
          <w:color w:val="auto"/>
          <w:sz w:val="21"/>
          <w:szCs w:val="21"/>
          <w:lang w:val="en-US" w:eastAsia="zh-CN"/>
        </w:rPr>
        <w:t>装置设计、制造</w:t>
      </w:r>
      <w:r>
        <w:rPr>
          <w:rFonts w:hint="eastAsia"/>
          <w:color w:val="auto"/>
          <w:sz w:val="21"/>
          <w:szCs w:val="21"/>
        </w:rPr>
        <w:t>。对国家有关安全、环保等强制性标准，必须满足其要求。</w:t>
      </w:r>
    </w:p>
    <w:p>
      <w:pPr>
        <w:pageBreakBefore w:val="0"/>
        <w:kinsoku/>
        <w:wordWrap/>
        <w:overflowPunct/>
        <w:topLinePunct w:val="0"/>
        <w:bidi w:val="0"/>
        <w:spacing w:line="360" w:lineRule="auto"/>
        <w:outlineLvl w:val="0"/>
        <w:rPr>
          <w:rFonts w:hint="eastAsia"/>
          <w:color w:val="auto"/>
          <w:sz w:val="21"/>
          <w:szCs w:val="21"/>
        </w:rPr>
      </w:pPr>
      <w:r>
        <w:rPr>
          <w:rFonts w:hint="eastAsia"/>
          <w:color w:val="auto"/>
          <w:sz w:val="21"/>
          <w:szCs w:val="21"/>
        </w:rPr>
        <w:t>1.3投标方应根据本技术规范书的相关要求提出一份完整的工程设计技术方案以及报价书。</w:t>
      </w:r>
    </w:p>
    <w:p>
      <w:pPr>
        <w:pageBreakBefore w:val="0"/>
        <w:kinsoku/>
        <w:wordWrap/>
        <w:overflowPunct/>
        <w:topLinePunct w:val="0"/>
        <w:bidi w:val="0"/>
        <w:spacing w:line="360" w:lineRule="auto"/>
        <w:outlineLvl w:val="0"/>
        <w:rPr>
          <w:rFonts w:hint="eastAsia"/>
          <w:color w:val="auto"/>
          <w:sz w:val="21"/>
          <w:szCs w:val="21"/>
        </w:rPr>
      </w:pPr>
      <w:r>
        <w:rPr>
          <w:rFonts w:hint="eastAsia"/>
          <w:color w:val="auto"/>
          <w:sz w:val="21"/>
          <w:szCs w:val="21"/>
        </w:rPr>
        <w:t>1.</w:t>
      </w:r>
      <w:r>
        <w:rPr>
          <w:rFonts w:hint="eastAsia"/>
          <w:color w:val="auto"/>
          <w:sz w:val="21"/>
          <w:szCs w:val="21"/>
          <w:lang w:val="en-US" w:eastAsia="zh-CN"/>
        </w:rPr>
        <w:t>4</w:t>
      </w:r>
      <w:r>
        <w:rPr>
          <w:rFonts w:hint="eastAsia"/>
          <w:color w:val="auto"/>
          <w:sz w:val="21"/>
          <w:szCs w:val="21"/>
        </w:rPr>
        <w:t xml:space="preserve"> 如果投标方没有以书面形式对本招标技术文件的条文提出异议， 则意味着投标方提供的设备完全符合本招标技术文件的要求。如有异议， 不管是多么微小， 都应在报价书中以“对招标技术文件的意见和同招标技术文件的差异”为标题的专门章节中加以详细描述。</w:t>
      </w:r>
    </w:p>
    <w:p>
      <w:pPr>
        <w:pageBreakBefore w:val="0"/>
        <w:kinsoku/>
        <w:wordWrap/>
        <w:overflowPunct/>
        <w:topLinePunct w:val="0"/>
        <w:bidi w:val="0"/>
        <w:spacing w:line="360" w:lineRule="auto"/>
        <w:outlineLvl w:val="0"/>
        <w:rPr>
          <w:rFonts w:hint="eastAsia"/>
          <w:color w:val="auto"/>
          <w:sz w:val="21"/>
          <w:szCs w:val="21"/>
        </w:rPr>
      </w:pPr>
      <w:r>
        <w:rPr>
          <w:rFonts w:hint="eastAsia"/>
          <w:color w:val="auto"/>
          <w:sz w:val="21"/>
          <w:szCs w:val="21"/>
        </w:rPr>
        <w:t>1.</w:t>
      </w:r>
      <w:r>
        <w:rPr>
          <w:rFonts w:hint="eastAsia"/>
          <w:color w:val="auto"/>
          <w:sz w:val="21"/>
          <w:szCs w:val="21"/>
          <w:lang w:val="en-US" w:eastAsia="zh-CN"/>
        </w:rPr>
        <w:t>5</w:t>
      </w:r>
      <w:r>
        <w:rPr>
          <w:rFonts w:hint="eastAsia"/>
          <w:color w:val="auto"/>
          <w:sz w:val="21"/>
          <w:szCs w:val="21"/>
        </w:rPr>
        <w:t xml:space="preserve">  本招标技术文件所使用的标准如遇与投标方所执行的标准不一致时， 按较高标准执行。</w:t>
      </w:r>
    </w:p>
    <w:p>
      <w:pPr>
        <w:pageBreakBefore w:val="0"/>
        <w:kinsoku/>
        <w:wordWrap/>
        <w:overflowPunct/>
        <w:topLinePunct w:val="0"/>
        <w:bidi w:val="0"/>
        <w:spacing w:line="360" w:lineRule="auto"/>
        <w:outlineLvl w:val="0"/>
        <w:rPr>
          <w:rFonts w:hint="eastAsia"/>
          <w:color w:val="auto"/>
          <w:sz w:val="21"/>
          <w:szCs w:val="21"/>
        </w:rPr>
      </w:pPr>
      <w:r>
        <w:rPr>
          <w:rFonts w:hint="eastAsia"/>
          <w:color w:val="auto"/>
          <w:sz w:val="21"/>
          <w:szCs w:val="21"/>
        </w:rPr>
        <w:t>1.</w:t>
      </w:r>
      <w:r>
        <w:rPr>
          <w:rFonts w:hint="eastAsia"/>
          <w:color w:val="auto"/>
          <w:sz w:val="21"/>
          <w:szCs w:val="21"/>
          <w:lang w:val="en-US" w:eastAsia="zh-CN"/>
        </w:rPr>
        <w:t>6</w:t>
      </w:r>
      <w:r>
        <w:rPr>
          <w:rFonts w:hint="eastAsia"/>
          <w:color w:val="auto"/>
          <w:sz w:val="21"/>
          <w:szCs w:val="21"/>
        </w:rPr>
        <w:t xml:space="preserve">  本招标技术文件经招、投标双方确认后作为</w:t>
      </w:r>
      <w:r>
        <w:rPr>
          <w:rFonts w:hint="eastAsia"/>
          <w:color w:val="auto"/>
          <w:sz w:val="21"/>
          <w:szCs w:val="21"/>
          <w:lang w:val="en-US" w:eastAsia="zh-CN"/>
        </w:rPr>
        <w:t>技术服务</w:t>
      </w:r>
      <w:r>
        <w:rPr>
          <w:rFonts w:hint="eastAsia"/>
          <w:color w:val="auto"/>
          <w:sz w:val="21"/>
          <w:szCs w:val="21"/>
        </w:rPr>
        <w:t>合同的技术附件，与合同正文具有同等的法律效力。</w:t>
      </w:r>
    </w:p>
    <w:p>
      <w:pPr>
        <w:pageBreakBefore w:val="0"/>
        <w:kinsoku/>
        <w:wordWrap/>
        <w:overflowPunct/>
        <w:topLinePunct w:val="0"/>
        <w:bidi w:val="0"/>
        <w:spacing w:line="360" w:lineRule="auto"/>
        <w:outlineLvl w:val="0"/>
        <w:rPr>
          <w:rFonts w:hint="eastAsia"/>
          <w:color w:val="auto"/>
          <w:sz w:val="21"/>
          <w:szCs w:val="21"/>
        </w:rPr>
      </w:pPr>
      <w:r>
        <w:rPr>
          <w:rFonts w:hint="eastAsia"/>
          <w:color w:val="auto"/>
          <w:sz w:val="21"/>
          <w:szCs w:val="21"/>
        </w:rPr>
        <w:t>1.</w:t>
      </w:r>
      <w:r>
        <w:rPr>
          <w:rFonts w:hint="eastAsia"/>
          <w:color w:val="auto"/>
          <w:sz w:val="21"/>
          <w:szCs w:val="21"/>
          <w:lang w:val="en-US" w:eastAsia="zh-CN"/>
        </w:rPr>
        <w:t>7</w:t>
      </w:r>
      <w:r>
        <w:rPr>
          <w:rFonts w:hint="eastAsia"/>
          <w:color w:val="auto"/>
          <w:sz w:val="21"/>
          <w:szCs w:val="21"/>
        </w:rPr>
        <w:t xml:space="preserve">  本招标技术文件未尽事宜，由招、投标双方协商确定。</w:t>
      </w:r>
    </w:p>
    <w:p>
      <w:pPr>
        <w:pageBreakBefore w:val="0"/>
        <w:kinsoku/>
        <w:wordWrap/>
        <w:overflowPunct/>
        <w:topLinePunct w:val="0"/>
        <w:bidi w:val="0"/>
        <w:spacing w:line="360" w:lineRule="auto"/>
        <w:outlineLvl w:val="0"/>
        <w:rPr>
          <w:rFonts w:hint="eastAsia"/>
          <w:color w:val="auto"/>
          <w:sz w:val="21"/>
          <w:szCs w:val="21"/>
        </w:rPr>
      </w:pPr>
      <w:r>
        <w:rPr>
          <w:rFonts w:hint="eastAsia"/>
          <w:color w:val="auto"/>
          <w:sz w:val="21"/>
          <w:szCs w:val="21"/>
        </w:rPr>
        <w:t>1.</w:t>
      </w:r>
      <w:r>
        <w:rPr>
          <w:rFonts w:hint="eastAsia"/>
          <w:color w:val="auto"/>
          <w:sz w:val="21"/>
          <w:szCs w:val="21"/>
          <w:lang w:val="en-US" w:eastAsia="zh-CN"/>
        </w:rPr>
        <w:t>8</w:t>
      </w:r>
      <w:r>
        <w:rPr>
          <w:rFonts w:hint="eastAsia"/>
          <w:color w:val="auto"/>
          <w:sz w:val="21"/>
          <w:szCs w:val="21"/>
        </w:rPr>
        <w:t xml:space="preserve">  投标方应在应标技术部分按本招标技术文件的要求如实详细的填写应标</w:t>
      </w:r>
      <w:r>
        <w:rPr>
          <w:rFonts w:hint="eastAsia"/>
          <w:color w:val="auto"/>
          <w:sz w:val="21"/>
          <w:szCs w:val="21"/>
          <w:lang w:val="en-US" w:eastAsia="zh-CN"/>
        </w:rPr>
        <w:t>服务</w:t>
      </w:r>
      <w:r>
        <w:rPr>
          <w:rFonts w:hint="eastAsia"/>
          <w:color w:val="auto"/>
          <w:sz w:val="21"/>
          <w:szCs w:val="21"/>
        </w:rPr>
        <w:t>的标准配置表，并在应标商务部分按此标准配置进行报价，如发现二者有矛盾之处，将对评标工作有不同程度的影响。</w:t>
      </w:r>
    </w:p>
    <w:p>
      <w:pPr>
        <w:pageBreakBefore w:val="0"/>
        <w:kinsoku/>
        <w:wordWrap/>
        <w:overflowPunct/>
        <w:topLinePunct w:val="0"/>
        <w:bidi w:val="0"/>
        <w:spacing w:line="360" w:lineRule="auto"/>
        <w:outlineLvl w:val="0"/>
        <w:rPr>
          <w:rFonts w:hint="eastAsia"/>
          <w:color w:val="auto"/>
          <w:sz w:val="21"/>
          <w:szCs w:val="21"/>
        </w:rPr>
      </w:pPr>
      <w:r>
        <w:rPr>
          <w:rFonts w:hint="eastAsia"/>
          <w:color w:val="auto"/>
          <w:sz w:val="21"/>
          <w:szCs w:val="21"/>
        </w:rPr>
        <w:t>1.9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ageBreakBefore w:val="0"/>
        <w:kinsoku/>
        <w:wordWrap/>
        <w:overflowPunct/>
        <w:topLinePunct w:val="0"/>
        <w:bidi w:val="0"/>
        <w:spacing w:line="360" w:lineRule="auto"/>
        <w:outlineLvl w:val="0"/>
        <w:rPr>
          <w:b/>
          <w:color w:val="auto"/>
          <w:sz w:val="21"/>
          <w:szCs w:val="21"/>
        </w:rPr>
      </w:pPr>
      <w:r>
        <w:rPr>
          <w:b/>
          <w:color w:val="auto"/>
          <w:sz w:val="21"/>
          <w:szCs w:val="21"/>
        </w:rPr>
        <w:t>2  工作范围</w:t>
      </w:r>
      <w:bookmarkEnd w:id="8"/>
      <w:bookmarkEnd w:id="9"/>
      <w:bookmarkEnd w:id="10"/>
      <w:bookmarkEnd w:id="11"/>
      <w:bookmarkEnd w:id="12"/>
      <w:bookmarkEnd w:id="13"/>
      <w:bookmarkEnd w:id="14"/>
      <w:bookmarkEnd w:id="15"/>
      <w:bookmarkEnd w:id="16"/>
      <w:bookmarkEnd w:id="17"/>
      <w:bookmarkEnd w:id="18"/>
      <w:bookmarkEnd w:id="19"/>
      <w:bookmarkEnd w:id="20"/>
      <w:bookmarkEnd w:id="21"/>
    </w:p>
    <w:p>
      <w:pPr>
        <w:pageBreakBefore w:val="0"/>
        <w:kinsoku/>
        <w:wordWrap/>
        <w:overflowPunct/>
        <w:topLinePunct w:val="0"/>
        <w:bidi w:val="0"/>
        <w:spacing w:line="360" w:lineRule="auto"/>
        <w:outlineLvl w:val="1"/>
        <w:rPr>
          <w:b/>
          <w:bCs/>
          <w:color w:val="auto"/>
          <w:sz w:val="21"/>
          <w:szCs w:val="21"/>
        </w:rPr>
      </w:pPr>
      <w:bookmarkStart w:id="27" w:name="_Toc2806"/>
      <w:bookmarkStart w:id="28" w:name="_Toc386156371"/>
      <w:bookmarkStart w:id="29" w:name="_Toc22108237"/>
      <w:bookmarkStart w:id="30" w:name="_Toc386042639"/>
      <w:bookmarkStart w:id="31" w:name="_Toc386154253"/>
      <w:bookmarkStart w:id="32" w:name="_Toc10915"/>
      <w:bookmarkStart w:id="33" w:name="_Toc291951553"/>
      <w:bookmarkStart w:id="34" w:name="_Toc386042757"/>
      <w:r>
        <w:rPr>
          <w:b/>
          <w:bCs/>
          <w:color w:val="auto"/>
          <w:sz w:val="21"/>
          <w:szCs w:val="21"/>
        </w:rPr>
        <w:t>2.1  工程概况</w:t>
      </w:r>
      <w:bookmarkEnd w:id="27"/>
      <w:bookmarkEnd w:id="28"/>
      <w:bookmarkEnd w:id="29"/>
      <w:bookmarkEnd w:id="30"/>
      <w:bookmarkEnd w:id="31"/>
      <w:bookmarkEnd w:id="32"/>
      <w:bookmarkEnd w:id="33"/>
      <w:bookmarkEnd w:id="34"/>
    </w:p>
    <w:p>
      <w:pPr>
        <w:pStyle w:val="69"/>
        <w:pageBreakBefore w:val="0"/>
        <w:kinsoku/>
        <w:overflowPunct/>
        <w:topLinePunct w:val="0"/>
        <w:bidi w:val="0"/>
        <w:adjustRightInd w:val="0"/>
        <w:snapToGrid w:val="0"/>
        <w:spacing w:line="360" w:lineRule="auto"/>
        <w:ind w:left="0" w:leftChars="0" w:firstLine="0" w:firstLineChars="0"/>
        <w:rPr>
          <w:rFonts w:eastAsia="宋体" w:cs="Times New Roman"/>
          <w:sz w:val="21"/>
          <w:szCs w:val="21"/>
        </w:rPr>
      </w:pPr>
      <w:r>
        <w:rPr>
          <w:rFonts w:hint="eastAsia" w:eastAsia="宋体" w:cs="Times New Roman"/>
          <w:sz w:val="21"/>
          <w:szCs w:val="21"/>
          <w:lang w:val="en-US" w:eastAsia="zh-CN"/>
        </w:rPr>
        <w:t>2.1.1</w:t>
      </w:r>
      <w:r>
        <w:rPr>
          <w:rFonts w:eastAsia="宋体" w:cs="Times New Roman"/>
          <w:sz w:val="21"/>
          <w:szCs w:val="21"/>
        </w:rPr>
        <w:t>本</w:t>
      </w:r>
      <w:r>
        <w:rPr>
          <w:rFonts w:hint="eastAsia" w:eastAsia="宋体" w:cs="Times New Roman"/>
          <w:sz w:val="21"/>
          <w:szCs w:val="21"/>
        </w:rPr>
        <w:t>规范</w:t>
      </w:r>
      <w:r>
        <w:rPr>
          <w:rFonts w:eastAsia="宋体" w:cs="Times New Roman"/>
          <w:sz w:val="21"/>
          <w:szCs w:val="21"/>
        </w:rPr>
        <w:t>书采购的设备适用的工程概况见表2.1：工程概况一览表。</w:t>
      </w:r>
    </w:p>
    <w:p>
      <w:pPr>
        <w:pStyle w:val="34"/>
        <w:pageBreakBefore w:val="0"/>
        <w:kinsoku/>
        <w:overflowPunct/>
        <w:topLinePunct w:val="0"/>
        <w:bidi w:val="0"/>
        <w:spacing w:line="360" w:lineRule="auto"/>
        <w:ind w:firstLine="0" w:firstLineChars="0"/>
        <w:jc w:val="center"/>
        <w:rPr>
          <w:rFonts w:eastAsia="宋体" w:cs="Times New Roman"/>
          <w:sz w:val="21"/>
          <w:szCs w:val="21"/>
        </w:rPr>
      </w:pPr>
      <w:r>
        <w:rPr>
          <w:rFonts w:ascii="Times New Roman" w:hAnsi="宋体"/>
          <w:sz w:val="21"/>
          <w:szCs w:val="21"/>
        </w:rPr>
        <w:t>表</w:t>
      </w:r>
      <w:r>
        <w:rPr>
          <w:rFonts w:ascii="Times New Roman"/>
          <w:sz w:val="21"/>
          <w:szCs w:val="21"/>
        </w:rPr>
        <w:t xml:space="preserve">2.1  </w:t>
      </w:r>
      <w:r>
        <w:rPr>
          <w:rFonts w:ascii="Times New Roman" w:hAnsi="宋体"/>
          <w:sz w:val="21"/>
          <w:szCs w:val="21"/>
        </w:rPr>
        <w:t>工程概况一览表</w:t>
      </w:r>
      <w:r>
        <w:rPr>
          <w:rFonts w:ascii="Times New Roman"/>
          <w:sz w:val="21"/>
          <w:szCs w:val="21"/>
        </w:rPr>
        <w:t xml:space="preserve"> </w:t>
      </w:r>
      <w:r>
        <w:rPr>
          <w:rFonts w:ascii="Times New Roman" w:hAnsi="宋体"/>
          <w:sz w:val="21"/>
          <w:szCs w:val="21"/>
        </w:rPr>
        <w:t>（项目单位填写）</w:t>
      </w:r>
    </w:p>
    <w:tbl>
      <w:tblPr>
        <w:tblStyle w:val="22"/>
        <w:tblW w:w="8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48"/>
        <w:gridCol w:w="2972"/>
        <w:gridCol w:w="42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shd w:val="clear" w:color="auto" w:fill="auto"/>
            <w:vAlign w:val="center"/>
          </w:tcPr>
          <w:p>
            <w:pPr>
              <w:pageBreakBefore w:val="0"/>
              <w:kinsoku/>
              <w:wordWrap/>
              <w:overflowPunct/>
              <w:topLinePunct w:val="0"/>
              <w:bidi w:val="0"/>
              <w:spacing w:line="360" w:lineRule="auto"/>
              <w:jc w:val="center"/>
              <w:rPr>
                <w:rFonts w:ascii="Times New Roman" w:hAnsi="Times New Roman" w:eastAsia="宋体" w:cs="Times New Roman"/>
                <w:color w:val="auto"/>
                <w:sz w:val="21"/>
                <w:szCs w:val="21"/>
              </w:rPr>
            </w:pPr>
            <w:bookmarkStart w:id="35" w:name="_Toc386042758"/>
            <w:bookmarkStart w:id="36" w:name="_Toc22108238"/>
            <w:bookmarkStart w:id="37" w:name="_Toc20689"/>
            <w:bookmarkStart w:id="38" w:name="_Toc23659"/>
            <w:bookmarkStart w:id="39" w:name="_Toc386042640"/>
            <w:bookmarkStart w:id="40" w:name="_Toc291951554"/>
            <w:bookmarkStart w:id="41" w:name="_Toc386154254"/>
            <w:bookmarkStart w:id="42" w:name="_Toc386156372"/>
            <w:r>
              <w:rPr>
                <w:rFonts w:hint="eastAsia" w:ascii="Times New Roman" w:hAnsi="Times New Roman" w:eastAsia="宋体" w:cs="Times New Roman"/>
                <w:color w:val="auto"/>
                <w:sz w:val="21"/>
                <w:szCs w:val="21"/>
              </w:rPr>
              <w:t>序号</w:t>
            </w:r>
          </w:p>
        </w:tc>
        <w:tc>
          <w:tcPr>
            <w:tcW w:w="2972" w:type="dxa"/>
            <w:shd w:val="clear" w:color="auto" w:fill="auto"/>
            <w:vAlign w:val="center"/>
          </w:tcPr>
          <w:p>
            <w:pPr>
              <w:pageBreakBefore w:val="0"/>
              <w:kinsoku/>
              <w:wordWrap/>
              <w:overflowPunct/>
              <w:topLinePunct w:val="0"/>
              <w:bidi w:val="0"/>
              <w:spacing w:line="360" w:lineRule="auto"/>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名称</w:t>
            </w:r>
          </w:p>
        </w:tc>
        <w:tc>
          <w:tcPr>
            <w:tcW w:w="4257" w:type="dxa"/>
            <w:shd w:val="clear" w:color="auto" w:fill="auto"/>
            <w:vAlign w:val="center"/>
          </w:tcPr>
          <w:p>
            <w:pPr>
              <w:pageBreakBefore w:val="0"/>
              <w:kinsoku/>
              <w:wordWrap/>
              <w:overflowPunct/>
              <w:topLinePunct w:val="0"/>
              <w:bidi w:val="0"/>
              <w:spacing w:line="360" w:lineRule="auto"/>
              <w:ind w:left="101"/>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48" w:type="dxa"/>
            <w:shd w:val="clear" w:color="auto" w:fill="auto"/>
            <w:vAlign w:val="center"/>
          </w:tcPr>
          <w:p>
            <w:pPr>
              <w:pageBreakBefore w:val="0"/>
              <w:kinsoku/>
              <w:wordWrap/>
              <w:overflowPunct/>
              <w:topLinePunct w:val="0"/>
              <w:bidi w:val="0"/>
              <w:spacing w:line="360" w:lineRule="auto"/>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1</w:t>
            </w:r>
          </w:p>
        </w:tc>
        <w:tc>
          <w:tcPr>
            <w:tcW w:w="2972" w:type="dxa"/>
            <w:shd w:val="clear" w:color="auto" w:fill="auto"/>
            <w:vAlign w:val="center"/>
          </w:tcPr>
          <w:p>
            <w:pPr>
              <w:pageBreakBefore w:val="0"/>
              <w:kinsoku/>
              <w:wordWrap/>
              <w:overflowPunct/>
              <w:topLinePunct w:val="0"/>
              <w:bidi w:val="0"/>
              <w:spacing w:line="360" w:lineRule="auto"/>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工程名称</w:t>
            </w:r>
          </w:p>
        </w:tc>
        <w:tc>
          <w:tcPr>
            <w:tcW w:w="4257" w:type="dxa"/>
            <w:shd w:val="clear" w:color="auto" w:fill="auto"/>
            <w:vAlign w:val="center"/>
          </w:tcPr>
          <w:p>
            <w:pPr>
              <w:pageBreakBefore w:val="0"/>
              <w:kinsoku/>
              <w:wordWrap/>
              <w:overflowPunct/>
              <w:topLinePunct w:val="0"/>
              <w:bidi w:val="0"/>
              <w:spacing w:line="360" w:lineRule="auto"/>
              <w:jc w:val="center"/>
              <w:rPr>
                <w:rFonts w:hint="default" w:ascii="Times New Roman" w:hAnsi="Times New Roman" w:eastAsia="宋体" w:cs="Times New Roman"/>
                <w:color w:val="auto"/>
                <w:sz w:val="21"/>
                <w:szCs w:val="21"/>
                <w:lang w:val="en-US"/>
              </w:rPr>
            </w:pPr>
            <w:r>
              <w:rPr>
                <w:rFonts w:hint="eastAsia"/>
                <w:color w:val="auto"/>
                <w:sz w:val="21"/>
                <w:szCs w:val="21"/>
                <w:lang w:val="en-US" w:eastAsia="zh-CN"/>
              </w:rPr>
              <w:t>南宁局2025年透明磁吸有机玻璃板采购项目采购项目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48" w:type="dxa"/>
            <w:shd w:val="clear" w:color="auto" w:fill="auto"/>
            <w:vAlign w:val="center"/>
          </w:tcPr>
          <w:p>
            <w:pPr>
              <w:pageBreakBefore w:val="0"/>
              <w:kinsoku/>
              <w:wordWrap/>
              <w:overflowPunct/>
              <w:topLinePunct w:val="0"/>
              <w:bidi w:val="0"/>
              <w:spacing w:line="360" w:lineRule="auto"/>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2</w:t>
            </w:r>
          </w:p>
        </w:tc>
        <w:tc>
          <w:tcPr>
            <w:tcW w:w="2972" w:type="dxa"/>
            <w:shd w:val="clear" w:color="auto" w:fill="auto"/>
            <w:vAlign w:val="center"/>
          </w:tcPr>
          <w:p>
            <w:pPr>
              <w:pageBreakBefore w:val="0"/>
              <w:kinsoku/>
              <w:wordWrap/>
              <w:overflowPunct/>
              <w:topLinePunct w:val="0"/>
              <w:bidi w:val="0"/>
              <w:spacing w:line="360" w:lineRule="auto"/>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工程建设单位</w:t>
            </w:r>
          </w:p>
        </w:tc>
        <w:tc>
          <w:tcPr>
            <w:tcW w:w="4257" w:type="dxa"/>
            <w:shd w:val="clear" w:color="auto" w:fill="auto"/>
            <w:vAlign w:val="center"/>
          </w:tcPr>
          <w:p>
            <w:pPr>
              <w:pageBreakBefore w:val="0"/>
              <w:kinsoku/>
              <w:wordWrap/>
              <w:overflowPunct/>
              <w:topLinePunct w:val="0"/>
              <w:bidi w:val="0"/>
              <w:spacing w:line="360" w:lineRule="auto"/>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eastAsia="zh-CN"/>
              </w:rPr>
              <w:t>中国南方电网超高压输电公司南宁局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48" w:type="dxa"/>
            <w:shd w:val="clear" w:color="auto" w:fill="auto"/>
            <w:vAlign w:val="center"/>
          </w:tcPr>
          <w:p>
            <w:pPr>
              <w:pageBreakBefore w:val="0"/>
              <w:kinsoku/>
              <w:wordWrap/>
              <w:overflowPunct/>
              <w:topLinePunct w:val="0"/>
              <w:bidi w:val="0"/>
              <w:spacing w:line="36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3</w:t>
            </w:r>
          </w:p>
        </w:tc>
        <w:tc>
          <w:tcPr>
            <w:tcW w:w="2972" w:type="dxa"/>
            <w:shd w:val="clear" w:color="auto" w:fill="auto"/>
            <w:vAlign w:val="center"/>
          </w:tcPr>
          <w:p>
            <w:pPr>
              <w:pageBreakBefore w:val="0"/>
              <w:kinsoku/>
              <w:wordWrap/>
              <w:overflowPunct/>
              <w:topLinePunct w:val="0"/>
              <w:bidi w:val="0"/>
              <w:spacing w:line="36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工程地址</w:t>
            </w:r>
          </w:p>
        </w:tc>
        <w:tc>
          <w:tcPr>
            <w:tcW w:w="4257" w:type="dxa"/>
            <w:shd w:val="clear" w:color="auto" w:fill="auto"/>
            <w:vAlign w:val="center"/>
          </w:tcPr>
          <w:p>
            <w:pPr>
              <w:pageBreakBefore w:val="0"/>
              <w:kinsoku/>
              <w:wordWrap/>
              <w:overflowPunct/>
              <w:topLinePunct w:val="0"/>
              <w:bidi w:val="0"/>
              <w:spacing w:line="360" w:lineRule="auto"/>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500kV平果变电站</w:t>
            </w:r>
          </w:p>
        </w:tc>
      </w:tr>
    </w:tbl>
    <w:p>
      <w:pPr>
        <w:pageBreakBefore w:val="0"/>
        <w:suppressAutoHyphens/>
        <w:kinsoku/>
        <w:wordWrap/>
        <w:overflowPunct/>
        <w:topLinePunct w:val="0"/>
        <w:bidi w:val="0"/>
        <w:spacing w:line="360" w:lineRule="auto"/>
        <w:rPr>
          <w:b/>
          <w:bCs/>
          <w:color w:val="auto"/>
          <w:sz w:val="21"/>
          <w:szCs w:val="21"/>
        </w:rPr>
      </w:pPr>
      <w:r>
        <w:rPr>
          <w:b/>
          <w:bCs/>
          <w:color w:val="auto"/>
          <w:sz w:val="21"/>
          <w:szCs w:val="21"/>
        </w:rPr>
        <w:t xml:space="preserve">2.2  </w:t>
      </w:r>
      <w:bookmarkEnd w:id="35"/>
      <w:bookmarkEnd w:id="36"/>
      <w:bookmarkEnd w:id="37"/>
      <w:bookmarkEnd w:id="38"/>
      <w:bookmarkEnd w:id="39"/>
      <w:bookmarkEnd w:id="40"/>
      <w:bookmarkEnd w:id="41"/>
      <w:bookmarkEnd w:id="42"/>
      <w:r>
        <w:rPr>
          <w:rFonts w:eastAsia="黑体"/>
          <w:b/>
          <w:bCs/>
          <w:sz w:val="21"/>
          <w:szCs w:val="21"/>
        </w:rPr>
        <w:t>范围和界限</w:t>
      </w:r>
    </w:p>
    <w:p>
      <w:pPr>
        <w:pageBreakBefore w:val="0"/>
        <w:suppressAutoHyphens/>
        <w:kinsoku/>
        <w:wordWrap/>
        <w:overflowPunct/>
        <w:topLinePunct w:val="0"/>
        <w:bidi w:val="0"/>
        <w:spacing w:line="360" w:lineRule="auto"/>
        <w:rPr>
          <w:rFonts w:hint="eastAsia"/>
          <w:color w:val="auto"/>
          <w:sz w:val="21"/>
          <w:szCs w:val="21"/>
        </w:rPr>
      </w:pPr>
      <w:r>
        <w:rPr>
          <w:rFonts w:hint="eastAsia"/>
          <w:color w:val="auto"/>
          <w:sz w:val="21"/>
          <w:szCs w:val="21"/>
        </w:rPr>
        <w:t>2.2.1 本</w:t>
      </w:r>
      <w:r>
        <w:rPr>
          <w:rFonts w:hint="eastAsia"/>
          <w:color w:val="auto"/>
          <w:sz w:val="21"/>
          <w:szCs w:val="21"/>
          <w:lang w:eastAsia="zh-CN"/>
        </w:rPr>
        <w:t>技术规范书用</w:t>
      </w:r>
      <w:r>
        <w:rPr>
          <w:rFonts w:hint="eastAsia"/>
          <w:color w:val="auto"/>
          <w:sz w:val="21"/>
          <w:szCs w:val="21"/>
        </w:rPr>
        <w:t>于</w:t>
      </w:r>
      <w:r>
        <w:rPr>
          <w:rFonts w:hint="eastAsia"/>
          <w:color w:val="auto"/>
          <w:sz w:val="21"/>
          <w:szCs w:val="21"/>
          <w:lang w:val="en-US" w:eastAsia="zh-CN"/>
        </w:rPr>
        <w:t>南宁局2025年</w:t>
      </w:r>
      <w:bookmarkStart w:id="43" w:name="OLE_LINK1"/>
      <w:r>
        <w:rPr>
          <w:rFonts w:hint="eastAsia"/>
          <w:color w:val="auto"/>
          <w:sz w:val="21"/>
          <w:szCs w:val="21"/>
          <w:lang w:val="en-US" w:eastAsia="zh-CN"/>
        </w:rPr>
        <w:t>透明磁吸有机玻璃板</w:t>
      </w:r>
      <w:bookmarkEnd w:id="43"/>
      <w:r>
        <w:rPr>
          <w:rFonts w:hint="eastAsia"/>
          <w:color w:val="auto"/>
          <w:sz w:val="21"/>
          <w:szCs w:val="21"/>
          <w:lang w:val="en-US" w:eastAsia="zh-CN"/>
        </w:rPr>
        <w:t>采购项目中透明磁吸有机玻璃板物资采购</w:t>
      </w:r>
      <w:r>
        <w:rPr>
          <w:rFonts w:hint="eastAsia"/>
          <w:color w:val="auto"/>
          <w:sz w:val="21"/>
          <w:szCs w:val="21"/>
        </w:rPr>
        <w:t>工作。</w:t>
      </w:r>
    </w:p>
    <w:p>
      <w:pPr>
        <w:pageBreakBefore w:val="0"/>
        <w:suppressAutoHyphens/>
        <w:kinsoku/>
        <w:wordWrap/>
        <w:overflowPunct/>
        <w:topLinePunct w:val="0"/>
        <w:bidi w:val="0"/>
        <w:spacing w:line="360" w:lineRule="auto"/>
        <w:rPr>
          <w:rFonts w:hint="eastAsia"/>
          <w:color w:val="auto"/>
          <w:sz w:val="21"/>
          <w:szCs w:val="21"/>
        </w:rPr>
      </w:pPr>
    </w:p>
    <w:p>
      <w:pPr>
        <w:pageBreakBefore w:val="0"/>
        <w:suppressAutoHyphens/>
        <w:kinsoku/>
        <w:wordWrap/>
        <w:overflowPunct/>
        <w:topLinePunct w:val="0"/>
        <w:bidi w:val="0"/>
        <w:spacing w:line="360" w:lineRule="auto"/>
        <w:rPr>
          <w:color w:val="auto"/>
          <w:sz w:val="21"/>
          <w:szCs w:val="21"/>
        </w:rPr>
      </w:pPr>
      <w:r>
        <w:rPr>
          <w:rFonts w:hint="eastAsia"/>
          <w:color w:val="auto"/>
          <w:sz w:val="21"/>
          <w:szCs w:val="21"/>
        </w:rPr>
        <w:t>2.2.</w:t>
      </w:r>
      <w:r>
        <w:rPr>
          <w:rFonts w:hint="eastAsia"/>
          <w:color w:val="auto"/>
          <w:sz w:val="21"/>
          <w:szCs w:val="21"/>
          <w:lang w:val="en-US" w:eastAsia="zh-CN"/>
        </w:rPr>
        <w:t>2</w:t>
      </w:r>
      <w:r>
        <w:rPr>
          <w:rFonts w:hint="eastAsia"/>
          <w:color w:val="auto"/>
          <w:sz w:val="21"/>
          <w:szCs w:val="21"/>
        </w:rPr>
        <w:t>本</w:t>
      </w:r>
      <w:r>
        <w:rPr>
          <w:rFonts w:hint="eastAsia"/>
          <w:color w:val="auto"/>
          <w:sz w:val="21"/>
          <w:szCs w:val="21"/>
          <w:lang w:eastAsia="zh-CN"/>
        </w:rPr>
        <w:t>技术</w:t>
      </w:r>
      <w:r>
        <w:rPr>
          <w:rFonts w:hint="eastAsia"/>
          <w:color w:val="auto"/>
          <w:sz w:val="21"/>
          <w:szCs w:val="21"/>
        </w:rPr>
        <w:t>规范书未说明，但又与</w:t>
      </w:r>
      <w:r>
        <w:rPr>
          <w:rFonts w:hint="eastAsia"/>
          <w:color w:val="auto"/>
          <w:sz w:val="21"/>
          <w:szCs w:val="21"/>
          <w:lang w:val="en-US" w:eastAsia="zh-CN"/>
        </w:rPr>
        <w:t>物资采购、物资生产</w:t>
      </w:r>
      <w:r>
        <w:rPr>
          <w:rFonts w:hint="eastAsia"/>
          <w:color w:val="auto"/>
          <w:sz w:val="21"/>
          <w:szCs w:val="21"/>
        </w:rPr>
        <w:t>有关的技术要求，按条款3所规定的有关标准执行。</w:t>
      </w:r>
    </w:p>
    <w:p>
      <w:pPr>
        <w:pageBreakBefore w:val="0"/>
        <w:kinsoku/>
        <w:wordWrap/>
        <w:overflowPunct/>
        <w:topLinePunct w:val="0"/>
        <w:bidi w:val="0"/>
        <w:spacing w:line="360" w:lineRule="auto"/>
        <w:outlineLvl w:val="1"/>
        <w:rPr>
          <w:b/>
          <w:bCs/>
          <w:color w:val="auto"/>
          <w:sz w:val="21"/>
          <w:szCs w:val="21"/>
        </w:rPr>
      </w:pPr>
      <w:bookmarkStart w:id="44" w:name="_Toc4637"/>
      <w:bookmarkStart w:id="45" w:name="_Toc386042641"/>
      <w:bookmarkStart w:id="46" w:name="_Toc291951555"/>
      <w:bookmarkStart w:id="47" w:name="_Toc386042759"/>
      <w:bookmarkStart w:id="48" w:name="_Toc22108239"/>
      <w:bookmarkStart w:id="49" w:name="_Toc386156373"/>
      <w:bookmarkStart w:id="50" w:name="_Toc386154255"/>
      <w:bookmarkStart w:id="51" w:name="_Toc25547"/>
      <w:r>
        <w:rPr>
          <w:b/>
          <w:bCs/>
          <w:color w:val="auto"/>
          <w:sz w:val="21"/>
          <w:szCs w:val="21"/>
        </w:rPr>
        <w:t>2.3  服务范围</w:t>
      </w:r>
      <w:bookmarkEnd w:id="44"/>
      <w:bookmarkEnd w:id="45"/>
      <w:bookmarkEnd w:id="46"/>
      <w:bookmarkEnd w:id="47"/>
      <w:bookmarkEnd w:id="48"/>
      <w:bookmarkEnd w:id="49"/>
      <w:bookmarkEnd w:id="50"/>
      <w:bookmarkEnd w:id="51"/>
    </w:p>
    <w:p>
      <w:pPr>
        <w:pStyle w:val="13"/>
        <w:pageBreakBefore w:val="0"/>
        <w:suppressAutoHyphens/>
        <w:kinsoku/>
        <w:wordWrap/>
        <w:overflowPunct/>
        <w:topLinePunct w:val="0"/>
        <w:bidi w:val="0"/>
        <w:spacing w:line="360" w:lineRule="auto"/>
        <w:rPr>
          <w:rFonts w:hint="eastAsia"/>
          <w:color w:val="auto"/>
          <w:sz w:val="21"/>
          <w:szCs w:val="21"/>
          <w:lang w:val="en-US" w:eastAsia="zh-CN"/>
        </w:rPr>
      </w:pPr>
      <w:r>
        <w:rPr>
          <w:rFonts w:hint="default" w:ascii="Times New Roman" w:hAnsi="Times New Roman" w:cs="Times New Roman"/>
          <w:color w:val="auto"/>
          <w:sz w:val="21"/>
          <w:szCs w:val="21"/>
        </w:rPr>
        <w:t>2.3.1</w:t>
      </w:r>
      <w:bookmarkStart w:id="52" w:name="OLE_LINK2"/>
      <w:r>
        <w:rPr>
          <w:rFonts w:hint="eastAsia"/>
          <w:color w:val="auto"/>
          <w:sz w:val="21"/>
          <w:szCs w:val="21"/>
        </w:rPr>
        <w:t>投标方</w:t>
      </w:r>
      <w:bookmarkEnd w:id="52"/>
      <w:r>
        <w:rPr>
          <w:rFonts w:hint="eastAsia"/>
          <w:color w:val="auto"/>
          <w:sz w:val="21"/>
          <w:szCs w:val="21"/>
        </w:rPr>
        <w:t>应按本标书的要求提供</w:t>
      </w:r>
      <w:r>
        <w:rPr>
          <w:rFonts w:hint="eastAsia"/>
          <w:color w:val="auto"/>
          <w:sz w:val="21"/>
          <w:szCs w:val="21"/>
          <w:lang w:val="en-US" w:eastAsia="zh-CN"/>
        </w:rPr>
        <w:t>匹配于现场设备的透明磁吸有机玻璃板。投标方所提供的组件或附件如需向第三方外购时，投标方应对质量向招标方负责，并提供相应出厂和验收证明。</w:t>
      </w:r>
    </w:p>
    <w:p>
      <w:pPr>
        <w:pStyle w:val="13"/>
        <w:pageBreakBefore w:val="0"/>
        <w:suppressAutoHyphens/>
        <w:kinsoku/>
        <w:wordWrap/>
        <w:overflowPunct/>
        <w:topLinePunct w:val="0"/>
        <w:bidi w:val="0"/>
        <w:spacing w:line="360" w:lineRule="auto"/>
        <w:rPr>
          <w:rFonts w:hint="eastAsia"/>
          <w:color w:val="auto"/>
          <w:sz w:val="21"/>
          <w:szCs w:val="21"/>
        </w:rPr>
      </w:pPr>
      <w:r>
        <w:rPr>
          <w:rFonts w:hint="default" w:ascii="Times New Roman" w:hAnsi="Times New Roman" w:cs="Times New Roman"/>
          <w:color w:val="auto"/>
          <w:sz w:val="21"/>
          <w:szCs w:val="21"/>
        </w:rPr>
        <w:t>2.3.2</w:t>
      </w:r>
      <w:r>
        <w:rPr>
          <w:rFonts w:hint="eastAsia"/>
          <w:color w:val="auto"/>
          <w:sz w:val="21"/>
          <w:szCs w:val="21"/>
        </w:rPr>
        <w:t>供货范围一览表</w:t>
      </w:r>
    </w:p>
    <w:p>
      <w:pPr>
        <w:pStyle w:val="13"/>
        <w:pageBreakBefore w:val="0"/>
        <w:suppressAutoHyphens/>
        <w:kinsoku/>
        <w:wordWrap/>
        <w:overflowPunct/>
        <w:topLinePunct w:val="0"/>
        <w:bidi w:val="0"/>
        <w:spacing w:line="360" w:lineRule="auto"/>
        <w:ind w:left="0" w:leftChars="0" w:firstLine="420" w:firstLineChars="200"/>
        <w:rPr>
          <w:rFonts w:ascii="Times New Roman" w:hAnsi="Times New Roman"/>
          <w:color w:val="auto"/>
          <w:sz w:val="21"/>
          <w:szCs w:val="21"/>
        </w:rPr>
      </w:pPr>
      <w:r>
        <w:rPr>
          <w:rFonts w:hint="eastAsia" w:ascii="Times New Roman" w:hAnsi="Times New Roman"/>
          <w:color w:val="auto"/>
          <w:sz w:val="21"/>
          <w:szCs w:val="21"/>
          <w:lang w:val="en-US" w:eastAsia="zh-CN"/>
        </w:rPr>
        <w:t>见表2.3</w:t>
      </w:r>
      <w:r>
        <w:rPr>
          <w:rFonts w:ascii="Times New Roman" w:hAnsi="Times New Roman"/>
          <w:color w:val="auto"/>
          <w:sz w:val="21"/>
          <w:szCs w:val="21"/>
        </w:rPr>
        <w:t>供货范围及设备技术规格一览表。</w:t>
      </w:r>
    </w:p>
    <w:p>
      <w:pPr>
        <w:pStyle w:val="13"/>
        <w:suppressAutoHyphens/>
        <w:wordWrap/>
        <w:spacing w:line="360" w:lineRule="auto"/>
        <w:ind w:left="0" w:leftChars="0" w:firstLine="420" w:firstLineChars="200"/>
        <w:jc w:val="center"/>
        <w:rPr>
          <w:rFonts w:ascii="Times New Roman" w:hAnsi="Times New Roman"/>
          <w:color w:val="auto"/>
          <w:sz w:val="21"/>
          <w:szCs w:val="21"/>
        </w:rPr>
      </w:pPr>
      <w:r>
        <w:rPr>
          <w:rFonts w:ascii="Times New Roman" w:hAnsi="宋体"/>
          <w:sz w:val="21"/>
          <w:szCs w:val="21"/>
        </w:rPr>
        <w:t>表</w:t>
      </w:r>
      <w:r>
        <w:rPr>
          <w:rFonts w:ascii="Times New Roman"/>
          <w:sz w:val="21"/>
          <w:szCs w:val="21"/>
        </w:rPr>
        <w:t>2.</w:t>
      </w:r>
      <w:r>
        <w:rPr>
          <w:rFonts w:hint="eastAsia" w:ascii="Times New Roman"/>
          <w:sz w:val="21"/>
          <w:szCs w:val="21"/>
          <w:lang w:val="en-US" w:eastAsia="zh-CN"/>
        </w:rPr>
        <w:t>3</w:t>
      </w:r>
      <w:r>
        <w:rPr>
          <w:rFonts w:ascii="Times New Roman"/>
          <w:sz w:val="21"/>
          <w:szCs w:val="21"/>
        </w:rPr>
        <w:t xml:space="preserve">  </w:t>
      </w:r>
      <w:r>
        <w:rPr>
          <w:rFonts w:ascii="Times New Roman" w:hAnsi="Times New Roman"/>
          <w:color w:val="auto"/>
          <w:sz w:val="21"/>
          <w:szCs w:val="21"/>
        </w:rPr>
        <w:t>供货范围及设备技术规格一览表。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79"/>
        <w:gridCol w:w="1154"/>
        <w:gridCol w:w="694"/>
        <w:gridCol w:w="1809"/>
        <w:gridCol w:w="1290"/>
        <w:gridCol w:w="1550"/>
        <w:gridCol w:w="1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blHeader/>
          <w:jc w:val="center"/>
        </w:trPr>
        <w:tc>
          <w:tcPr>
            <w:tcW w:w="379" w:type="dxa"/>
            <w:noWrap w:val="0"/>
            <w:vAlign w:val="center"/>
          </w:tcPr>
          <w:p>
            <w:pPr>
              <w:pageBreakBefore w:val="0"/>
              <w:kinsoku/>
              <w:wordWrap/>
              <w:overflowPunct/>
              <w:topLinePunct w:val="0"/>
              <w:bidi w:val="0"/>
              <w:spacing w:before="120" w:beforeLines="50" w:after="120" w:afterLines="50" w:line="360" w:lineRule="auto"/>
              <w:jc w:val="center"/>
              <w:rPr>
                <w:rFonts w:hint="eastAsia"/>
                <w:color w:val="auto"/>
                <w:sz w:val="21"/>
                <w:szCs w:val="21"/>
                <w:lang w:eastAsia="zh-CN"/>
              </w:rPr>
            </w:pPr>
            <w:r>
              <w:rPr>
                <w:color w:val="auto"/>
                <w:sz w:val="21"/>
                <w:szCs w:val="21"/>
              </w:rPr>
              <w:t>序</w:t>
            </w:r>
          </w:p>
          <w:p>
            <w:pPr>
              <w:pageBreakBefore w:val="0"/>
              <w:kinsoku/>
              <w:wordWrap/>
              <w:overflowPunct/>
              <w:topLinePunct w:val="0"/>
              <w:bidi w:val="0"/>
              <w:spacing w:before="120" w:beforeLines="50" w:after="120" w:afterLines="50" w:line="360" w:lineRule="auto"/>
              <w:jc w:val="center"/>
              <w:rPr>
                <w:color w:val="auto"/>
                <w:sz w:val="21"/>
                <w:szCs w:val="21"/>
              </w:rPr>
            </w:pPr>
            <w:r>
              <w:rPr>
                <w:color w:val="auto"/>
                <w:sz w:val="21"/>
                <w:szCs w:val="21"/>
              </w:rPr>
              <w:t>号</w:t>
            </w:r>
          </w:p>
        </w:tc>
        <w:tc>
          <w:tcPr>
            <w:tcW w:w="1154" w:type="dxa"/>
            <w:noWrap w:val="0"/>
            <w:vAlign w:val="center"/>
          </w:tcPr>
          <w:p>
            <w:pPr>
              <w:pageBreakBefore w:val="0"/>
              <w:kinsoku/>
              <w:wordWrap/>
              <w:overflowPunct/>
              <w:topLinePunct w:val="0"/>
              <w:bidi w:val="0"/>
              <w:spacing w:before="120" w:beforeLines="50" w:after="120" w:afterLines="50" w:line="360" w:lineRule="auto"/>
              <w:jc w:val="center"/>
              <w:rPr>
                <w:color w:val="auto"/>
                <w:sz w:val="21"/>
                <w:szCs w:val="21"/>
              </w:rPr>
            </w:pPr>
            <w:r>
              <w:rPr>
                <w:color w:val="auto"/>
                <w:sz w:val="21"/>
                <w:szCs w:val="21"/>
              </w:rPr>
              <w:t>名</w:t>
            </w:r>
            <w:r>
              <w:rPr>
                <w:rFonts w:hint="eastAsia"/>
                <w:color w:val="auto"/>
                <w:sz w:val="21"/>
                <w:szCs w:val="21"/>
                <w:lang w:eastAsia="zh-CN"/>
              </w:rPr>
              <w:t xml:space="preserve">  </w:t>
            </w:r>
            <w:r>
              <w:rPr>
                <w:color w:val="auto"/>
                <w:sz w:val="21"/>
                <w:szCs w:val="21"/>
              </w:rPr>
              <w:t>称</w:t>
            </w:r>
          </w:p>
        </w:tc>
        <w:tc>
          <w:tcPr>
            <w:tcW w:w="694" w:type="dxa"/>
            <w:noWrap w:val="0"/>
            <w:vAlign w:val="center"/>
          </w:tcPr>
          <w:p>
            <w:pPr>
              <w:pageBreakBefore w:val="0"/>
              <w:kinsoku/>
              <w:wordWrap/>
              <w:overflowPunct/>
              <w:topLinePunct w:val="0"/>
              <w:bidi w:val="0"/>
              <w:spacing w:before="120" w:beforeLines="50" w:after="120" w:afterLines="50" w:line="360" w:lineRule="auto"/>
              <w:jc w:val="center"/>
              <w:rPr>
                <w:color w:val="auto"/>
                <w:sz w:val="21"/>
                <w:szCs w:val="21"/>
              </w:rPr>
            </w:pPr>
            <w:r>
              <w:rPr>
                <w:color w:val="auto"/>
                <w:sz w:val="21"/>
                <w:szCs w:val="21"/>
              </w:rPr>
              <w:t>单位</w:t>
            </w:r>
          </w:p>
        </w:tc>
        <w:tc>
          <w:tcPr>
            <w:tcW w:w="1809" w:type="dxa"/>
            <w:noWrap w:val="0"/>
            <w:vAlign w:val="center"/>
          </w:tcPr>
          <w:p>
            <w:pPr>
              <w:pageBreakBefore w:val="0"/>
              <w:kinsoku/>
              <w:wordWrap/>
              <w:overflowPunct/>
              <w:topLinePunct w:val="0"/>
              <w:bidi w:val="0"/>
              <w:spacing w:before="120" w:beforeLines="50" w:after="120" w:afterLines="50" w:line="360" w:lineRule="auto"/>
              <w:jc w:val="center"/>
              <w:rPr>
                <w:rFonts w:hint="eastAsia"/>
                <w:color w:val="auto"/>
                <w:sz w:val="21"/>
                <w:szCs w:val="21"/>
                <w:lang w:eastAsia="zh-CN"/>
              </w:rPr>
            </w:pPr>
            <w:r>
              <w:rPr>
                <w:color w:val="auto"/>
                <w:sz w:val="21"/>
                <w:szCs w:val="21"/>
              </w:rPr>
              <w:t>项目要求</w:t>
            </w:r>
          </w:p>
          <w:p>
            <w:pPr>
              <w:pageBreakBefore w:val="0"/>
              <w:kinsoku/>
              <w:wordWrap/>
              <w:overflowPunct/>
              <w:topLinePunct w:val="0"/>
              <w:bidi w:val="0"/>
              <w:spacing w:before="120" w:beforeLines="50" w:after="120" w:afterLines="50" w:line="360" w:lineRule="auto"/>
              <w:jc w:val="center"/>
              <w:rPr>
                <w:color w:val="auto"/>
                <w:sz w:val="21"/>
                <w:szCs w:val="21"/>
              </w:rPr>
            </w:pPr>
            <w:r>
              <w:rPr>
                <w:color w:val="auto"/>
                <w:sz w:val="21"/>
                <w:szCs w:val="21"/>
              </w:rPr>
              <w:t>型式、规格</w:t>
            </w:r>
          </w:p>
        </w:tc>
        <w:tc>
          <w:tcPr>
            <w:tcW w:w="1290" w:type="dxa"/>
            <w:noWrap w:val="0"/>
            <w:vAlign w:val="center"/>
          </w:tcPr>
          <w:p>
            <w:pPr>
              <w:pageBreakBefore w:val="0"/>
              <w:kinsoku/>
              <w:wordWrap/>
              <w:overflowPunct/>
              <w:topLinePunct w:val="0"/>
              <w:bidi w:val="0"/>
              <w:spacing w:before="120" w:beforeLines="50" w:after="120" w:afterLines="50" w:line="360" w:lineRule="auto"/>
              <w:jc w:val="center"/>
              <w:rPr>
                <w:color w:val="auto"/>
                <w:sz w:val="21"/>
                <w:szCs w:val="21"/>
              </w:rPr>
            </w:pPr>
            <w:r>
              <w:rPr>
                <w:color w:val="auto"/>
                <w:sz w:val="21"/>
                <w:szCs w:val="21"/>
              </w:rPr>
              <w:t>项目要求数量</w:t>
            </w:r>
          </w:p>
        </w:tc>
        <w:tc>
          <w:tcPr>
            <w:tcW w:w="1550" w:type="dxa"/>
            <w:noWrap w:val="0"/>
            <w:vAlign w:val="center"/>
          </w:tcPr>
          <w:p>
            <w:pPr>
              <w:pageBreakBefore w:val="0"/>
              <w:kinsoku/>
              <w:wordWrap/>
              <w:overflowPunct/>
              <w:topLinePunct w:val="0"/>
              <w:bidi w:val="0"/>
              <w:spacing w:before="120" w:beforeLines="50" w:after="120" w:afterLines="50" w:line="360" w:lineRule="auto"/>
              <w:jc w:val="center"/>
              <w:rPr>
                <w:rFonts w:hint="eastAsia"/>
                <w:color w:val="auto"/>
                <w:sz w:val="21"/>
                <w:szCs w:val="21"/>
                <w:lang w:eastAsia="zh-CN"/>
              </w:rPr>
            </w:pPr>
            <w:r>
              <w:rPr>
                <w:color w:val="auto"/>
                <w:sz w:val="21"/>
                <w:szCs w:val="21"/>
              </w:rPr>
              <w:t>投标方保证</w:t>
            </w:r>
          </w:p>
          <w:p>
            <w:pPr>
              <w:pageBreakBefore w:val="0"/>
              <w:kinsoku/>
              <w:wordWrap/>
              <w:overflowPunct/>
              <w:topLinePunct w:val="0"/>
              <w:bidi w:val="0"/>
              <w:spacing w:before="120" w:beforeLines="50" w:after="120" w:afterLines="50" w:line="360" w:lineRule="auto"/>
              <w:jc w:val="center"/>
              <w:rPr>
                <w:color w:val="auto"/>
                <w:sz w:val="21"/>
                <w:szCs w:val="21"/>
              </w:rPr>
            </w:pPr>
            <w:r>
              <w:rPr>
                <w:color w:val="auto"/>
                <w:sz w:val="21"/>
                <w:szCs w:val="21"/>
              </w:rPr>
              <w:t>型式、规格</w:t>
            </w:r>
          </w:p>
        </w:tc>
        <w:tc>
          <w:tcPr>
            <w:tcW w:w="1550" w:type="dxa"/>
            <w:noWrap w:val="0"/>
            <w:vAlign w:val="center"/>
          </w:tcPr>
          <w:p>
            <w:pPr>
              <w:pageBreakBefore w:val="0"/>
              <w:kinsoku/>
              <w:wordWrap/>
              <w:overflowPunct/>
              <w:topLinePunct w:val="0"/>
              <w:bidi w:val="0"/>
              <w:spacing w:before="120" w:beforeLines="50" w:after="120" w:afterLines="50" w:line="360" w:lineRule="auto"/>
              <w:jc w:val="center"/>
              <w:rPr>
                <w:rFonts w:hint="eastAsia"/>
                <w:color w:val="auto"/>
                <w:sz w:val="21"/>
                <w:szCs w:val="21"/>
                <w:lang w:eastAsia="zh-CN"/>
              </w:rPr>
            </w:pPr>
            <w:r>
              <w:rPr>
                <w:color w:val="auto"/>
                <w:sz w:val="21"/>
                <w:szCs w:val="21"/>
              </w:rPr>
              <w:t>投标方保证</w:t>
            </w:r>
          </w:p>
          <w:p>
            <w:pPr>
              <w:pageBreakBefore w:val="0"/>
              <w:kinsoku/>
              <w:wordWrap/>
              <w:overflowPunct/>
              <w:topLinePunct w:val="0"/>
              <w:bidi w:val="0"/>
              <w:spacing w:before="120" w:beforeLines="50" w:after="120" w:afterLines="50" w:line="360" w:lineRule="auto"/>
              <w:jc w:val="center"/>
              <w:rPr>
                <w:color w:val="auto"/>
                <w:sz w:val="21"/>
                <w:szCs w:val="21"/>
              </w:rPr>
            </w:pPr>
            <w:r>
              <w:rPr>
                <w:color w:val="auto"/>
                <w:sz w:val="21"/>
                <w:szCs w:val="21"/>
              </w:rPr>
              <w:t>数</w:t>
            </w:r>
            <w:r>
              <w:rPr>
                <w:rFonts w:hint="eastAsia"/>
                <w:color w:val="auto"/>
                <w:sz w:val="21"/>
                <w:szCs w:val="21"/>
                <w:lang w:eastAsia="zh-CN"/>
              </w:rPr>
              <w:t xml:space="preserve">    </w:t>
            </w:r>
            <w:r>
              <w:rPr>
                <w:color w:val="auto"/>
                <w:sz w:val="21"/>
                <w:szCs w:val="21"/>
              </w:rPr>
              <w:t>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379" w:type="dxa"/>
            <w:noWrap w:val="0"/>
            <w:vAlign w:val="center"/>
          </w:tcPr>
          <w:p>
            <w:pPr>
              <w:pageBreakBefore w:val="0"/>
              <w:kinsoku/>
              <w:wordWrap/>
              <w:overflowPunct/>
              <w:topLinePunct w:val="0"/>
              <w:bidi w:val="0"/>
              <w:spacing w:before="120" w:beforeLines="50" w:after="120" w:afterLines="50" w:line="360" w:lineRule="auto"/>
              <w:jc w:val="center"/>
              <w:rPr>
                <w:rFonts w:hint="eastAsia" w:eastAsia="宋体"/>
                <w:color w:val="auto"/>
                <w:sz w:val="21"/>
                <w:szCs w:val="21"/>
                <w:lang w:val="en-US" w:eastAsia="zh-CN"/>
              </w:rPr>
            </w:pPr>
            <w:r>
              <w:rPr>
                <w:rFonts w:hint="eastAsia"/>
                <w:color w:val="auto"/>
                <w:sz w:val="21"/>
                <w:szCs w:val="21"/>
                <w:lang w:val="en-US" w:eastAsia="zh-CN"/>
              </w:rPr>
              <w:t>1</w:t>
            </w:r>
          </w:p>
        </w:tc>
        <w:tc>
          <w:tcPr>
            <w:tcW w:w="1154" w:type="dxa"/>
            <w:noWrap w:val="0"/>
            <w:vAlign w:val="center"/>
          </w:tcPr>
          <w:p>
            <w:pPr>
              <w:spacing w:before="130" w:line="229" w:lineRule="auto"/>
              <w:jc w:val="center"/>
              <w:rPr>
                <w:rFonts w:hint="default" w:eastAsia="宋体"/>
                <w:color w:val="auto"/>
                <w:sz w:val="21"/>
                <w:szCs w:val="21"/>
                <w:lang w:val="en-US" w:eastAsia="zh-CN"/>
              </w:rPr>
            </w:pPr>
            <w:r>
              <w:rPr>
                <w:rFonts w:hint="eastAsia"/>
                <w:color w:val="auto"/>
                <w:sz w:val="21"/>
                <w:szCs w:val="21"/>
                <w:lang w:val="en-US" w:eastAsia="zh-CN"/>
              </w:rPr>
              <w:t>透明磁吸</w:t>
            </w:r>
            <w:bookmarkStart w:id="53" w:name="OLE_LINK8"/>
            <w:r>
              <w:rPr>
                <w:rFonts w:hint="eastAsia"/>
                <w:color w:val="auto"/>
                <w:sz w:val="21"/>
                <w:szCs w:val="21"/>
                <w:lang w:val="en-US" w:eastAsia="zh-CN"/>
              </w:rPr>
              <w:t>有机玻璃</w:t>
            </w:r>
            <w:bookmarkEnd w:id="53"/>
            <w:r>
              <w:rPr>
                <w:rFonts w:hint="eastAsia"/>
                <w:color w:val="auto"/>
                <w:sz w:val="21"/>
                <w:szCs w:val="21"/>
                <w:lang w:val="en-US" w:eastAsia="zh-CN"/>
              </w:rPr>
              <w:t>板</w:t>
            </w:r>
          </w:p>
        </w:tc>
        <w:tc>
          <w:tcPr>
            <w:tcW w:w="694" w:type="dxa"/>
            <w:noWrap w:val="0"/>
            <w:vAlign w:val="center"/>
          </w:tcPr>
          <w:p>
            <w:pPr>
              <w:pageBreakBefore w:val="0"/>
              <w:kinsoku/>
              <w:wordWrap/>
              <w:overflowPunct/>
              <w:topLinePunct w:val="0"/>
              <w:bidi w:val="0"/>
              <w:spacing w:before="120" w:beforeLines="50" w:after="120" w:afterLines="50" w:line="360" w:lineRule="auto"/>
              <w:jc w:val="center"/>
              <w:rPr>
                <w:rFonts w:hint="default" w:eastAsia="宋体"/>
                <w:color w:val="auto"/>
                <w:sz w:val="21"/>
                <w:szCs w:val="21"/>
                <w:lang w:val="en-US" w:eastAsia="zh-CN"/>
              </w:rPr>
            </w:pPr>
            <w:r>
              <w:rPr>
                <w:rFonts w:hint="eastAsia"/>
                <w:color w:val="auto"/>
                <w:sz w:val="21"/>
                <w:szCs w:val="21"/>
                <w:lang w:val="en-US" w:eastAsia="zh-CN"/>
              </w:rPr>
              <w:t>平方米</w:t>
            </w:r>
          </w:p>
        </w:tc>
        <w:tc>
          <w:tcPr>
            <w:tcW w:w="1809" w:type="dxa"/>
            <w:noWrap w:val="0"/>
            <w:vAlign w:val="center"/>
          </w:tcPr>
          <w:p>
            <w:pPr>
              <w:pStyle w:val="13"/>
              <w:keepNext w:val="0"/>
              <w:keepLines w:val="0"/>
              <w:pageBreakBefore w:val="0"/>
              <w:widowControl w:val="0"/>
              <w:suppressAutoHyphens/>
              <w:kinsoku/>
              <w:wordWrap/>
              <w:overflowPunct/>
              <w:topLinePunct w:val="0"/>
              <w:autoSpaceDE/>
              <w:autoSpaceDN/>
              <w:bidi w:val="0"/>
              <w:adjustRightInd w:val="0"/>
              <w:snapToGrid/>
              <w:spacing w:line="240" w:lineRule="auto"/>
              <w:jc w:val="left"/>
              <w:textAlignment w:val="baseline"/>
              <w:rPr>
                <w:rFonts w:hint="default" w:ascii="宋体" w:hAnsi="宋体" w:eastAsia="宋体" w:cs="宋体"/>
                <w:sz w:val="21"/>
                <w:szCs w:val="21"/>
                <w:lang w:val="en-US" w:eastAsia="zh-CN"/>
              </w:rPr>
            </w:pPr>
            <w:bookmarkStart w:id="54" w:name="OLE_LINK4"/>
            <w:bookmarkStart w:id="55" w:name="OLE_LINK5"/>
            <w:r>
              <w:rPr>
                <w:rFonts w:hint="eastAsia" w:hAnsi="宋体" w:cs="宋体"/>
                <w:sz w:val="21"/>
                <w:szCs w:val="21"/>
                <w:lang w:val="en-US" w:eastAsia="zh-CN"/>
              </w:rPr>
              <w:t>1000*1000mm，</w:t>
            </w:r>
            <w:bookmarkEnd w:id="54"/>
            <w:r>
              <w:rPr>
                <w:rFonts w:hint="eastAsia" w:hAnsi="宋体" w:cs="宋体"/>
                <w:sz w:val="21"/>
                <w:szCs w:val="21"/>
                <w:lang w:val="en-US" w:eastAsia="zh-CN"/>
              </w:rPr>
              <w:t>厚度5mm，</w:t>
            </w:r>
            <w:bookmarkEnd w:id="55"/>
            <w:r>
              <w:rPr>
                <w:rFonts w:hint="eastAsia" w:hAnsi="宋体" w:cs="宋体"/>
                <w:sz w:val="21"/>
                <w:szCs w:val="21"/>
                <w:lang w:val="en-US" w:eastAsia="zh-CN"/>
              </w:rPr>
              <w:t>有磁吸功能，透明，适用安装于平果站低压配电屏柜后门；投标方包现场安装和调试，安装的有机玻璃板需满足现场安全使用要求。</w:t>
            </w:r>
          </w:p>
        </w:tc>
        <w:tc>
          <w:tcPr>
            <w:tcW w:w="1290" w:type="dxa"/>
            <w:noWrap w:val="0"/>
            <w:vAlign w:val="center"/>
          </w:tcPr>
          <w:p>
            <w:pPr>
              <w:pageBreakBefore w:val="0"/>
              <w:kinsoku/>
              <w:wordWrap/>
              <w:overflowPunct/>
              <w:topLinePunct w:val="0"/>
              <w:bidi w:val="0"/>
              <w:spacing w:before="120" w:beforeLines="50" w:after="120" w:afterLines="50" w:line="360" w:lineRule="auto"/>
              <w:jc w:val="center"/>
              <w:rPr>
                <w:rFonts w:hint="default" w:eastAsia="宋体"/>
                <w:color w:val="auto"/>
                <w:sz w:val="21"/>
                <w:szCs w:val="21"/>
                <w:lang w:val="en-US" w:eastAsia="zh-CN"/>
              </w:rPr>
            </w:pPr>
            <w:r>
              <w:rPr>
                <w:rFonts w:hint="eastAsia"/>
                <w:color w:val="auto"/>
                <w:sz w:val="21"/>
                <w:szCs w:val="21"/>
                <w:lang w:val="en-US" w:eastAsia="zh-CN"/>
              </w:rPr>
              <w:t>32</w:t>
            </w:r>
          </w:p>
        </w:tc>
        <w:tc>
          <w:tcPr>
            <w:tcW w:w="1550" w:type="dxa"/>
            <w:noWrap w:val="0"/>
            <w:vAlign w:val="center"/>
          </w:tcPr>
          <w:p>
            <w:pPr>
              <w:pageBreakBefore w:val="0"/>
              <w:kinsoku/>
              <w:wordWrap/>
              <w:overflowPunct/>
              <w:topLinePunct w:val="0"/>
              <w:bidi w:val="0"/>
              <w:spacing w:before="120" w:beforeLines="50" w:after="120" w:afterLines="50" w:line="360" w:lineRule="auto"/>
              <w:jc w:val="center"/>
              <w:rPr>
                <w:color w:val="auto"/>
                <w:sz w:val="21"/>
                <w:szCs w:val="21"/>
              </w:rPr>
            </w:pPr>
          </w:p>
        </w:tc>
        <w:tc>
          <w:tcPr>
            <w:tcW w:w="1550" w:type="dxa"/>
            <w:noWrap w:val="0"/>
            <w:vAlign w:val="center"/>
          </w:tcPr>
          <w:p>
            <w:pPr>
              <w:pageBreakBefore w:val="0"/>
              <w:kinsoku/>
              <w:wordWrap/>
              <w:overflowPunct/>
              <w:topLinePunct w:val="0"/>
              <w:bidi w:val="0"/>
              <w:spacing w:before="120" w:beforeLines="50" w:after="120" w:afterLines="50" w:line="360" w:lineRule="auto"/>
              <w:jc w:val="center"/>
              <w:rPr>
                <w:color w:val="auto"/>
                <w:sz w:val="21"/>
                <w:szCs w:val="21"/>
              </w:rPr>
            </w:pPr>
          </w:p>
        </w:tc>
      </w:tr>
    </w:tbl>
    <w:p>
      <w:pPr>
        <w:pStyle w:val="13"/>
        <w:pageBreakBefore w:val="0"/>
        <w:suppressAutoHyphens/>
        <w:kinsoku/>
        <w:wordWrap/>
        <w:overflowPunct/>
        <w:topLinePunct w:val="0"/>
        <w:bidi w:val="0"/>
        <w:spacing w:line="360" w:lineRule="auto"/>
        <w:ind w:left="0" w:leftChars="0" w:firstLine="420" w:firstLineChars="200"/>
        <w:rPr>
          <w:rFonts w:ascii="Times New Roman" w:hAnsi="Times New Roman"/>
          <w:color w:val="auto"/>
          <w:sz w:val="21"/>
          <w:szCs w:val="21"/>
          <w:highlight w:val="none"/>
        </w:rPr>
      </w:pPr>
    </w:p>
    <w:p>
      <w:pPr>
        <w:pStyle w:val="13"/>
        <w:pageBreakBefore w:val="0"/>
        <w:numPr>
          <w:ilvl w:val="0"/>
          <w:numId w:val="0"/>
        </w:numPr>
        <w:suppressAutoHyphens/>
        <w:kinsoku/>
        <w:wordWrap/>
        <w:overflowPunct/>
        <w:topLinePunct w:val="0"/>
        <w:bidi w:val="0"/>
        <w:spacing w:line="360" w:lineRule="auto"/>
        <w:rPr>
          <w:rFonts w:hint="eastAsia" w:ascii="Times New Roman" w:hAnsi="Times New Roman" w:eastAsia="宋体"/>
          <w:color w:val="auto"/>
          <w:sz w:val="21"/>
          <w:szCs w:val="21"/>
          <w:highlight w:val="none"/>
          <w:lang w:eastAsia="zh-CN"/>
        </w:rPr>
      </w:pPr>
      <w:r>
        <w:rPr>
          <w:rFonts w:hint="eastAsia" w:ascii="Times New Roman" w:hAnsi="Times New Roman"/>
          <w:color w:val="auto"/>
          <w:sz w:val="21"/>
          <w:szCs w:val="21"/>
          <w:highlight w:val="none"/>
          <w:lang w:val="en-US" w:eastAsia="zh-CN"/>
        </w:rPr>
        <w:t>2.3.3</w:t>
      </w:r>
      <w:r>
        <w:rPr>
          <w:rFonts w:hint="eastAsia" w:ascii="Times New Roman" w:hAnsi="Times New Roman"/>
          <w:color w:val="auto"/>
          <w:sz w:val="21"/>
          <w:szCs w:val="21"/>
          <w:highlight w:val="none"/>
        </w:rPr>
        <w:t>投标采购的</w:t>
      </w:r>
      <w:r>
        <w:rPr>
          <w:rFonts w:hint="eastAsia" w:ascii="Times New Roman" w:hAnsi="Times New Roman"/>
          <w:color w:val="auto"/>
          <w:sz w:val="21"/>
          <w:szCs w:val="21"/>
          <w:highlight w:val="none"/>
          <w:lang w:val="en-US" w:eastAsia="zh-CN"/>
        </w:rPr>
        <w:t>装置、</w:t>
      </w:r>
      <w:r>
        <w:rPr>
          <w:rFonts w:hint="eastAsia" w:ascii="Times New Roman" w:hAnsi="Times New Roman"/>
          <w:color w:val="auto"/>
          <w:sz w:val="21"/>
          <w:szCs w:val="21"/>
          <w:highlight w:val="none"/>
        </w:rPr>
        <w:t>材料必须达到国家标准或行业标准、施工验收规范以及设计技术要求。不论是否经过招标方代表检验，均由投标方对其质量负责。如发现投标方将不合格产品、设备用于该工程，招标方有权要求投标方更换并承担全部费用。投标方采购的材料必须有完整的产品合格证、材质证明书并向招标方提供复印件，如果不符合质量要求，招标方有权拒绝投标方在工程中使用</w:t>
      </w:r>
      <w:r>
        <w:rPr>
          <w:rFonts w:hint="eastAsia" w:ascii="Times New Roman" w:hAnsi="Times New Roman"/>
          <w:color w:val="auto"/>
          <w:sz w:val="21"/>
          <w:szCs w:val="21"/>
          <w:highlight w:val="none"/>
          <w:lang w:eastAsia="zh-CN"/>
        </w:rPr>
        <w:t>。</w:t>
      </w:r>
    </w:p>
    <w:bookmarkEnd w:id="22"/>
    <w:bookmarkEnd w:id="23"/>
    <w:p>
      <w:pPr>
        <w:pageBreakBefore w:val="0"/>
        <w:kinsoku/>
        <w:wordWrap/>
        <w:overflowPunct/>
        <w:topLinePunct w:val="0"/>
        <w:bidi w:val="0"/>
        <w:spacing w:line="360" w:lineRule="auto"/>
        <w:outlineLvl w:val="0"/>
        <w:rPr>
          <w:b/>
          <w:color w:val="auto"/>
          <w:sz w:val="21"/>
          <w:szCs w:val="21"/>
        </w:rPr>
      </w:pPr>
      <w:bookmarkStart w:id="56" w:name="_Toc5461"/>
      <w:r>
        <w:rPr>
          <w:rFonts w:hint="eastAsia"/>
          <w:b/>
          <w:color w:val="auto"/>
          <w:sz w:val="21"/>
          <w:szCs w:val="21"/>
          <w:lang w:val="en-US" w:eastAsia="zh-CN"/>
        </w:rPr>
        <w:t>3</w:t>
      </w:r>
      <w:r>
        <w:rPr>
          <w:b/>
          <w:color w:val="auto"/>
          <w:sz w:val="21"/>
          <w:szCs w:val="21"/>
        </w:rPr>
        <w:t xml:space="preserve">  编制依据和执行标准</w:t>
      </w:r>
      <w:bookmarkEnd w:id="24"/>
      <w:bookmarkEnd w:id="56"/>
    </w:p>
    <w:p>
      <w:pPr>
        <w:pageBreakBefore w:val="0"/>
        <w:suppressAutoHyphens/>
        <w:kinsoku/>
        <w:wordWrap/>
        <w:overflowPunct/>
        <w:topLinePunct w:val="0"/>
        <w:bidi w:val="0"/>
        <w:spacing w:line="360" w:lineRule="auto"/>
        <w:ind w:firstLine="420" w:firstLineChars="200"/>
        <w:rPr>
          <w:color w:val="auto"/>
          <w:sz w:val="21"/>
          <w:szCs w:val="21"/>
        </w:rPr>
      </w:pPr>
      <w:r>
        <w:rPr>
          <w:color w:val="auto"/>
          <w:sz w:val="21"/>
          <w:szCs w:val="21"/>
        </w:rPr>
        <w:t>除本技术规范书特殊规定外，投标方所提供的设备均按规定的标准和规程的最新版本进行试验和</w:t>
      </w:r>
      <w:r>
        <w:rPr>
          <w:rFonts w:hint="eastAsia"/>
          <w:color w:val="auto"/>
          <w:sz w:val="21"/>
          <w:szCs w:val="21"/>
          <w:lang w:val="en-US" w:eastAsia="zh-CN"/>
        </w:rPr>
        <w:t>调试</w:t>
      </w:r>
      <w:r>
        <w:rPr>
          <w:color w:val="auto"/>
          <w:sz w:val="21"/>
          <w:szCs w:val="21"/>
        </w:rPr>
        <w:t>。如果这些标准内容有矛盾时，应按技术要求最高的条款执行或按双方商定的标准执行。如果投标方选用本技术规范书规定以外的标准时，则需提交这种替换标准供审查和分析。仅在投标方已证明替换标准相当或优于技术规范书规定的标准，并从招标方处获得书面的认可才能使用。提交供审查的标准应为中文版本。主要引用标准如下：</w:t>
      </w:r>
    </w:p>
    <w:p>
      <w:pPr>
        <w:pageBreakBefore w:val="0"/>
        <w:suppressAutoHyphens/>
        <w:kinsoku/>
        <w:wordWrap/>
        <w:overflowPunct/>
        <w:topLinePunct w:val="0"/>
        <w:bidi w:val="0"/>
        <w:spacing w:line="360" w:lineRule="auto"/>
        <w:ind w:firstLine="420" w:firstLineChars="200"/>
        <w:rPr>
          <w:rFonts w:hint="eastAsia"/>
          <w:color w:val="auto"/>
          <w:sz w:val="21"/>
          <w:szCs w:val="21"/>
        </w:rPr>
      </w:pPr>
      <w:r>
        <w:rPr>
          <w:rFonts w:hint="eastAsia"/>
          <w:color w:val="auto"/>
          <w:sz w:val="21"/>
          <w:szCs w:val="21"/>
        </w:rPr>
        <w:t>GB/T 7134</w:t>
      </w:r>
      <w:r>
        <w:rPr>
          <w:rFonts w:hint="eastAsia"/>
          <w:color w:val="auto"/>
          <w:sz w:val="21"/>
          <w:szCs w:val="21"/>
          <w:lang w:val="en-US" w:eastAsia="zh-CN"/>
        </w:rPr>
        <w:t xml:space="preserve"> </w:t>
      </w:r>
      <w:r>
        <w:rPr>
          <w:rFonts w:hint="eastAsia"/>
          <w:color w:val="auto"/>
          <w:sz w:val="21"/>
          <w:szCs w:val="21"/>
        </w:rPr>
        <w:t>浇铸型工业有机玻璃板材</w:t>
      </w:r>
    </w:p>
    <w:p>
      <w:pPr>
        <w:pageBreakBefore w:val="0"/>
        <w:suppressAutoHyphens/>
        <w:kinsoku/>
        <w:wordWrap/>
        <w:overflowPunct/>
        <w:topLinePunct w:val="0"/>
        <w:bidi w:val="0"/>
        <w:spacing w:line="360" w:lineRule="auto"/>
        <w:ind w:firstLine="420" w:firstLineChars="200"/>
        <w:rPr>
          <w:rFonts w:hint="eastAsia"/>
          <w:color w:val="auto"/>
          <w:sz w:val="21"/>
          <w:szCs w:val="21"/>
        </w:rPr>
      </w:pPr>
      <w:r>
        <w:rPr>
          <w:rFonts w:hint="eastAsia"/>
          <w:color w:val="auto"/>
          <w:sz w:val="21"/>
          <w:szCs w:val="21"/>
        </w:rPr>
        <w:t>GB/T 7134</w:t>
      </w:r>
      <w:r>
        <w:rPr>
          <w:rFonts w:hint="eastAsia"/>
          <w:color w:val="auto"/>
          <w:sz w:val="21"/>
          <w:szCs w:val="21"/>
          <w:lang w:val="en-US" w:eastAsia="zh-CN"/>
        </w:rPr>
        <w:t xml:space="preserve"> </w:t>
      </w:r>
      <w:r>
        <w:rPr>
          <w:rFonts w:hint="eastAsia"/>
          <w:color w:val="auto"/>
          <w:sz w:val="21"/>
          <w:szCs w:val="21"/>
        </w:rPr>
        <w:t>浇铸型工业有机玻璃板材、棒材和管材</w:t>
      </w:r>
    </w:p>
    <w:p>
      <w:pPr>
        <w:pageBreakBefore w:val="0"/>
        <w:suppressAutoHyphens/>
        <w:kinsoku/>
        <w:wordWrap/>
        <w:overflowPunct/>
        <w:topLinePunct w:val="0"/>
        <w:bidi w:val="0"/>
        <w:spacing w:line="360" w:lineRule="auto"/>
        <w:ind w:firstLine="420" w:firstLineChars="200"/>
        <w:rPr>
          <w:rFonts w:hint="eastAsia"/>
          <w:color w:val="auto"/>
          <w:sz w:val="21"/>
          <w:szCs w:val="21"/>
          <w:lang w:val="en-US" w:eastAsia="zh-CN"/>
        </w:rPr>
      </w:pPr>
      <w:r>
        <w:rPr>
          <w:rFonts w:hint="eastAsia"/>
          <w:color w:val="auto"/>
          <w:sz w:val="21"/>
          <w:szCs w:val="21"/>
        </w:rPr>
        <w:t>GB/T 4208  外壳防护等级（IP代码）</w:t>
      </w:r>
      <w:r>
        <w:rPr>
          <w:rFonts w:hint="eastAsia"/>
          <w:color w:val="auto"/>
          <w:sz w:val="21"/>
          <w:szCs w:val="21"/>
          <w:lang w:val="en-US" w:eastAsia="zh-CN"/>
        </w:rPr>
        <w:t xml:space="preserve"> </w:t>
      </w:r>
    </w:p>
    <w:p>
      <w:pPr>
        <w:pageBreakBefore w:val="0"/>
        <w:suppressAutoHyphens/>
        <w:kinsoku/>
        <w:wordWrap/>
        <w:overflowPunct/>
        <w:topLinePunct w:val="0"/>
        <w:bidi w:val="0"/>
        <w:spacing w:line="360" w:lineRule="auto"/>
        <w:ind w:firstLine="420" w:firstLineChars="200"/>
        <w:rPr>
          <w:rFonts w:hint="eastAsia"/>
          <w:b/>
          <w:color w:val="auto"/>
          <w:sz w:val="21"/>
          <w:szCs w:val="21"/>
          <w:lang w:val="en-US" w:eastAsia="zh-CN"/>
        </w:rPr>
      </w:pPr>
      <w:r>
        <w:rPr>
          <w:color w:val="auto"/>
          <w:sz w:val="21"/>
          <w:szCs w:val="21"/>
        </w:rPr>
        <w:t>当标准、规范之间出现明显的矛盾时，投标方应将矛盾情况提交招标方，以便在开始施工前制定解决方案。</w:t>
      </w:r>
      <w:bookmarkStart w:id="57" w:name="_Toc276492437"/>
      <w:bookmarkStart w:id="58" w:name="_Toc386154381"/>
      <w:bookmarkStart w:id="59" w:name="_Toc386042725"/>
      <w:bookmarkStart w:id="60" w:name="_Toc525290878"/>
      <w:bookmarkStart w:id="61" w:name="_Toc22108272"/>
      <w:bookmarkStart w:id="62" w:name="_Toc386156499"/>
      <w:bookmarkStart w:id="63" w:name="_Toc279695210"/>
      <w:bookmarkStart w:id="64" w:name="_Toc166"/>
      <w:bookmarkStart w:id="65" w:name="_Toc386042894"/>
      <w:bookmarkStart w:id="66" w:name="_Toc291951568"/>
      <w:bookmarkStart w:id="67" w:name="_Toc386154390"/>
      <w:bookmarkStart w:id="68" w:name="_Toc276490910"/>
      <w:bookmarkStart w:id="69" w:name="_Toc27273"/>
      <w:bookmarkStart w:id="70" w:name="_Toc525289016"/>
      <w:bookmarkStart w:id="71" w:name="_Toc525291949"/>
      <w:bookmarkStart w:id="72" w:name="_Toc386042734"/>
      <w:bookmarkStart w:id="73" w:name="_Toc276490919"/>
      <w:bookmarkStart w:id="74" w:name="_Toc279696001"/>
      <w:bookmarkStart w:id="75" w:name="_Toc276301529"/>
      <w:bookmarkStart w:id="76" w:name="_Toc452553834"/>
      <w:bookmarkStart w:id="77" w:name="_Toc22108297"/>
      <w:bookmarkStart w:id="78" w:name="_Toc525290691"/>
      <w:bookmarkStart w:id="79" w:name="_Toc525290640"/>
      <w:bookmarkStart w:id="80" w:name="_Toc525290214"/>
      <w:bookmarkStart w:id="81" w:name="_Toc386042885"/>
      <w:bookmarkStart w:id="82" w:name="_Toc386156508"/>
      <w:bookmarkStart w:id="83" w:name="_Toc276492422"/>
      <w:bookmarkStart w:id="84" w:name="_Toc21709"/>
      <w:bookmarkStart w:id="85" w:name="_Toc525290773"/>
      <w:bookmarkStart w:id="86" w:name="_Toc291951577"/>
      <w:bookmarkStart w:id="87" w:name="_Toc282993354"/>
      <w:bookmarkStart w:id="88" w:name="_Toc32276"/>
      <w:bookmarkStart w:id="89" w:name="_Toc283911830"/>
    </w:p>
    <w:p>
      <w:pPr>
        <w:adjustRightInd w:val="0"/>
        <w:snapToGrid w:val="0"/>
        <w:spacing w:line="360" w:lineRule="auto"/>
        <w:rPr>
          <w:rFonts w:hint="eastAsia"/>
          <w:b/>
          <w:color w:val="auto"/>
          <w:sz w:val="21"/>
          <w:szCs w:val="21"/>
          <w:lang w:val="en-US" w:eastAsia="zh-CN"/>
        </w:rPr>
      </w:pPr>
      <w:r>
        <w:rPr>
          <w:rFonts w:hint="eastAsia"/>
          <w:b/>
          <w:color w:val="auto"/>
          <w:sz w:val="21"/>
          <w:szCs w:val="21"/>
          <w:lang w:val="en-US" w:eastAsia="zh-CN"/>
        </w:rPr>
        <w:t>4 使用条件</w:t>
      </w:r>
    </w:p>
    <w:p>
      <w:pPr>
        <w:adjustRightInd w:val="0"/>
        <w:snapToGrid w:val="0"/>
        <w:spacing w:line="360" w:lineRule="auto"/>
        <w:rPr>
          <w:rFonts w:hint="eastAsia"/>
          <w:b w:val="0"/>
          <w:bCs/>
          <w:color w:val="auto"/>
          <w:sz w:val="21"/>
          <w:szCs w:val="21"/>
          <w:lang w:val="en-US" w:eastAsia="zh-CN"/>
        </w:rPr>
      </w:pPr>
      <w:r>
        <w:rPr>
          <w:rFonts w:hint="eastAsia"/>
          <w:b w:val="0"/>
          <w:bCs/>
          <w:color w:val="auto"/>
          <w:sz w:val="21"/>
          <w:szCs w:val="21"/>
          <w:lang w:val="en-US" w:eastAsia="zh-CN"/>
        </w:rPr>
        <w:t>4.1 海拔高度≤1350m；</w:t>
      </w:r>
    </w:p>
    <w:p>
      <w:pPr>
        <w:adjustRightInd w:val="0"/>
        <w:snapToGrid w:val="0"/>
        <w:spacing w:line="360" w:lineRule="auto"/>
        <w:rPr>
          <w:rFonts w:hint="eastAsia"/>
          <w:b w:val="0"/>
          <w:bCs/>
          <w:color w:val="auto"/>
          <w:sz w:val="21"/>
          <w:szCs w:val="21"/>
          <w:lang w:val="en-US" w:eastAsia="zh-CN"/>
        </w:rPr>
      </w:pPr>
      <w:r>
        <w:rPr>
          <w:rFonts w:hint="eastAsia"/>
          <w:b w:val="0"/>
          <w:bCs/>
          <w:color w:val="auto"/>
          <w:sz w:val="21"/>
          <w:szCs w:val="21"/>
          <w:lang w:val="en-US" w:eastAsia="zh-CN"/>
        </w:rPr>
        <w:t>4.2 环境温度：-10℃～＋45℃；</w:t>
      </w:r>
    </w:p>
    <w:p>
      <w:pPr>
        <w:adjustRightInd w:val="0"/>
        <w:snapToGrid w:val="0"/>
        <w:spacing w:line="360" w:lineRule="auto"/>
        <w:rPr>
          <w:rFonts w:hint="eastAsia"/>
          <w:b w:val="0"/>
          <w:bCs/>
          <w:color w:val="auto"/>
          <w:sz w:val="21"/>
          <w:szCs w:val="21"/>
          <w:lang w:val="en-US" w:eastAsia="zh-CN"/>
        </w:rPr>
      </w:pPr>
      <w:r>
        <w:rPr>
          <w:rFonts w:hint="eastAsia"/>
          <w:b w:val="0"/>
          <w:bCs/>
          <w:color w:val="auto"/>
          <w:sz w:val="21"/>
          <w:szCs w:val="21"/>
          <w:lang w:val="en-US" w:eastAsia="zh-CN"/>
        </w:rPr>
        <w:t>4.3 环境相对湿度: 15～90%(20℃)；</w:t>
      </w:r>
    </w:p>
    <w:p>
      <w:pPr>
        <w:adjustRightInd w:val="0"/>
        <w:snapToGrid w:val="0"/>
        <w:spacing w:line="360" w:lineRule="auto"/>
        <w:rPr>
          <w:rFonts w:hint="eastAsia"/>
          <w:b w:val="0"/>
          <w:bCs/>
          <w:color w:val="auto"/>
          <w:sz w:val="21"/>
          <w:szCs w:val="21"/>
          <w:lang w:val="en-US" w:eastAsia="zh-CN"/>
        </w:rPr>
      </w:pPr>
      <w:r>
        <w:rPr>
          <w:rFonts w:hint="eastAsia"/>
          <w:b w:val="0"/>
          <w:bCs/>
          <w:color w:val="auto"/>
          <w:sz w:val="21"/>
          <w:szCs w:val="21"/>
          <w:lang w:val="en-US" w:eastAsia="zh-CN"/>
        </w:rPr>
        <w:t>4.4 大气压力范围：（70～106）kPa；</w:t>
      </w:r>
    </w:p>
    <w:p>
      <w:pPr>
        <w:adjustRightInd w:val="0"/>
        <w:snapToGrid w:val="0"/>
        <w:spacing w:line="360" w:lineRule="auto"/>
        <w:rPr>
          <w:rFonts w:hint="eastAsia"/>
          <w:b w:val="0"/>
          <w:bCs/>
          <w:color w:val="auto"/>
          <w:sz w:val="21"/>
          <w:szCs w:val="21"/>
          <w:lang w:val="en-US" w:eastAsia="zh-CN"/>
        </w:rPr>
      </w:pPr>
      <w:r>
        <w:rPr>
          <w:rFonts w:hint="eastAsia"/>
          <w:b w:val="0"/>
          <w:bCs/>
          <w:color w:val="auto"/>
          <w:sz w:val="21"/>
          <w:szCs w:val="21"/>
          <w:lang w:val="en-US" w:eastAsia="zh-CN"/>
        </w:rPr>
        <w:t>4.5环境适应能力：必须具有自动适应环境温度、湿度及大气压力变化的能力，至少应保证在环境温度-10℃～+45℃范围内能够可靠稳定运行。</w:t>
      </w:r>
    </w:p>
    <w:p>
      <w:pPr>
        <w:adjustRightInd w:val="0"/>
        <w:snapToGrid w:val="0"/>
        <w:spacing w:line="360" w:lineRule="auto"/>
        <w:rPr>
          <w:rFonts w:hint="eastAsia"/>
          <w:b/>
          <w:color w:val="auto"/>
          <w:sz w:val="21"/>
          <w:szCs w:val="21"/>
          <w:lang w:val="en-US" w:eastAsia="zh-CN"/>
        </w:rPr>
      </w:pPr>
      <w:r>
        <w:rPr>
          <w:rFonts w:hint="eastAsia"/>
          <w:b/>
          <w:color w:val="auto"/>
          <w:sz w:val="21"/>
          <w:szCs w:val="21"/>
          <w:lang w:val="en-US" w:eastAsia="zh-CN"/>
        </w:rPr>
        <w:t>5 技术服务要求</w:t>
      </w:r>
    </w:p>
    <w:p>
      <w:pPr>
        <w:adjustRightInd w:val="0"/>
        <w:snapToGrid w:val="0"/>
        <w:spacing w:line="360" w:lineRule="auto"/>
        <w:rPr>
          <w:rFonts w:hint="eastAsia" w:ascii="宋体" w:hAnsi="宋体" w:eastAsia="宋体" w:cs="宋体"/>
          <w:spacing w:val="8"/>
          <w:sz w:val="21"/>
          <w:szCs w:val="21"/>
          <w:lang w:val="en-US" w:eastAsia="zh-CN"/>
        </w:rPr>
      </w:pPr>
      <w:bookmarkStart w:id="90" w:name="OLE_LINK3"/>
      <w:r>
        <w:rPr>
          <w:rFonts w:hint="eastAsia" w:ascii="宋体" w:hAnsi="宋体" w:cs="宋体"/>
          <w:spacing w:val="8"/>
          <w:sz w:val="21"/>
          <w:szCs w:val="21"/>
          <w:lang w:val="en-US" w:eastAsia="zh-CN"/>
        </w:rPr>
        <w:t xml:space="preserve">5.1 </w:t>
      </w:r>
      <w:r>
        <w:rPr>
          <w:rFonts w:hint="eastAsia"/>
          <w:color w:val="auto"/>
          <w:sz w:val="21"/>
          <w:szCs w:val="21"/>
        </w:rPr>
        <w:t>投标方</w:t>
      </w:r>
      <w:r>
        <w:rPr>
          <w:rFonts w:hint="eastAsia"/>
          <w:color w:val="auto"/>
          <w:sz w:val="21"/>
          <w:szCs w:val="21"/>
          <w:lang w:val="en-US" w:eastAsia="zh-CN"/>
        </w:rPr>
        <w:t>应负责设备的安装和调试，结合现场屏柜尺寸进行加工调整，确保采购的透明磁吸有机玻璃板与屏柜匹配，能有效与带电部位隔离防止人员误碰触电，能防止小动物进入屏柜</w:t>
      </w:r>
      <w:r>
        <w:rPr>
          <w:rFonts w:hint="eastAsia" w:ascii="宋体" w:hAnsi="宋体" w:eastAsia="宋体" w:cs="宋体"/>
          <w:spacing w:val="8"/>
          <w:sz w:val="21"/>
          <w:szCs w:val="21"/>
          <w:lang w:val="en-US" w:eastAsia="zh-CN"/>
        </w:rPr>
        <w:t>。</w:t>
      </w:r>
    </w:p>
    <w:bookmarkEnd w:id="90"/>
    <w:p>
      <w:pPr>
        <w:adjustRightInd w:val="0"/>
        <w:snapToGrid w:val="0"/>
        <w:spacing w:line="360" w:lineRule="auto"/>
        <w:rPr>
          <w:rFonts w:hint="eastAsia" w:ascii="宋体" w:hAnsi="宋体" w:eastAsia="宋体" w:cs="宋体"/>
          <w:spacing w:val="8"/>
          <w:sz w:val="21"/>
          <w:szCs w:val="21"/>
          <w:lang w:val="en-US" w:eastAsia="zh-CN"/>
        </w:rPr>
      </w:pPr>
      <w:r>
        <w:rPr>
          <w:rFonts w:hint="eastAsia" w:ascii="宋体" w:hAnsi="宋体" w:cs="宋体"/>
          <w:spacing w:val="8"/>
          <w:sz w:val="21"/>
          <w:szCs w:val="21"/>
          <w:lang w:val="en-US" w:eastAsia="zh-CN"/>
        </w:rPr>
        <w:t xml:space="preserve">5.2 </w:t>
      </w:r>
      <w:r>
        <w:rPr>
          <w:rFonts w:hint="eastAsia"/>
          <w:color w:val="auto"/>
          <w:sz w:val="21"/>
          <w:szCs w:val="21"/>
        </w:rPr>
        <w:t>投标方</w:t>
      </w:r>
      <w:r>
        <w:rPr>
          <w:rFonts w:hint="eastAsia"/>
          <w:color w:val="auto"/>
          <w:sz w:val="21"/>
          <w:szCs w:val="21"/>
          <w:lang w:val="en-US" w:eastAsia="zh-CN"/>
        </w:rPr>
        <w:t>提供的透明磁吸有机玻璃板需能牢固吸附在屏柜上起到安全隔离作用，不会因振动、风吹等因素影响掉落，且经运行维护过程多次拆除和恢复安装后，仍能保持其磁吸效果</w:t>
      </w:r>
      <w:r>
        <w:rPr>
          <w:rFonts w:hint="eastAsia" w:ascii="宋体" w:hAnsi="宋体" w:eastAsia="宋体" w:cs="宋体"/>
          <w:spacing w:val="8"/>
          <w:sz w:val="21"/>
          <w:szCs w:val="21"/>
          <w:lang w:val="en-US" w:eastAsia="zh-CN"/>
        </w:rPr>
        <w:t>。</w:t>
      </w:r>
    </w:p>
    <w:p>
      <w:pPr>
        <w:adjustRightInd w:val="0"/>
        <w:snapToGrid w:val="0"/>
        <w:spacing w:line="360" w:lineRule="auto"/>
        <w:rPr>
          <w:rFonts w:hint="default" w:ascii="宋体" w:hAnsi="宋体" w:eastAsia="宋体" w:cs="宋体"/>
          <w:spacing w:val="8"/>
          <w:sz w:val="21"/>
          <w:szCs w:val="21"/>
          <w:lang w:val="en-US" w:eastAsia="zh-CN"/>
        </w:rPr>
      </w:pPr>
      <w:r>
        <w:rPr>
          <w:rFonts w:hint="eastAsia" w:ascii="宋体" w:hAnsi="宋体" w:cs="宋体"/>
          <w:spacing w:val="8"/>
          <w:sz w:val="21"/>
          <w:szCs w:val="21"/>
          <w:lang w:val="en-US" w:eastAsia="zh-CN"/>
        </w:rPr>
        <w:t xml:space="preserve">5.3 </w:t>
      </w:r>
      <w:r>
        <w:rPr>
          <w:rFonts w:hint="eastAsia"/>
          <w:color w:val="auto"/>
          <w:sz w:val="21"/>
          <w:szCs w:val="21"/>
        </w:rPr>
        <w:t>投标方</w:t>
      </w:r>
      <w:r>
        <w:rPr>
          <w:rFonts w:hint="eastAsia"/>
          <w:color w:val="auto"/>
          <w:sz w:val="21"/>
          <w:szCs w:val="21"/>
          <w:lang w:val="en-US" w:eastAsia="zh-CN"/>
        </w:rPr>
        <w:t>提供的透明磁吸有机玻璃板，其透明度不因运行时间和环境因素影响有明显变化</w:t>
      </w:r>
      <w:r>
        <w:rPr>
          <w:rFonts w:hint="eastAsia" w:ascii="宋体" w:hAnsi="宋体" w:eastAsia="宋体" w:cs="宋体"/>
          <w:spacing w:val="8"/>
          <w:sz w:val="21"/>
          <w:szCs w:val="21"/>
          <w:lang w:val="en-US" w:eastAsia="zh-CN"/>
        </w:rPr>
        <w:t>。</w:t>
      </w:r>
    </w:p>
    <w:p>
      <w:pPr>
        <w:adjustRightInd w:val="0"/>
        <w:snapToGrid w:val="0"/>
        <w:spacing w:line="360" w:lineRule="auto"/>
        <w:rPr>
          <w:rFonts w:hint="eastAsia"/>
          <w:b w:val="0"/>
          <w:bCs/>
          <w:color w:val="auto"/>
          <w:sz w:val="21"/>
          <w:szCs w:val="21"/>
          <w:lang w:val="en-US" w:eastAsia="zh-CN"/>
        </w:rPr>
      </w:pPr>
      <w:r>
        <w:rPr>
          <w:rFonts w:hint="eastAsia"/>
          <w:b w:val="0"/>
          <w:bCs/>
          <w:color w:val="auto"/>
          <w:sz w:val="21"/>
          <w:szCs w:val="21"/>
          <w:lang w:val="en-US" w:eastAsia="zh-CN"/>
        </w:rPr>
        <w:t>5.4 本项目所有供货物资应经质量检验部门确认合格后方能出厂，并应具有证明产品合格的合格证或合格文件。</w:t>
      </w:r>
    </w:p>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Pr>
        <w:adjustRightInd w:val="0"/>
        <w:snapToGrid w:val="0"/>
        <w:spacing w:line="360" w:lineRule="auto"/>
        <w:rPr>
          <w:rFonts w:hint="eastAsia" w:ascii="宋体" w:hAnsi="宋体" w:eastAsia="宋体" w:cs="宋体"/>
          <w:b/>
          <w:bCs w:val="0"/>
          <w:sz w:val="21"/>
          <w:szCs w:val="21"/>
        </w:rPr>
      </w:pPr>
      <w:bookmarkStart w:id="91" w:name="_Toc287602840"/>
      <w:r>
        <w:rPr>
          <w:rFonts w:hint="eastAsia" w:ascii="宋体" w:hAnsi="宋体" w:eastAsia="宋体" w:cs="宋体"/>
          <w:b/>
          <w:bCs w:val="0"/>
          <w:sz w:val="21"/>
          <w:szCs w:val="21"/>
          <w:lang w:val="en-US" w:eastAsia="zh-CN"/>
        </w:rPr>
        <w:t xml:space="preserve">6 </w:t>
      </w:r>
      <w:r>
        <w:rPr>
          <w:rFonts w:hint="eastAsia" w:ascii="宋体" w:hAnsi="宋体" w:eastAsia="宋体" w:cs="宋体"/>
          <w:b/>
          <w:bCs w:val="0"/>
          <w:sz w:val="21"/>
          <w:szCs w:val="21"/>
        </w:rPr>
        <w:t>设备资料</w:t>
      </w:r>
    </w:p>
    <w:p>
      <w:pPr>
        <w:adjustRightInd w:val="0"/>
        <w:snapToGrid w:val="0"/>
        <w:spacing w:line="360" w:lineRule="auto"/>
        <w:rPr>
          <w:rFonts w:hint="eastAsia"/>
          <w:b w:val="0"/>
          <w:bCs/>
          <w:sz w:val="21"/>
          <w:szCs w:val="21"/>
        </w:rPr>
      </w:pPr>
      <w:r>
        <w:rPr>
          <w:rFonts w:hint="eastAsia"/>
          <w:b w:val="0"/>
          <w:bCs/>
          <w:sz w:val="21"/>
          <w:szCs w:val="21"/>
          <w:lang w:val="en-US" w:eastAsia="zh-CN"/>
        </w:rPr>
        <w:t>6</w:t>
      </w:r>
      <w:r>
        <w:rPr>
          <w:rFonts w:hint="eastAsia"/>
          <w:b w:val="0"/>
          <w:bCs/>
          <w:sz w:val="21"/>
          <w:szCs w:val="21"/>
        </w:rPr>
        <w:t>.1 产品合格证</w:t>
      </w:r>
    </w:p>
    <w:p>
      <w:pPr>
        <w:adjustRightInd w:val="0"/>
        <w:snapToGrid w:val="0"/>
        <w:spacing w:line="360" w:lineRule="auto"/>
        <w:rPr>
          <w:rFonts w:hint="eastAsia"/>
          <w:b w:val="0"/>
          <w:bCs/>
          <w:sz w:val="21"/>
          <w:szCs w:val="21"/>
        </w:rPr>
      </w:pPr>
      <w:r>
        <w:rPr>
          <w:rFonts w:hint="eastAsia"/>
          <w:b w:val="0"/>
          <w:bCs/>
          <w:sz w:val="21"/>
          <w:szCs w:val="21"/>
          <w:lang w:val="en-US" w:eastAsia="zh-CN"/>
        </w:rPr>
        <w:t>6</w:t>
      </w:r>
      <w:r>
        <w:rPr>
          <w:rFonts w:hint="eastAsia"/>
          <w:b w:val="0"/>
          <w:bCs/>
          <w:sz w:val="21"/>
          <w:szCs w:val="21"/>
        </w:rPr>
        <w:t>.</w:t>
      </w:r>
      <w:r>
        <w:rPr>
          <w:rFonts w:hint="eastAsia"/>
          <w:b w:val="0"/>
          <w:bCs/>
          <w:sz w:val="21"/>
          <w:szCs w:val="21"/>
          <w:lang w:val="en-US" w:eastAsia="zh-CN"/>
        </w:rPr>
        <w:t>2</w:t>
      </w:r>
      <w:r>
        <w:rPr>
          <w:rFonts w:hint="eastAsia"/>
          <w:b w:val="0"/>
          <w:bCs/>
          <w:sz w:val="21"/>
          <w:szCs w:val="21"/>
        </w:rPr>
        <w:t xml:space="preserve">  装箱清单</w:t>
      </w:r>
    </w:p>
    <w:p>
      <w:pPr>
        <w:adjustRightInd w:val="0"/>
        <w:snapToGrid w:val="0"/>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lang w:val="en-US" w:eastAsia="zh-CN"/>
        </w:rPr>
        <w:t xml:space="preserve">7 </w:t>
      </w:r>
      <w:r>
        <w:rPr>
          <w:rFonts w:hint="eastAsia" w:ascii="宋体" w:hAnsi="宋体" w:eastAsia="宋体" w:cs="宋体"/>
          <w:b/>
          <w:bCs w:val="0"/>
          <w:sz w:val="21"/>
          <w:szCs w:val="21"/>
        </w:rPr>
        <w:t>包装、运输</w:t>
      </w:r>
      <w:r>
        <w:rPr>
          <w:rFonts w:hint="eastAsia" w:ascii="宋体" w:hAnsi="宋体" w:cs="宋体"/>
          <w:b/>
          <w:bCs w:val="0"/>
          <w:sz w:val="21"/>
          <w:szCs w:val="21"/>
          <w:lang w:val="en-US" w:eastAsia="zh-CN"/>
        </w:rPr>
        <w:t>交付</w:t>
      </w:r>
      <w:r>
        <w:rPr>
          <w:rFonts w:hint="eastAsia" w:ascii="宋体" w:hAnsi="宋体" w:eastAsia="宋体" w:cs="宋体"/>
          <w:b/>
          <w:bCs w:val="0"/>
          <w:sz w:val="21"/>
          <w:szCs w:val="21"/>
        </w:rPr>
        <w:t>、贮存和质量保证</w:t>
      </w:r>
    </w:p>
    <w:p>
      <w:pPr>
        <w:adjustRightInd w:val="0"/>
        <w:snapToGrid w:val="0"/>
        <w:spacing w:line="360" w:lineRule="auto"/>
        <w:rPr>
          <w:rFonts w:hint="eastAsia"/>
          <w:b w:val="0"/>
          <w:bCs/>
          <w:sz w:val="21"/>
          <w:szCs w:val="21"/>
        </w:rPr>
      </w:pPr>
      <w:r>
        <w:rPr>
          <w:rFonts w:hint="eastAsia"/>
          <w:b w:val="0"/>
          <w:bCs/>
          <w:sz w:val="21"/>
          <w:szCs w:val="21"/>
          <w:lang w:val="en-US" w:eastAsia="zh-CN"/>
        </w:rPr>
        <w:t>7</w:t>
      </w:r>
      <w:r>
        <w:rPr>
          <w:rFonts w:hint="eastAsia"/>
          <w:b w:val="0"/>
          <w:bCs/>
          <w:sz w:val="21"/>
          <w:szCs w:val="21"/>
        </w:rPr>
        <w:t>.1  设备制造完成并通过试验后应及时包装, 否则应得到切实的保护, 确保其不受污损。</w:t>
      </w:r>
    </w:p>
    <w:p>
      <w:pPr>
        <w:adjustRightInd w:val="0"/>
        <w:snapToGrid w:val="0"/>
        <w:spacing w:line="360" w:lineRule="auto"/>
        <w:rPr>
          <w:rFonts w:hint="eastAsia"/>
          <w:b w:val="0"/>
          <w:bCs/>
          <w:sz w:val="21"/>
          <w:szCs w:val="21"/>
        </w:rPr>
      </w:pPr>
      <w:r>
        <w:rPr>
          <w:rFonts w:hint="eastAsia"/>
          <w:b w:val="0"/>
          <w:bCs/>
          <w:sz w:val="21"/>
          <w:szCs w:val="21"/>
          <w:lang w:val="en-US" w:eastAsia="zh-CN"/>
        </w:rPr>
        <w:t>7</w:t>
      </w:r>
      <w:r>
        <w:rPr>
          <w:rFonts w:hint="eastAsia"/>
          <w:b w:val="0"/>
          <w:bCs/>
          <w:sz w:val="21"/>
          <w:szCs w:val="21"/>
        </w:rPr>
        <w:t>.2  所有部件经妥善包装或装箱后, 在运输过程中尚应采取其它防护措施, 以免散失损坏或被盗。</w:t>
      </w:r>
    </w:p>
    <w:p>
      <w:pPr>
        <w:adjustRightInd w:val="0"/>
        <w:snapToGrid w:val="0"/>
        <w:spacing w:line="360" w:lineRule="auto"/>
        <w:rPr>
          <w:rFonts w:hint="eastAsia"/>
          <w:b w:val="0"/>
          <w:bCs/>
          <w:sz w:val="21"/>
          <w:szCs w:val="21"/>
        </w:rPr>
      </w:pPr>
      <w:r>
        <w:rPr>
          <w:rFonts w:hint="eastAsia"/>
          <w:b w:val="0"/>
          <w:bCs/>
          <w:sz w:val="21"/>
          <w:szCs w:val="21"/>
          <w:lang w:val="en-US" w:eastAsia="zh-CN"/>
        </w:rPr>
        <w:t>7</w:t>
      </w:r>
      <w:r>
        <w:rPr>
          <w:rFonts w:hint="eastAsia"/>
          <w:b w:val="0"/>
          <w:bCs/>
          <w:sz w:val="21"/>
          <w:szCs w:val="21"/>
        </w:rPr>
        <w:t>.3  在包装箱外应标明需方的订货号、发货号。</w:t>
      </w:r>
    </w:p>
    <w:p>
      <w:pPr>
        <w:adjustRightInd w:val="0"/>
        <w:snapToGrid w:val="0"/>
        <w:spacing w:line="360" w:lineRule="auto"/>
        <w:rPr>
          <w:rFonts w:hint="eastAsia"/>
          <w:b w:val="0"/>
          <w:bCs/>
          <w:sz w:val="21"/>
          <w:szCs w:val="21"/>
        </w:rPr>
      </w:pPr>
      <w:r>
        <w:rPr>
          <w:rFonts w:hint="eastAsia"/>
          <w:b w:val="0"/>
          <w:bCs/>
          <w:sz w:val="21"/>
          <w:szCs w:val="21"/>
          <w:lang w:val="en-US" w:eastAsia="zh-CN"/>
        </w:rPr>
        <w:t>7</w:t>
      </w:r>
      <w:r>
        <w:rPr>
          <w:rFonts w:hint="eastAsia"/>
          <w:b w:val="0"/>
          <w:bCs/>
          <w:sz w:val="21"/>
          <w:szCs w:val="21"/>
        </w:rPr>
        <w:t>.4  各种包装应能确保各零部件在运输过程中不致遭到损坏、丢失、变形、受潮和腐蚀。</w:t>
      </w:r>
    </w:p>
    <w:p>
      <w:pPr>
        <w:adjustRightInd w:val="0"/>
        <w:snapToGrid w:val="0"/>
        <w:spacing w:line="360" w:lineRule="auto"/>
        <w:rPr>
          <w:rFonts w:hint="eastAsia"/>
          <w:b w:val="0"/>
          <w:bCs/>
          <w:sz w:val="21"/>
          <w:szCs w:val="21"/>
        </w:rPr>
      </w:pPr>
      <w:r>
        <w:rPr>
          <w:rFonts w:hint="eastAsia"/>
          <w:b w:val="0"/>
          <w:bCs/>
          <w:sz w:val="21"/>
          <w:szCs w:val="21"/>
          <w:lang w:val="en-US" w:eastAsia="zh-CN"/>
        </w:rPr>
        <w:t>7</w:t>
      </w:r>
      <w:r>
        <w:rPr>
          <w:rFonts w:hint="eastAsia"/>
          <w:b w:val="0"/>
          <w:bCs/>
          <w:sz w:val="21"/>
          <w:szCs w:val="21"/>
        </w:rPr>
        <w:t>.5  包装箱上应有明显的包装储运图示标志(按GB/T 191-2008)。</w:t>
      </w:r>
    </w:p>
    <w:p>
      <w:pPr>
        <w:adjustRightInd w:val="0"/>
        <w:snapToGrid w:val="0"/>
        <w:spacing w:line="360" w:lineRule="auto"/>
        <w:rPr>
          <w:rFonts w:hint="eastAsia"/>
          <w:b w:val="0"/>
          <w:bCs/>
          <w:sz w:val="21"/>
          <w:szCs w:val="21"/>
        </w:rPr>
      </w:pPr>
      <w:r>
        <w:rPr>
          <w:rFonts w:hint="eastAsia"/>
          <w:b w:val="0"/>
          <w:bCs/>
          <w:sz w:val="21"/>
          <w:szCs w:val="21"/>
          <w:lang w:val="en-US" w:eastAsia="zh-CN"/>
        </w:rPr>
        <w:t>7</w:t>
      </w:r>
      <w:r>
        <w:rPr>
          <w:rFonts w:hint="eastAsia"/>
          <w:b w:val="0"/>
          <w:bCs/>
          <w:sz w:val="21"/>
          <w:szCs w:val="21"/>
        </w:rPr>
        <w:t>.6  整体产品或分别运输的部件都要适合运输和装载的要求。</w:t>
      </w:r>
    </w:p>
    <w:p>
      <w:pPr>
        <w:adjustRightInd w:val="0"/>
        <w:snapToGrid w:val="0"/>
        <w:spacing w:line="360" w:lineRule="auto"/>
        <w:rPr>
          <w:rFonts w:hint="eastAsia"/>
          <w:b w:val="0"/>
          <w:bCs/>
          <w:sz w:val="21"/>
          <w:szCs w:val="21"/>
        </w:rPr>
      </w:pPr>
      <w:r>
        <w:rPr>
          <w:rFonts w:hint="eastAsia"/>
          <w:b w:val="0"/>
          <w:bCs/>
          <w:sz w:val="21"/>
          <w:szCs w:val="21"/>
          <w:lang w:val="en-US" w:eastAsia="zh-CN"/>
        </w:rPr>
        <w:t>7</w:t>
      </w:r>
      <w:r>
        <w:rPr>
          <w:rFonts w:hint="eastAsia"/>
          <w:b w:val="0"/>
          <w:bCs/>
          <w:sz w:val="21"/>
          <w:szCs w:val="21"/>
        </w:rPr>
        <w:t>.7  随产品提供的技术资料应完整无缺。</w:t>
      </w:r>
    </w:p>
    <w:p>
      <w:pPr>
        <w:adjustRightInd w:val="0"/>
        <w:snapToGrid w:val="0"/>
        <w:spacing w:line="360" w:lineRule="auto"/>
        <w:rPr>
          <w:rFonts w:hint="eastAsia"/>
          <w:b w:val="0"/>
          <w:bCs/>
          <w:sz w:val="21"/>
          <w:szCs w:val="21"/>
        </w:rPr>
      </w:pPr>
      <w:r>
        <w:rPr>
          <w:rFonts w:hint="eastAsia"/>
          <w:b w:val="0"/>
          <w:bCs/>
          <w:sz w:val="21"/>
          <w:szCs w:val="21"/>
          <w:lang w:val="en-US" w:eastAsia="zh-CN"/>
        </w:rPr>
        <w:t>7</w:t>
      </w:r>
      <w:r>
        <w:rPr>
          <w:rFonts w:hint="eastAsia"/>
          <w:b w:val="0"/>
          <w:bCs/>
          <w:sz w:val="21"/>
          <w:szCs w:val="21"/>
        </w:rPr>
        <w:t>.8  投标方应保证制造过程中的所有工艺、材料等（包括投标方的外购件在内）均应符合本招标技术文件的规定。</w:t>
      </w:r>
    </w:p>
    <w:p>
      <w:pPr>
        <w:adjustRightInd w:val="0"/>
        <w:snapToGrid w:val="0"/>
        <w:spacing w:line="360" w:lineRule="auto"/>
        <w:rPr>
          <w:rFonts w:hint="eastAsia"/>
          <w:b w:val="0"/>
          <w:bCs/>
          <w:sz w:val="21"/>
          <w:szCs w:val="21"/>
        </w:rPr>
      </w:pPr>
      <w:r>
        <w:rPr>
          <w:rFonts w:hint="eastAsia"/>
          <w:b w:val="0"/>
          <w:bCs/>
          <w:sz w:val="21"/>
          <w:szCs w:val="21"/>
          <w:lang w:val="en-US" w:eastAsia="zh-CN"/>
        </w:rPr>
        <w:t>7</w:t>
      </w:r>
      <w:r>
        <w:rPr>
          <w:rFonts w:hint="eastAsia"/>
          <w:b w:val="0"/>
          <w:bCs/>
          <w:sz w:val="21"/>
          <w:szCs w:val="21"/>
        </w:rPr>
        <w:t>.</w:t>
      </w:r>
      <w:r>
        <w:rPr>
          <w:rFonts w:hint="eastAsia"/>
          <w:b w:val="0"/>
          <w:bCs/>
          <w:sz w:val="21"/>
          <w:szCs w:val="21"/>
          <w:lang w:val="en-US" w:eastAsia="zh-CN"/>
        </w:rPr>
        <w:t>9</w:t>
      </w:r>
      <w:r>
        <w:rPr>
          <w:rFonts w:hint="eastAsia"/>
          <w:b w:val="0"/>
          <w:bCs/>
          <w:sz w:val="21"/>
          <w:szCs w:val="21"/>
        </w:rPr>
        <w:t xml:space="preserve"> 如果是代理产品，必须由原制造商提供技术服务和售后服务，并在投标文件中提供制造商技术服务和售后服务承诺书。</w:t>
      </w:r>
    </w:p>
    <w:p>
      <w:pPr>
        <w:adjustRightInd w:val="0"/>
        <w:snapToGrid w:val="0"/>
        <w:spacing w:line="360" w:lineRule="auto"/>
        <w:rPr>
          <w:rFonts w:hint="eastAsia"/>
          <w:b w:val="0"/>
          <w:bCs/>
          <w:sz w:val="21"/>
          <w:szCs w:val="21"/>
        </w:rPr>
      </w:pPr>
      <w:r>
        <w:rPr>
          <w:rFonts w:hint="eastAsia"/>
          <w:b w:val="0"/>
          <w:bCs/>
          <w:sz w:val="21"/>
          <w:szCs w:val="21"/>
          <w:lang w:val="en-US" w:eastAsia="zh-CN"/>
        </w:rPr>
        <w:t>7</w:t>
      </w:r>
      <w:r>
        <w:rPr>
          <w:rFonts w:hint="eastAsia"/>
          <w:b w:val="0"/>
          <w:bCs/>
          <w:sz w:val="21"/>
          <w:szCs w:val="21"/>
        </w:rPr>
        <w:t>.1</w:t>
      </w:r>
      <w:r>
        <w:rPr>
          <w:rFonts w:hint="eastAsia"/>
          <w:b w:val="0"/>
          <w:bCs/>
          <w:sz w:val="21"/>
          <w:szCs w:val="21"/>
          <w:lang w:val="en-US" w:eastAsia="zh-CN"/>
        </w:rPr>
        <w:t>0</w:t>
      </w:r>
      <w:r>
        <w:rPr>
          <w:rFonts w:hint="eastAsia"/>
          <w:b w:val="0"/>
          <w:bCs/>
          <w:sz w:val="21"/>
          <w:szCs w:val="21"/>
        </w:rPr>
        <w:t xml:space="preserve"> 供方技术人员应对需方人员详细地解释技术文件、图纸、运行和维护手册、设备特性、分析方法和有关的注意事项等，以及解答和解决需方在合同范围内提出的技术问题。</w:t>
      </w:r>
    </w:p>
    <w:p>
      <w:pPr>
        <w:adjustRightInd w:val="0"/>
        <w:snapToGrid w:val="0"/>
        <w:spacing w:line="360" w:lineRule="auto"/>
        <w:rPr>
          <w:rFonts w:hint="eastAsia"/>
          <w:b w:val="0"/>
          <w:bCs/>
          <w:sz w:val="21"/>
          <w:szCs w:val="21"/>
        </w:rPr>
      </w:pPr>
      <w:r>
        <w:rPr>
          <w:rFonts w:hint="eastAsia"/>
          <w:b w:val="0"/>
          <w:bCs/>
          <w:sz w:val="21"/>
          <w:szCs w:val="21"/>
          <w:lang w:val="en-US" w:eastAsia="zh-CN"/>
        </w:rPr>
        <w:t>7</w:t>
      </w:r>
      <w:r>
        <w:rPr>
          <w:rFonts w:hint="eastAsia"/>
          <w:b w:val="0"/>
          <w:bCs/>
          <w:sz w:val="21"/>
          <w:szCs w:val="21"/>
        </w:rPr>
        <w:t>.1</w:t>
      </w:r>
      <w:r>
        <w:rPr>
          <w:rFonts w:hint="eastAsia"/>
          <w:b w:val="0"/>
          <w:bCs/>
          <w:sz w:val="21"/>
          <w:szCs w:val="21"/>
          <w:lang w:val="en-US" w:eastAsia="zh-CN"/>
        </w:rPr>
        <w:t>1</w:t>
      </w:r>
      <w:r>
        <w:rPr>
          <w:rFonts w:hint="eastAsia"/>
          <w:b w:val="0"/>
          <w:bCs/>
          <w:sz w:val="21"/>
          <w:szCs w:val="21"/>
        </w:rPr>
        <w:t>供方技术人员有义务协助需方在现场对运行和维护的人员进行必要的培训。</w:t>
      </w:r>
    </w:p>
    <w:p>
      <w:pPr>
        <w:adjustRightInd w:val="0"/>
        <w:snapToGrid w:val="0"/>
        <w:spacing w:line="360" w:lineRule="auto"/>
        <w:rPr>
          <w:rFonts w:hint="default" w:eastAsia="宋体"/>
          <w:b w:val="0"/>
          <w:bCs/>
          <w:color w:val="FF0000"/>
          <w:sz w:val="21"/>
          <w:szCs w:val="21"/>
          <w:lang w:val="en-US" w:eastAsia="zh-CN"/>
        </w:rPr>
      </w:pPr>
      <w:r>
        <w:rPr>
          <w:rFonts w:hint="eastAsia"/>
          <w:b w:val="0"/>
          <w:bCs/>
          <w:color w:val="FF0000"/>
          <w:sz w:val="21"/>
          <w:szCs w:val="21"/>
          <w:lang w:val="en-US" w:eastAsia="zh-CN"/>
        </w:rPr>
        <w:t>7.12供方在收到成交通知书后两个月内完成交付。</w:t>
      </w:r>
      <w:bookmarkStart w:id="101" w:name="_GoBack"/>
      <w:bookmarkEnd w:id="101"/>
    </w:p>
    <w:bookmarkEnd w:id="91"/>
    <w:p>
      <w:pPr>
        <w:pageBreakBefore w:val="0"/>
        <w:kinsoku/>
        <w:overflowPunct/>
        <w:topLinePunct w:val="0"/>
        <w:bidi w:val="0"/>
        <w:adjustRightInd w:val="0"/>
        <w:snapToGrid w:val="0"/>
        <w:spacing w:line="360" w:lineRule="auto"/>
        <w:outlineLvl w:val="1"/>
        <w:rPr>
          <w:sz w:val="21"/>
          <w:szCs w:val="21"/>
        </w:rPr>
      </w:pPr>
      <w:bookmarkStart w:id="92" w:name="_Toc224641197"/>
      <w:r>
        <w:rPr>
          <w:rFonts w:eastAsia="黑体"/>
          <w:sz w:val="21"/>
          <w:szCs w:val="21"/>
        </w:rPr>
        <w:t xml:space="preserve"> </w:t>
      </w:r>
      <w:bookmarkEnd w:id="92"/>
      <w:bookmarkStart w:id="93" w:name="_Toc287602848"/>
      <w:r>
        <w:rPr>
          <w:sz w:val="21"/>
          <w:szCs w:val="21"/>
        </w:rPr>
        <w:t xml:space="preserve"> </w:t>
      </w:r>
    </w:p>
    <w:bookmarkEnd w:id="93"/>
    <w:p>
      <w:pPr>
        <w:pStyle w:val="2"/>
        <w:keepNext/>
        <w:keepLines/>
        <w:pageBreakBefore w:val="0"/>
        <w:widowControl w:val="0"/>
        <w:kinsoku/>
        <w:wordWrap w:val="0"/>
        <w:overflowPunct/>
        <w:topLinePunct w:val="0"/>
        <w:autoSpaceDE/>
        <w:autoSpaceDN/>
        <w:bidi w:val="0"/>
        <w:adjustRightInd w:val="0"/>
        <w:snapToGrid/>
        <w:spacing w:before="0" w:beforeLines="0" w:after="0" w:line="360" w:lineRule="auto"/>
        <w:textAlignment w:val="auto"/>
        <w:rPr>
          <w:rFonts w:ascii="Times New Roman"/>
          <w:sz w:val="21"/>
          <w:szCs w:val="21"/>
        </w:rPr>
      </w:pPr>
      <w:bookmarkStart w:id="94" w:name="_Toc32241188"/>
      <w:bookmarkStart w:id="95" w:name="_Toc287602849"/>
      <w:r>
        <w:rPr>
          <w:rFonts w:hint="eastAsia"/>
          <w:sz w:val="21"/>
          <w:szCs w:val="21"/>
          <w:lang w:val="en-US" w:eastAsia="zh-CN"/>
        </w:rPr>
        <w:t>8</w:t>
      </w:r>
      <w:r>
        <w:rPr>
          <w:rFonts w:ascii="Times New Roman"/>
          <w:sz w:val="21"/>
          <w:szCs w:val="21"/>
        </w:rPr>
        <w:t>技术差异表</w:t>
      </w:r>
      <w:bookmarkEnd w:id="94"/>
      <w:bookmarkEnd w:id="95"/>
    </w:p>
    <w:p>
      <w:pPr>
        <w:pStyle w:val="34"/>
        <w:pageBreakBefore w:val="0"/>
        <w:kinsoku/>
        <w:overflowPunct/>
        <w:topLinePunct w:val="0"/>
        <w:bidi w:val="0"/>
        <w:spacing w:line="360" w:lineRule="auto"/>
        <w:ind w:firstLine="405" w:firstLineChars="193"/>
        <w:outlineLvl w:val="8"/>
        <w:rPr>
          <w:rFonts w:ascii="Times New Roman"/>
          <w:sz w:val="21"/>
          <w:szCs w:val="21"/>
        </w:rPr>
      </w:pPr>
      <w:bookmarkStart w:id="96" w:name="_Toc226362579"/>
      <w:r>
        <w:rPr>
          <w:rFonts w:ascii="Times New Roman"/>
          <w:sz w:val="21"/>
          <w:szCs w:val="21"/>
        </w:rPr>
        <w:t>投标方应将所供</w:t>
      </w:r>
      <w:r>
        <w:rPr>
          <w:rFonts w:hint="eastAsia" w:ascii="Times New Roman"/>
          <w:sz w:val="21"/>
          <w:szCs w:val="21"/>
          <w:lang w:val="en-US" w:eastAsia="zh-CN"/>
        </w:rPr>
        <w:t>产品</w:t>
      </w:r>
      <w:r>
        <w:rPr>
          <w:rFonts w:ascii="Times New Roman"/>
          <w:sz w:val="21"/>
          <w:szCs w:val="21"/>
        </w:rPr>
        <w:t>与本招标书技术文件有差异之处，无论优于或劣于本招标书技术文件要求，均汇集成此表。</w:t>
      </w:r>
    </w:p>
    <w:p>
      <w:pPr>
        <w:pStyle w:val="34"/>
        <w:pageBreakBefore w:val="0"/>
        <w:kinsoku/>
        <w:overflowPunct/>
        <w:topLinePunct w:val="0"/>
        <w:bidi w:val="0"/>
        <w:spacing w:line="360" w:lineRule="auto"/>
        <w:ind w:firstLine="0" w:firstLineChars="0"/>
        <w:jc w:val="center"/>
        <w:outlineLvl w:val="8"/>
        <w:rPr>
          <w:rFonts w:ascii="Times New Roman"/>
          <w:sz w:val="21"/>
          <w:szCs w:val="21"/>
        </w:rPr>
      </w:pPr>
      <w:r>
        <w:rPr>
          <w:rFonts w:ascii="Times New Roman"/>
          <w:sz w:val="21"/>
          <w:szCs w:val="21"/>
        </w:rPr>
        <w:t>表</w:t>
      </w:r>
      <w:r>
        <w:rPr>
          <w:rFonts w:hint="eastAsia" w:ascii="Times New Roman"/>
          <w:sz w:val="21"/>
          <w:szCs w:val="21"/>
          <w:lang w:val="en-US" w:eastAsia="zh-CN"/>
        </w:rPr>
        <w:t>7</w:t>
      </w:r>
      <w:r>
        <w:rPr>
          <w:rFonts w:ascii="Times New Roman"/>
          <w:sz w:val="21"/>
          <w:szCs w:val="21"/>
        </w:rPr>
        <w:t xml:space="preserve"> 技术差异表</w:t>
      </w:r>
      <w:bookmarkEnd w:id="96"/>
      <w:r>
        <w:rPr>
          <w:rFonts w:ascii="Times New Roman"/>
          <w:sz w:val="21"/>
          <w:szCs w:val="21"/>
        </w:rPr>
        <w:t xml:space="preserve">  （投标方填写）</w:t>
      </w:r>
    </w:p>
    <w:tbl>
      <w:tblPr>
        <w:tblStyle w:val="22"/>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25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vAlign w:val="center"/>
          </w:tcPr>
          <w:p>
            <w:pPr>
              <w:pageBreakBefore w:val="0"/>
              <w:widowControl/>
              <w:kinsoku/>
              <w:overflowPunct/>
              <w:topLinePunct w:val="0"/>
              <w:autoSpaceDE w:val="0"/>
              <w:autoSpaceDN w:val="0"/>
              <w:bidi w:val="0"/>
              <w:spacing w:before="40" w:line="360" w:lineRule="auto"/>
              <w:jc w:val="center"/>
              <w:textAlignment w:val="bottom"/>
              <w:rPr>
                <w:sz w:val="21"/>
                <w:szCs w:val="21"/>
              </w:rPr>
            </w:pPr>
            <w:r>
              <w:rPr>
                <w:sz w:val="21"/>
                <w:szCs w:val="21"/>
              </w:rPr>
              <w:t>序</w:t>
            </w:r>
          </w:p>
          <w:p>
            <w:pPr>
              <w:pageBreakBefore w:val="0"/>
              <w:kinsoku/>
              <w:overflowPunct/>
              <w:topLinePunct w:val="0"/>
              <w:autoSpaceDE w:val="0"/>
              <w:autoSpaceDN w:val="0"/>
              <w:bidi w:val="0"/>
              <w:spacing w:before="40" w:line="360" w:lineRule="auto"/>
              <w:jc w:val="center"/>
              <w:textAlignment w:val="bottom"/>
              <w:rPr>
                <w:sz w:val="21"/>
                <w:szCs w:val="21"/>
              </w:rPr>
            </w:pPr>
            <w:r>
              <w:rPr>
                <w:sz w:val="21"/>
                <w:szCs w:val="21"/>
              </w:rPr>
              <w:t>号</w:t>
            </w:r>
          </w:p>
        </w:tc>
        <w:tc>
          <w:tcPr>
            <w:tcW w:w="3876" w:type="dxa"/>
            <w:gridSpan w:val="2"/>
            <w:vAlign w:val="center"/>
          </w:tcPr>
          <w:p>
            <w:pPr>
              <w:pageBreakBefore w:val="0"/>
              <w:widowControl/>
              <w:kinsoku/>
              <w:overflowPunct/>
              <w:topLinePunct w:val="0"/>
              <w:autoSpaceDE w:val="0"/>
              <w:autoSpaceDN w:val="0"/>
              <w:bidi w:val="0"/>
              <w:spacing w:before="40" w:line="360" w:lineRule="auto"/>
              <w:jc w:val="center"/>
              <w:textAlignment w:val="bottom"/>
              <w:rPr>
                <w:sz w:val="21"/>
                <w:szCs w:val="21"/>
              </w:rPr>
            </w:pPr>
            <w:r>
              <w:rPr>
                <w:sz w:val="21"/>
                <w:szCs w:val="21"/>
              </w:rPr>
              <w:t>招 标 文 件</w:t>
            </w:r>
          </w:p>
        </w:tc>
        <w:tc>
          <w:tcPr>
            <w:tcW w:w="3833" w:type="dxa"/>
            <w:gridSpan w:val="2"/>
            <w:vAlign w:val="center"/>
          </w:tcPr>
          <w:p>
            <w:pPr>
              <w:pageBreakBefore w:val="0"/>
              <w:widowControl/>
              <w:kinsoku/>
              <w:overflowPunct/>
              <w:topLinePunct w:val="0"/>
              <w:autoSpaceDE w:val="0"/>
              <w:autoSpaceDN w:val="0"/>
              <w:bidi w:val="0"/>
              <w:spacing w:before="40" w:line="360" w:lineRule="auto"/>
              <w:jc w:val="center"/>
              <w:textAlignment w:val="bottom"/>
              <w:rPr>
                <w:sz w:val="21"/>
                <w:szCs w:val="21"/>
              </w:rPr>
            </w:pPr>
            <w:r>
              <w:rPr>
                <w:sz w:val="21"/>
                <w:szCs w:val="21"/>
              </w:rPr>
              <w:t>投  标  文  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vAlign w:val="center"/>
          </w:tcPr>
          <w:p>
            <w:pPr>
              <w:pageBreakBefore w:val="0"/>
              <w:widowControl/>
              <w:kinsoku/>
              <w:overflowPunct/>
              <w:topLinePunct w:val="0"/>
              <w:autoSpaceDE w:val="0"/>
              <w:autoSpaceDN w:val="0"/>
              <w:bidi w:val="0"/>
              <w:spacing w:before="40" w:line="360" w:lineRule="auto"/>
              <w:jc w:val="center"/>
              <w:textAlignment w:val="bottom"/>
              <w:rPr>
                <w:sz w:val="21"/>
                <w:szCs w:val="21"/>
              </w:rPr>
            </w:pPr>
          </w:p>
        </w:tc>
        <w:tc>
          <w:tcPr>
            <w:tcW w:w="1163" w:type="dxa"/>
            <w:vAlign w:val="center"/>
          </w:tcPr>
          <w:p>
            <w:pPr>
              <w:pageBreakBefore w:val="0"/>
              <w:widowControl/>
              <w:kinsoku/>
              <w:overflowPunct/>
              <w:topLinePunct w:val="0"/>
              <w:autoSpaceDE w:val="0"/>
              <w:autoSpaceDN w:val="0"/>
              <w:bidi w:val="0"/>
              <w:spacing w:before="40" w:line="360" w:lineRule="auto"/>
              <w:jc w:val="center"/>
              <w:textAlignment w:val="bottom"/>
              <w:rPr>
                <w:sz w:val="21"/>
                <w:szCs w:val="21"/>
              </w:rPr>
            </w:pPr>
            <w:r>
              <w:rPr>
                <w:sz w:val="21"/>
                <w:szCs w:val="21"/>
              </w:rPr>
              <w:t>条  目</w:t>
            </w:r>
          </w:p>
        </w:tc>
        <w:tc>
          <w:tcPr>
            <w:tcW w:w="2713" w:type="dxa"/>
            <w:vAlign w:val="center"/>
          </w:tcPr>
          <w:p>
            <w:pPr>
              <w:pageBreakBefore w:val="0"/>
              <w:widowControl/>
              <w:kinsoku/>
              <w:overflowPunct/>
              <w:topLinePunct w:val="0"/>
              <w:autoSpaceDE w:val="0"/>
              <w:autoSpaceDN w:val="0"/>
              <w:bidi w:val="0"/>
              <w:spacing w:before="40" w:line="360" w:lineRule="auto"/>
              <w:jc w:val="center"/>
              <w:textAlignment w:val="bottom"/>
              <w:rPr>
                <w:sz w:val="21"/>
                <w:szCs w:val="21"/>
              </w:rPr>
            </w:pPr>
            <w:r>
              <w:rPr>
                <w:sz w:val="21"/>
                <w:szCs w:val="21"/>
              </w:rPr>
              <w:t>简  要  内  容</w:t>
            </w:r>
          </w:p>
        </w:tc>
        <w:tc>
          <w:tcPr>
            <w:tcW w:w="1258" w:type="dxa"/>
            <w:vAlign w:val="center"/>
          </w:tcPr>
          <w:p>
            <w:pPr>
              <w:pageBreakBefore w:val="0"/>
              <w:widowControl/>
              <w:kinsoku/>
              <w:overflowPunct/>
              <w:topLinePunct w:val="0"/>
              <w:autoSpaceDE w:val="0"/>
              <w:autoSpaceDN w:val="0"/>
              <w:bidi w:val="0"/>
              <w:spacing w:before="40" w:line="360" w:lineRule="auto"/>
              <w:jc w:val="center"/>
              <w:textAlignment w:val="bottom"/>
              <w:rPr>
                <w:sz w:val="21"/>
                <w:szCs w:val="21"/>
              </w:rPr>
            </w:pPr>
            <w:r>
              <w:rPr>
                <w:sz w:val="21"/>
                <w:szCs w:val="21"/>
              </w:rPr>
              <w:t>条  目</w:t>
            </w:r>
          </w:p>
        </w:tc>
        <w:tc>
          <w:tcPr>
            <w:tcW w:w="2575" w:type="dxa"/>
            <w:vAlign w:val="center"/>
          </w:tcPr>
          <w:p>
            <w:pPr>
              <w:pageBreakBefore w:val="0"/>
              <w:widowControl/>
              <w:kinsoku/>
              <w:overflowPunct/>
              <w:topLinePunct w:val="0"/>
              <w:autoSpaceDE w:val="0"/>
              <w:autoSpaceDN w:val="0"/>
              <w:bidi w:val="0"/>
              <w:spacing w:before="40" w:line="360" w:lineRule="auto"/>
              <w:jc w:val="center"/>
              <w:textAlignment w:val="bottom"/>
              <w:rPr>
                <w:sz w:val="21"/>
                <w:szCs w:val="21"/>
              </w:rPr>
            </w:pPr>
            <w:r>
              <w:rPr>
                <w:sz w:val="21"/>
                <w:szCs w:val="21"/>
              </w:rPr>
              <w:t>简  要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r>
              <w:rPr>
                <w:sz w:val="21"/>
                <w:szCs w:val="21"/>
              </w:rPr>
              <w:t>1</w:t>
            </w:r>
          </w:p>
        </w:tc>
        <w:tc>
          <w:tcPr>
            <w:tcW w:w="1163"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c>
          <w:tcPr>
            <w:tcW w:w="2713"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c>
          <w:tcPr>
            <w:tcW w:w="1258"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c>
          <w:tcPr>
            <w:tcW w:w="2575"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r>
              <w:rPr>
                <w:sz w:val="21"/>
                <w:szCs w:val="21"/>
              </w:rPr>
              <w:t>2</w:t>
            </w:r>
          </w:p>
        </w:tc>
        <w:tc>
          <w:tcPr>
            <w:tcW w:w="1163"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c>
          <w:tcPr>
            <w:tcW w:w="2713"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c>
          <w:tcPr>
            <w:tcW w:w="1258"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c>
          <w:tcPr>
            <w:tcW w:w="2575"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r>
              <w:rPr>
                <w:sz w:val="21"/>
                <w:szCs w:val="21"/>
              </w:rPr>
              <w:t>3</w:t>
            </w:r>
          </w:p>
        </w:tc>
        <w:tc>
          <w:tcPr>
            <w:tcW w:w="1163"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c>
          <w:tcPr>
            <w:tcW w:w="2713"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c>
          <w:tcPr>
            <w:tcW w:w="1258"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c>
          <w:tcPr>
            <w:tcW w:w="2575"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r>
              <w:rPr>
                <w:sz w:val="21"/>
                <w:szCs w:val="21"/>
              </w:rPr>
              <w:t>4</w:t>
            </w:r>
          </w:p>
        </w:tc>
        <w:tc>
          <w:tcPr>
            <w:tcW w:w="1163"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c>
          <w:tcPr>
            <w:tcW w:w="2713"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c>
          <w:tcPr>
            <w:tcW w:w="1258"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c>
          <w:tcPr>
            <w:tcW w:w="2575" w:type="dxa"/>
            <w:vAlign w:val="center"/>
          </w:tcPr>
          <w:p>
            <w:pPr>
              <w:pageBreakBefore w:val="0"/>
              <w:widowControl/>
              <w:kinsoku/>
              <w:overflowPunct/>
              <w:topLinePunct w:val="0"/>
              <w:autoSpaceDE w:val="0"/>
              <w:autoSpaceDN w:val="0"/>
              <w:bidi w:val="0"/>
              <w:spacing w:line="360" w:lineRule="auto"/>
              <w:jc w:val="center"/>
              <w:textAlignment w:val="bottom"/>
              <w:rPr>
                <w:sz w:val="21"/>
                <w:szCs w:val="21"/>
              </w:rPr>
            </w:pPr>
          </w:p>
        </w:tc>
      </w:tr>
    </w:tbl>
    <w:p>
      <w:pPr>
        <w:pStyle w:val="13"/>
        <w:pageBreakBefore w:val="0"/>
        <w:kinsoku/>
        <w:overflowPunct/>
        <w:topLinePunct w:val="0"/>
        <w:bidi w:val="0"/>
        <w:adjustRightInd w:val="0"/>
        <w:snapToGrid w:val="0"/>
        <w:spacing w:before="156" w:beforeLines="50" w:line="360" w:lineRule="auto"/>
        <w:rPr>
          <w:rFonts w:ascii="Times New Roman" w:hAnsi="Times New Roman"/>
          <w:sz w:val="21"/>
          <w:szCs w:val="21"/>
        </w:rPr>
      </w:pPr>
      <w:r>
        <w:rPr>
          <w:rFonts w:ascii="Times New Roman" w:hAnsi="Times New Roman"/>
          <w:sz w:val="21"/>
          <w:szCs w:val="21"/>
        </w:rPr>
        <w:t>投标方：</w:t>
      </w:r>
      <w:r>
        <w:rPr>
          <w:rFonts w:ascii="Times New Roman" w:hAnsi="Times New Roman"/>
          <w:sz w:val="21"/>
          <w:szCs w:val="21"/>
          <w:u w:val="single"/>
        </w:rPr>
        <w:t xml:space="preserve">             </w:t>
      </w:r>
      <w:r>
        <w:rPr>
          <w:rFonts w:ascii="Times New Roman" w:hAnsi="Times New Roman"/>
          <w:sz w:val="21"/>
          <w:szCs w:val="21"/>
        </w:rPr>
        <w:t xml:space="preserve">   盖章：</w:t>
      </w:r>
    </w:p>
    <w:p>
      <w:pPr>
        <w:pStyle w:val="13"/>
        <w:pageBreakBefore w:val="0"/>
        <w:kinsoku/>
        <w:overflowPunct/>
        <w:topLinePunct w:val="0"/>
        <w:bidi w:val="0"/>
        <w:adjustRightInd w:val="0"/>
        <w:snapToGrid w:val="0"/>
        <w:spacing w:before="156" w:beforeLines="50" w:line="360" w:lineRule="auto"/>
        <w:rPr>
          <w:rFonts w:ascii="Times New Roman" w:hAnsi="Times New Roman"/>
          <w:sz w:val="21"/>
          <w:szCs w:val="21"/>
        </w:rPr>
      </w:pPr>
    </w:p>
    <w:p>
      <w:pPr>
        <w:pStyle w:val="2"/>
        <w:keepNext/>
        <w:keepLines/>
        <w:pageBreakBefore w:val="0"/>
        <w:widowControl w:val="0"/>
        <w:kinsoku/>
        <w:wordWrap w:val="0"/>
        <w:overflowPunct/>
        <w:topLinePunct w:val="0"/>
        <w:autoSpaceDE/>
        <w:autoSpaceDN/>
        <w:bidi w:val="0"/>
        <w:adjustRightInd w:val="0"/>
        <w:snapToGrid/>
        <w:spacing w:before="0" w:beforeLines="0" w:after="0" w:line="360" w:lineRule="auto"/>
        <w:textAlignment w:val="auto"/>
        <w:rPr>
          <w:rFonts w:ascii="Times New Roman"/>
          <w:sz w:val="21"/>
          <w:szCs w:val="21"/>
        </w:rPr>
      </w:pPr>
      <w:bookmarkStart w:id="97" w:name="_Toc282420857"/>
      <w:bookmarkStart w:id="98" w:name="_Toc287602850"/>
      <w:bookmarkStart w:id="99" w:name="_Toc282421446"/>
      <w:r>
        <w:rPr>
          <w:rFonts w:ascii="Times New Roman"/>
          <w:sz w:val="21"/>
          <w:szCs w:val="21"/>
        </w:rPr>
        <w:t xml:space="preserve"> </w:t>
      </w:r>
      <w:bookmarkStart w:id="100" w:name="_Toc32241189"/>
      <w:r>
        <w:rPr>
          <w:rFonts w:hint="eastAsia"/>
          <w:sz w:val="21"/>
          <w:szCs w:val="21"/>
          <w:lang w:val="en-US" w:eastAsia="zh-CN"/>
        </w:rPr>
        <w:t>9</w:t>
      </w:r>
      <w:r>
        <w:rPr>
          <w:rFonts w:ascii="Times New Roman"/>
          <w:sz w:val="21"/>
          <w:szCs w:val="21"/>
        </w:rPr>
        <w:t>投标方需说明的其他问题</w:t>
      </w:r>
      <w:bookmarkEnd w:id="97"/>
      <w:bookmarkEnd w:id="98"/>
      <w:bookmarkEnd w:id="99"/>
      <w:bookmarkEnd w:id="100"/>
    </w:p>
    <w:p>
      <w:pPr>
        <w:pageBreakBefore w:val="0"/>
        <w:kinsoku/>
        <w:overflowPunct/>
        <w:topLinePunct w:val="0"/>
        <w:bidi w:val="0"/>
        <w:adjustRightInd w:val="0"/>
        <w:snapToGrid w:val="0"/>
        <w:spacing w:line="360" w:lineRule="auto"/>
        <w:ind w:firstLine="420" w:firstLineChars="200"/>
        <w:rPr>
          <w:rFonts w:hint="eastAsia"/>
          <w:b w:val="0"/>
          <w:bCs/>
          <w:color w:val="auto"/>
        </w:rPr>
      </w:pPr>
      <w:r>
        <w:rPr>
          <w:sz w:val="21"/>
          <w:szCs w:val="21"/>
        </w:rPr>
        <w:t>如有需说明的其他问题，投标方应通过书面形式提交，并加盖公章。</w:t>
      </w:r>
    </w:p>
    <w:sectPr>
      <w:headerReference r:id="rId10" w:type="first"/>
      <w:footerReference r:id="rId13" w:type="first"/>
      <w:headerReference r:id="rId8" w:type="default"/>
      <w:footerReference r:id="rId11" w:type="default"/>
      <w:headerReference r:id="rId9" w:type="even"/>
      <w:footerReference r:id="rId12" w:type="even"/>
      <w:pgSz w:w="11906" w:h="16838"/>
      <w:pgMar w:top="1758" w:right="1797" w:bottom="1440" w:left="1797" w:header="851" w:footer="1134" w:gutter="0"/>
      <w:pgNumType w:start="1"/>
      <w:cols w:space="425"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方正小标宋_GBK">
    <w:panose1 w:val="03000509000000000000"/>
    <w:charset w:val="86"/>
    <w:family w:val="script"/>
    <w:pitch w:val="default"/>
    <w:sig w:usb0="00000001" w:usb1="080E0000" w:usb2="00000000" w:usb3="00000000" w:csb0="00040000" w:csb1="00000000"/>
  </w:font>
  <w:font w:name="Trebuchet MS">
    <w:panose1 w:val="020B0603020202020204"/>
    <w:charset w:val="00"/>
    <w:family w:val="swiss"/>
    <w:pitch w:val="default"/>
    <w:sig w:usb0="00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280"/>
      <w:jc w:val="both"/>
      <w:rPr>
        <w:rStyle w:val="2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280"/>
      <w:jc w:val="center"/>
    </w:pPr>
    <w:r>
      <w:fldChar w:fldCharType="begin"/>
    </w:r>
    <w:r>
      <w:instrText xml:space="preserve"> PAGE   \* MERGEFORMAT </w:instrText>
    </w:r>
    <w:r>
      <w:fldChar w:fldCharType="separate"/>
    </w:r>
    <w:r>
      <w:rPr>
        <w:lang w:val="zh-CN"/>
      </w:rPr>
      <w:t>8</w:t>
    </w:r>
    <w:r>
      <w:rPr>
        <w:lang w:val="zh-CN"/>
      </w:rPr>
      <w:fldChar w:fldCharType="end"/>
    </w:r>
  </w:p>
  <w:p>
    <w:pPr>
      <w:pStyle w:val="15"/>
      <w:ind w:right="2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2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7610978"/>
      <w:docPartObj>
        <w:docPartGallery w:val="autotext"/>
      </w:docPartObj>
    </w:sdtPr>
    <w:sdtContent>
      <w:p>
        <w:pPr>
          <w:pStyle w:val="15"/>
          <w:jc w:val="center"/>
        </w:pPr>
        <w:r>
          <w:fldChar w:fldCharType="begin"/>
        </w:r>
        <w:r>
          <w:instrText xml:space="preserve">PAGE   \* MERGEFORMAT</w:instrText>
        </w:r>
        <w:r>
          <w:fldChar w:fldCharType="separate"/>
        </w:r>
        <w:r>
          <w:rPr>
            <w:lang w:val="zh-CN"/>
          </w:rPr>
          <w:t>10</w:t>
        </w:r>
        <w:r>
          <w:rPr>
            <w:lang w:val="zh-C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single" w:color="auto" w:sz="6" w:space="0"/>
      </w:pBdr>
      <w:tabs>
        <w:tab w:val="left" w:pos="9000"/>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wordWrap/>
      <w:jc w:val="center"/>
      <w:rPr>
        <w:color w:val="auto"/>
        <w:sz w:val="21"/>
        <w:szCs w:val="21"/>
      </w:rPr>
    </w:pPr>
  </w:p>
  <w:p>
    <w:pPr>
      <w:pBdr>
        <w:bottom w:val="single" w:color="auto" w:sz="4" w:space="1"/>
      </w:pBdr>
      <w:wordWrap/>
      <w:jc w:val="center"/>
      <w:rPr>
        <w:rFonts w:hint="eastAsia"/>
        <w:color w:val="auto"/>
        <w:sz w:val="21"/>
        <w:szCs w:val="21"/>
        <w:lang w:eastAsia="zh-CN"/>
      </w:rPr>
    </w:pPr>
    <w:r>
      <w:rPr>
        <w:rFonts w:hint="eastAsia"/>
        <w:color w:val="auto"/>
        <w:sz w:val="21"/>
        <w:szCs w:val="21"/>
      </w:rPr>
      <w:t>南宁局2025年透明磁吸有机玻璃板采购</w:t>
    </w:r>
    <w:r>
      <w:rPr>
        <w:rFonts w:hint="eastAsia"/>
        <w:color w:val="auto"/>
        <w:sz w:val="21"/>
        <w:szCs w:val="21"/>
        <w:lang w:val="en-US" w:eastAsia="zh-CN"/>
      </w:rPr>
      <w:t>项目</w:t>
    </w:r>
    <w:r>
      <w:rPr>
        <w:rFonts w:hint="eastAsia"/>
        <w:color w:val="auto"/>
        <w:sz w:val="21"/>
        <w:szCs w:val="21"/>
        <w:lang w:eastAsia="zh-CN"/>
      </w:rPr>
      <w:t>技术规范书</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C91163"/>
    <w:multiLevelType w:val="multilevel"/>
    <w:tmpl w:val="1FC91163"/>
    <w:lvl w:ilvl="0" w:tentative="0">
      <w:start w:val="1"/>
      <w:numFmt w:val="decimal"/>
      <w:pStyle w:val="37"/>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36"/>
      <w:suff w:val="nothing"/>
      <w:lvlText w:val="%1.%2　"/>
      <w:lvlJc w:val="left"/>
      <w:pPr>
        <w:ind w:left="142" w:firstLine="0"/>
      </w:pPr>
      <w:rPr>
        <w:rFonts w:hint="eastAsia" w:ascii="黑体" w:hAnsi="Times New Roman" w:eastAsia="黑体" w:cs="Times New Roman"/>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tentative="0">
      <w:start w:val="1"/>
      <w:numFmt w:val="decimal"/>
      <w:pStyle w:val="38"/>
      <w:suff w:val="nothing"/>
      <w:lvlText w:val="%1.%2.%3　"/>
      <w:lvlJc w:val="left"/>
      <w:pPr>
        <w:ind w:left="426" w:firstLine="0"/>
      </w:pPr>
      <w:rPr>
        <w:rFonts w:hint="eastAsia" w:ascii="黑体" w:hAnsi="黑体" w:eastAsia="黑体"/>
        <w:b w:val="0"/>
        <w:i w:val="0"/>
        <w:sz w:val="21"/>
      </w:rPr>
    </w:lvl>
    <w:lvl w:ilvl="3" w:tentative="0">
      <w:start w:val="1"/>
      <w:numFmt w:val="decimal"/>
      <w:pStyle w:val="39"/>
      <w:suff w:val="nothing"/>
      <w:lvlText w:val="%1.%2.%3.%4　"/>
      <w:lvlJc w:val="left"/>
      <w:pPr>
        <w:ind w:left="709" w:firstLine="0"/>
      </w:pPr>
      <w:rPr>
        <w:rFonts w:hint="eastAsia" w:ascii="黑体" w:hAnsi="Times New Roman" w:eastAsia="黑体"/>
        <w:b w:val="0"/>
        <w:i w:val="0"/>
        <w:sz w:val="21"/>
      </w:rPr>
    </w:lvl>
    <w:lvl w:ilvl="4" w:tentative="0">
      <w:start w:val="1"/>
      <w:numFmt w:val="decimal"/>
      <w:pStyle w:val="40"/>
      <w:suff w:val="nothing"/>
      <w:lvlText w:val="%1.%2.%3.%4.%5　"/>
      <w:lvlJc w:val="left"/>
      <w:pPr>
        <w:ind w:left="0" w:firstLine="0"/>
      </w:pPr>
      <w:rPr>
        <w:rFonts w:hint="eastAsia" w:ascii="黑体" w:hAnsi="Times New Roman" w:eastAsia="黑体"/>
        <w:b w:val="0"/>
        <w:i w:val="0"/>
        <w:sz w:val="21"/>
      </w:rPr>
    </w:lvl>
    <w:lvl w:ilvl="5" w:tentative="0">
      <w:start w:val="1"/>
      <w:numFmt w:val="decimal"/>
      <w:pStyle w:val="41"/>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657D3FBC"/>
    <w:multiLevelType w:val="multilevel"/>
    <w:tmpl w:val="657D3FBC"/>
    <w:lvl w:ilvl="0" w:tentative="0">
      <w:start w:val="1"/>
      <w:numFmt w:val="upperLetter"/>
      <w:pStyle w:val="48"/>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53"/>
      <w:suff w:val="nothing"/>
      <w:lvlText w:val="%1.%2　"/>
      <w:lvlJc w:val="left"/>
      <w:pPr>
        <w:ind w:left="710" w:firstLine="0"/>
      </w:pPr>
      <w:rPr>
        <w:rFonts w:hint="eastAsia" w:ascii="黑体" w:hAnsi="Times New Roman" w:eastAsia="黑体"/>
        <w:b w:val="0"/>
        <w:i w:val="0"/>
        <w:snapToGrid/>
        <w:spacing w:val="0"/>
        <w:w w:val="100"/>
        <w:kern w:val="21"/>
        <w:sz w:val="21"/>
      </w:rPr>
    </w:lvl>
    <w:lvl w:ilvl="2" w:tentative="0">
      <w:start w:val="1"/>
      <w:numFmt w:val="decimal"/>
      <w:pStyle w:val="54"/>
      <w:suff w:val="nothing"/>
      <w:lvlText w:val="%1.%2.%3　"/>
      <w:lvlJc w:val="left"/>
      <w:pPr>
        <w:ind w:left="0" w:firstLine="0"/>
      </w:pPr>
      <w:rPr>
        <w:rFonts w:hint="eastAsia" w:ascii="黑体" w:hAnsi="Times New Roman" w:eastAsia="黑体"/>
        <w:b w:val="0"/>
        <w:i w:val="0"/>
        <w:sz w:val="21"/>
      </w:rPr>
    </w:lvl>
    <w:lvl w:ilvl="3" w:tentative="0">
      <w:start w:val="1"/>
      <w:numFmt w:val="decimal"/>
      <w:pStyle w:val="49"/>
      <w:suff w:val="nothing"/>
      <w:lvlText w:val="%1.%2.%3.%4　"/>
      <w:lvlJc w:val="left"/>
      <w:pPr>
        <w:ind w:left="0" w:firstLine="0"/>
      </w:pPr>
      <w:rPr>
        <w:rFonts w:hint="eastAsia" w:ascii="黑体" w:hAnsi="Times New Roman" w:eastAsia="黑体"/>
        <w:b w:val="0"/>
        <w:i w:val="0"/>
        <w:sz w:val="21"/>
      </w:rPr>
    </w:lvl>
    <w:lvl w:ilvl="4" w:tentative="0">
      <w:start w:val="1"/>
      <w:numFmt w:val="decimal"/>
      <w:pStyle w:val="50"/>
      <w:suff w:val="nothing"/>
      <w:lvlText w:val="%1.%2.%3.%4.%5　"/>
      <w:lvlJc w:val="left"/>
      <w:pPr>
        <w:ind w:left="0" w:firstLine="0"/>
      </w:pPr>
      <w:rPr>
        <w:rFonts w:hint="eastAsia" w:ascii="黑体" w:hAnsi="Times New Roman" w:eastAsia="黑体"/>
        <w:b w:val="0"/>
        <w:i w:val="0"/>
        <w:sz w:val="21"/>
      </w:rPr>
    </w:lvl>
    <w:lvl w:ilvl="5" w:tentative="0">
      <w:start w:val="1"/>
      <w:numFmt w:val="decimal"/>
      <w:pStyle w:val="51"/>
      <w:suff w:val="nothing"/>
      <w:lvlText w:val="%1.%2.%3.%4.%5.%6　"/>
      <w:lvlJc w:val="left"/>
      <w:pPr>
        <w:ind w:left="0" w:firstLine="0"/>
      </w:pPr>
      <w:rPr>
        <w:rFonts w:hint="eastAsia" w:ascii="黑体" w:hAnsi="Times New Roman" w:eastAsia="黑体"/>
        <w:b w:val="0"/>
        <w:i w:val="0"/>
        <w:sz w:val="21"/>
      </w:rPr>
    </w:lvl>
    <w:lvl w:ilvl="6" w:tentative="0">
      <w:start w:val="1"/>
      <w:numFmt w:val="decimal"/>
      <w:pStyle w:val="52"/>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nforcement="0"/>
  <w:defaultTabStop w:val="420"/>
  <w:drawingGridHorizontalSpacing w:val="140"/>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hZTIwNTRmYjU1NThiN2Q2YjU0ZGM5ODZmYzA3ODkifQ=="/>
    <w:docVar w:name="KSO_WPS_MARK_KEY" w:val="2ccc25ba-aad6-47ff-950a-3c9305c67309"/>
  </w:docVars>
  <w:rsids>
    <w:rsidRoot w:val="000C73FB"/>
    <w:rsid w:val="000176F9"/>
    <w:rsid w:val="00022FDB"/>
    <w:rsid w:val="0005166D"/>
    <w:rsid w:val="0006063F"/>
    <w:rsid w:val="00070694"/>
    <w:rsid w:val="000802BB"/>
    <w:rsid w:val="0008052B"/>
    <w:rsid w:val="000954AD"/>
    <w:rsid w:val="000A522E"/>
    <w:rsid w:val="000C47EC"/>
    <w:rsid w:val="000C73FB"/>
    <w:rsid w:val="000E0F5D"/>
    <w:rsid w:val="0011700A"/>
    <w:rsid w:val="001236B6"/>
    <w:rsid w:val="00134F68"/>
    <w:rsid w:val="0013669D"/>
    <w:rsid w:val="00160FB0"/>
    <w:rsid w:val="001634EE"/>
    <w:rsid w:val="001877F1"/>
    <w:rsid w:val="001959AE"/>
    <w:rsid w:val="00197A9C"/>
    <w:rsid w:val="001A30B4"/>
    <w:rsid w:val="001D08D2"/>
    <w:rsid w:val="001D0DF4"/>
    <w:rsid w:val="001D57B0"/>
    <w:rsid w:val="001F5E11"/>
    <w:rsid w:val="00244FA2"/>
    <w:rsid w:val="002A7091"/>
    <w:rsid w:val="00300EE6"/>
    <w:rsid w:val="00303378"/>
    <w:rsid w:val="00306E74"/>
    <w:rsid w:val="003441FC"/>
    <w:rsid w:val="00362AEA"/>
    <w:rsid w:val="003A2474"/>
    <w:rsid w:val="003B7062"/>
    <w:rsid w:val="003C02CE"/>
    <w:rsid w:val="003D0492"/>
    <w:rsid w:val="003D5FB8"/>
    <w:rsid w:val="003E1DFB"/>
    <w:rsid w:val="003F32D8"/>
    <w:rsid w:val="003F7F0D"/>
    <w:rsid w:val="0046355D"/>
    <w:rsid w:val="00493271"/>
    <w:rsid w:val="004954F3"/>
    <w:rsid w:val="00496522"/>
    <w:rsid w:val="004976B0"/>
    <w:rsid w:val="004A5876"/>
    <w:rsid w:val="004E596D"/>
    <w:rsid w:val="00520FDC"/>
    <w:rsid w:val="0055471E"/>
    <w:rsid w:val="0056206B"/>
    <w:rsid w:val="00564C45"/>
    <w:rsid w:val="0056587D"/>
    <w:rsid w:val="005842F4"/>
    <w:rsid w:val="005873CB"/>
    <w:rsid w:val="0059427C"/>
    <w:rsid w:val="005A3660"/>
    <w:rsid w:val="005C2B68"/>
    <w:rsid w:val="005E0967"/>
    <w:rsid w:val="005E2CFB"/>
    <w:rsid w:val="005E4032"/>
    <w:rsid w:val="00603F10"/>
    <w:rsid w:val="00613B9F"/>
    <w:rsid w:val="00632F4D"/>
    <w:rsid w:val="0064655B"/>
    <w:rsid w:val="006515B4"/>
    <w:rsid w:val="0066790C"/>
    <w:rsid w:val="006A183A"/>
    <w:rsid w:val="006A3A64"/>
    <w:rsid w:val="006D2BA8"/>
    <w:rsid w:val="006D7F72"/>
    <w:rsid w:val="007026FA"/>
    <w:rsid w:val="0071363F"/>
    <w:rsid w:val="007572FA"/>
    <w:rsid w:val="007804E2"/>
    <w:rsid w:val="00781E9D"/>
    <w:rsid w:val="007B5A84"/>
    <w:rsid w:val="007C0678"/>
    <w:rsid w:val="007C4C8F"/>
    <w:rsid w:val="007D0876"/>
    <w:rsid w:val="007D1D66"/>
    <w:rsid w:val="007F7027"/>
    <w:rsid w:val="00821D82"/>
    <w:rsid w:val="00856542"/>
    <w:rsid w:val="008869A1"/>
    <w:rsid w:val="008B2985"/>
    <w:rsid w:val="00915528"/>
    <w:rsid w:val="00940D9A"/>
    <w:rsid w:val="0095448B"/>
    <w:rsid w:val="00966086"/>
    <w:rsid w:val="00966D7A"/>
    <w:rsid w:val="00993128"/>
    <w:rsid w:val="00996A37"/>
    <w:rsid w:val="009B7A87"/>
    <w:rsid w:val="009F5D6D"/>
    <w:rsid w:val="00A467E0"/>
    <w:rsid w:val="00A54790"/>
    <w:rsid w:val="00AA05A4"/>
    <w:rsid w:val="00AC4DED"/>
    <w:rsid w:val="00AD00EE"/>
    <w:rsid w:val="00B6232E"/>
    <w:rsid w:val="00B70A94"/>
    <w:rsid w:val="00B70C81"/>
    <w:rsid w:val="00BA5264"/>
    <w:rsid w:val="00BA5BBD"/>
    <w:rsid w:val="00BB77C5"/>
    <w:rsid w:val="00C016FA"/>
    <w:rsid w:val="00C02507"/>
    <w:rsid w:val="00C05DB2"/>
    <w:rsid w:val="00C06601"/>
    <w:rsid w:val="00C81F47"/>
    <w:rsid w:val="00C907C1"/>
    <w:rsid w:val="00CA46AA"/>
    <w:rsid w:val="00CE3AF3"/>
    <w:rsid w:val="00D13F3B"/>
    <w:rsid w:val="00D170CA"/>
    <w:rsid w:val="00D218C5"/>
    <w:rsid w:val="00D22D49"/>
    <w:rsid w:val="00D34CF5"/>
    <w:rsid w:val="00D5609D"/>
    <w:rsid w:val="00D64B5E"/>
    <w:rsid w:val="00D814C3"/>
    <w:rsid w:val="00D9420D"/>
    <w:rsid w:val="00E0459A"/>
    <w:rsid w:val="00E16F8C"/>
    <w:rsid w:val="00E42774"/>
    <w:rsid w:val="00E46C8B"/>
    <w:rsid w:val="00E608F4"/>
    <w:rsid w:val="00E60993"/>
    <w:rsid w:val="00E7698F"/>
    <w:rsid w:val="00EB5616"/>
    <w:rsid w:val="00EB5D06"/>
    <w:rsid w:val="00F114C5"/>
    <w:rsid w:val="00F33026"/>
    <w:rsid w:val="00F86692"/>
    <w:rsid w:val="00FA63AC"/>
    <w:rsid w:val="00FC55A9"/>
    <w:rsid w:val="00FD10C8"/>
    <w:rsid w:val="00FE3D6E"/>
    <w:rsid w:val="00FE50D0"/>
    <w:rsid w:val="00FE5984"/>
    <w:rsid w:val="02F46E01"/>
    <w:rsid w:val="0308299E"/>
    <w:rsid w:val="034F0C8C"/>
    <w:rsid w:val="03680476"/>
    <w:rsid w:val="03F66A6E"/>
    <w:rsid w:val="04407316"/>
    <w:rsid w:val="05460401"/>
    <w:rsid w:val="059B692C"/>
    <w:rsid w:val="05AB2DBC"/>
    <w:rsid w:val="0772279E"/>
    <w:rsid w:val="08F75AF4"/>
    <w:rsid w:val="098A2CF3"/>
    <w:rsid w:val="0AAC46C8"/>
    <w:rsid w:val="0BB54FBD"/>
    <w:rsid w:val="0F0739C1"/>
    <w:rsid w:val="0F442399"/>
    <w:rsid w:val="0F660E55"/>
    <w:rsid w:val="10FF5EF2"/>
    <w:rsid w:val="110017B4"/>
    <w:rsid w:val="11C524F4"/>
    <w:rsid w:val="11FD4814"/>
    <w:rsid w:val="12A06638"/>
    <w:rsid w:val="131262E1"/>
    <w:rsid w:val="13D84582"/>
    <w:rsid w:val="14F85698"/>
    <w:rsid w:val="156825AE"/>
    <w:rsid w:val="157962F0"/>
    <w:rsid w:val="15A76E10"/>
    <w:rsid w:val="15B032D3"/>
    <w:rsid w:val="16111742"/>
    <w:rsid w:val="169222C5"/>
    <w:rsid w:val="16957F3E"/>
    <w:rsid w:val="16E978ED"/>
    <w:rsid w:val="17057A51"/>
    <w:rsid w:val="180D7ADF"/>
    <w:rsid w:val="195E3358"/>
    <w:rsid w:val="197B3CDD"/>
    <w:rsid w:val="1B4F3738"/>
    <w:rsid w:val="1C0D38A7"/>
    <w:rsid w:val="1C411B38"/>
    <w:rsid w:val="1DE931F4"/>
    <w:rsid w:val="1E9659CA"/>
    <w:rsid w:val="1EC1666A"/>
    <w:rsid w:val="1F112DC9"/>
    <w:rsid w:val="1F344191"/>
    <w:rsid w:val="202F7D2F"/>
    <w:rsid w:val="205C406D"/>
    <w:rsid w:val="2129610F"/>
    <w:rsid w:val="21417A0D"/>
    <w:rsid w:val="215F0756"/>
    <w:rsid w:val="216A5A0D"/>
    <w:rsid w:val="217A3837"/>
    <w:rsid w:val="228E3801"/>
    <w:rsid w:val="23436267"/>
    <w:rsid w:val="237C3621"/>
    <w:rsid w:val="23BC1CB2"/>
    <w:rsid w:val="26AE6283"/>
    <w:rsid w:val="275C5F71"/>
    <w:rsid w:val="27986CE8"/>
    <w:rsid w:val="286A4149"/>
    <w:rsid w:val="29410355"/>
    <w:rsid w:val="2A4C7F0E"/>
    <w:rsid w:val="2A506E02"/>
    <w:rsid w:val="2A6A7301"/>
    <w:rsid w:val="2AB67FAE"/>
    <w:rsid w:val="2AF045DD"/>
    <w:rsid w:val="2ECE1D1E"/>
    <w:rsid w:val="2F727680"/>
    <w:rsid w:val="2FA02E41"/>
    <w:rsid w:val="31182032"/>
    <w:rsid w:val="312417F3"/>
    <w:rsid w:val="31A3127F"/>
    <w:rsid w:val="31AB249C"/>
    <w:rsid w:val="31C45561"/>
    <w:rsid w:val="32D940C3"/>
    <w:rsid w:val="32DA34FB"/>
    <w:rsid w:val="33A309C5"/>
    <w:rsid w:val="343550E8"/>
    <w:rsid w:val="34FA0BAE"/>
    <w:rsid w:val="356A27FB"/>
    <w:rsid w:val="359C7023"/>
    <w:rsid w:val="36227C1F"/>
    <w:rsid w:val="3641322C"/>
    <w:rsid w:val="3A622306"/>
    <w:rsid w:val="3B3B2194"/>
    <w:rsid w:val="3CB834AB"/>
    <w:rsid w:val="3E7667CE"/>
    <w:rsid w:val="3EF76445"/>
    <w:rsid w:val="3F245F4D"/>
    <w:rsid w:val="40CB045E"/>
    <w:rsid w:val="42390634"/>
    <w:rsid w:val="423B3B37"/>
    <w:rsid w:val="430B7106"/>
    <w:rsid w:val="434458B0"/>
    <w:rsid w:val="436714C8"/>
    <w:rsid w:val="43A46482"/>
    <w:rsid w:val="448A687F"/>
    <w:rsid w:val="463909CD"/>
    <w:rsid w:val="46541EB5"/>
    <w:rsid w:val="46FC6420"/>
    <w:rsid w:val="49057635"/>
    <w:rsid w:val="499017BD"/>
    <w:rsid w:val="49BA174B"/>
    <w:rsid w:val="4B104ED4"/>
    <w:rsid w:val="4BA74AAE"/>
    <w:rsid w:val="4BFB7B45"/>
    <w:rsid w:val="4CA633A4"/>
    <w:rsid w:val="4D077EEE"/>
    <w:rsid w:val="4D435A58"/>
    <w:rsid w:val="4D537A68"/>
    <w:rsid w:val="4D5420AA"/>
    <w:rsid w:val="4E1E2C28"/>
    <w:rsid w:val="4FCD566B"/>
    <w:rsid w:val="51196DAF"/>
    <w:rsid w:val="518D60D8"/>
    <w:rsid w:val="51E57DEC"/>
    <w:rsid w:val="52F142D3"/>
    <w:rsid w:val="533671FD"/>
    <w:rsid w:val="53454988"/>
    <w:rsid w:val="53B81EE5"/>
    <w:rsid w:val="546C48D2"/>
    <w:rsid w:val="558E02BE"/>
    <w:rsid w:val="56590AC1"/>
    <w:rsid w:val="56952EBC"/>
    <w:rsid w:val="5763076D"/>
    <w:rsid w:val="57A16053"/>
    <w:rsid w:val="57ED2000"/>
    <w:rsid w:val="5ABC71EA"/>
    <w:rsid w:val="5C021381"/>
    <w:rsid w:val="5C56352E"/>
    <w:rsid w:val="5CCA558F"/>
    <w:rsid w:val="5CD05385"/>
    <w:rsid w:val="5E0716F3"/>
    <w:rsid w:val="5E53134F"/>
    <w:rsid w:val="5E957B2E"/>
    <w:rsid w:val="5EC13B82"/>
    <w:rsid w:val="5F246904"/>
    <w:rsid w:val="5F277EB5"/>
    <w:rsid w:val="5F93775D"/>
    <w:rsid w:val="60F918D6"/>
    <w:rsid w:val="617C6AA4"/>
    <w:rsid w:val="62FD6475"/>
    <w:rsid w:val="6319608E"/>
    <w:rsid w:val="63353B37"/>
    <w:rsid w:val="6381110C"/>
    <w:rsid w:val="638854E0"/>
    <w:rsid w:val="643C2DB5"/>
    <w:rsid w:val="650B0753"/>
    <w:rsid w:val="654C6FBE"/>
    <w:rsid w:val="65BE2589"/>
    <w:rsid w:val="66865A41"/>
    <w:rsid w:val="67440E1A"/>
    <w:rsid w:val="68795ACE"/>
    <w:rsid w:val="69B770C7"/>
    <w:rsid w:val="6A894958"/>
    <w:rsid w:val="6AED4A82"/>
    <w:rsid w:val="6B40396D"/>
    <w:rsid w:val="6C4F1223"/>
    <w:rsid w:val="6CF8581F"/>
    <w:rsid w:val="6DC43DC0"/>
    <w:rsid w:val="6E2E3B8D"/>
    <w:rsid w:val="6F966041"/>
    <w:rsid w:val="6FC95379"/>
    <w:rsid w:val="7045295A"/>
    <w:rsid w:val="70F574E0"/>
    <w:rsid w:val="716C7A3B"/>
    <w:rsid w:val="71871874"/>
    <w:rsid w:val="71C934EB"/>
    <w:rsid w:val="729B070F"/>
    <w:rsid w:val="729B2130"/>
    <w:rsid w:val="737A0503"/>
    <w:rsid w:val="74AA757F"/>
    <w:rsid w:val="75CE6480"/>
    <w:rsid w:val="761E3F26"/>
    <w:rsid w:val="76986C9F"/>
    <w:rsid w:val="775557DB"/>
    <w:rsid w:val="77E42ADA"/>
    <w:rsid w:val="78AB0D85"/>
    <w:rsid w:val="7BD1168C"/>
    <w:rsid w:val="7BD215B2"/>
    <w:rsid w:val="7D0208D5"/>
    <w:rsid w:val="7D770C79"/>
    <w:rsid w:val="7E471819"/>
    <w:rsid w:val="7E4B388B"/>
    <w:rsid w:val="7E765393"/>
    <w:rsid w:val="7F8526F8"/>
    <w:rsid w:val="7FFB2C8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jc w:val="both"/>
    </w:pPr>
    <w:rPr>
      <w:rFonts w:ascii="Times New Roman" w:hAnsi="Times New Roman" w:eastAsia="宋体" w:cs="Times New Roman"/>
      <w:color w:val="000000"/>
      <w:kern w:val="2"/>
      <w:sz w:val="28"/>
      <w:lang w:val="en-US" w:eastAsia="zh-CN" w:bidi="ar-SA"/>
    </w:rPr>
  </w:style>
  <w:style w:type="paragraph" w:styleId="2">
    <w:name w:val="heading 1"/>
    <w:basedOn w:val="1"/>
    <w:next w:val="1"/>
    <w:link w:val="28"/>
    <w:qFormat/>
    <w:uiPriority w:val="0"/>
    <w:pPr>
      <w:keepNext/>
      <w:keepLines/>
      <w:spacing w:before="340" w:after="330" w:line="578" w:lineRule="auto"/>
      <w:outlineLvl w:val="0"/>
    </w:pPr>
    <w:rPr>
      <w:b/>
      <w:bCs/>
      <w:kern w:val="44"/>
      <w:sz w:val="32"/>
      <w:szCs w:val="44"/>
    </w:rPr>
  </w:style>
  <w:style w:type="paragraph" w:styleId="3">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1"/>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32"/>
    <w:unhideWhenUsed/>
    <w:qFormat/>
    <w:uiPriority w:val="0"/>
    <w:pPr>
      <w:keepNext/>
      <w:keepLines/>
      <w:spacing w:before="280" w:after="290" w:line="376" w:lineRule="auto"/>
      <w:outlineLvl w:val="3"/>
    </w:pPr>
    <w:rPr>
      <w:rFonts w:asciiTheme="majorHAnsi" w:hAnsiTheme="majorHAnsi" w:eastAsiaTheme="majorEastAsia" w:cstheme="majorBidi"/>
      <w:b/>
      <w:bCs/>
      <w:szCs w:val="28"/>
    </w:rPr>
  </w:style>
  <w:style w:type="paragraph" w:styleId="6">
    <w:name w:val="heading 5"/>
    <w:basedOn w:val="1"/>
    <w:next w:val="1"/>
    <w:link w:val="57"/>
    <w:qFormat/>
    <w:uiPriority w:val="0"/>
    <w:pPr>
      <w:keepNext/>
      <w:keepLines/>
      <w:spacing w:before="120" w:after="120"/>
      <w:outlineLvl w:val="4"/>
    </w:pPr>
    <w:rPr>
      <w:rFonts w:ascii="Calibri" w:hAnsi="Calibri" w:eastAsia="黑体"/>
      <w:b/>
      <w:bCs/>
      <w:sz w:val="24"/>
      <w:szCs w:val="28"/>
    </w:rPr>
  </w:style>
  <w:style w:type="paragraph" w:styleId="7">
    <w:name w:val="heading 6"/>
    <w:basedOn w:val="1"/>
    <w:next w:val="1"/>
    <w:link w:val="58"/>
    <w:qFormat/>
    <w:uiPriority w:val="0"/>
    <w:pPr>
      <w:keepNext/>
      <w:keepLines/>
      <w:spacing w:before="120" w:after="120"/>
      <w:outlineLvl w:val="5"/>
    </w:pPr>
    <w:rPr>
      <w:rFonts w:ascii="Arial" w:hAnsi="Arial" w:eastAsia="黑体"/>
      <w:b/>
      <w:bCs/>
      <w:sz w:val="2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8">
    <w:name w:val="caption"/>
    <w:basedOn w:val="1"/>
    <w:next w:val="1"/>
    <w:unhideWhenUsed/>
    <w:qFormat/>
    <w:uiPriority w:val="35"/>
    <w:rPr>
      <w:rFonts w:eastAsia="黑体" w:asciiTheme="majorHAnsi" w:hAnsiTheme="majorHAnsi" w:cstheme="majorBidi"/>
      <w:sz w:val="20"/>
    </w:rPr>
  </w:style>
  <w:style w:type="paragraph" w:styleId="9">
    <w:name w:val="Document Map"/>
    <w:basedOn w:val="1"/>
    <w:link w:val="68"/>
    <w:semiHidden/>
    <w:unhideWhenUsed/>
    <w:qFormat/>
    <w:uiPriority w:val="99"/>
    <w:rPr>
      <w:rFonts w:ascii="宋体"/>
      <w:sz w:val="18"/>
      <w:szCs w:val="18"/>
    </w:rPr>
  </w:style>
  <w:style w:type="paragraph" w:styleId="10">
    <w:name w:val="annotation text"/>
    <w:basedOn w:val="1"/>
    <w:semiHidden/>
    <w:unhideWhenUsed/>
    <w:qFormat/>
    <w:uiPriority w:val="99"/>
    <w:pPr>
      <w:jc w:val="left"/>
    </w:pPr>
  </w:style>
  <w:style w:type="paragraph" w:styleId="11">
    <w:name w:val="toc 5"/>
    <w:basedOn w:val="1"/>
    <w:next w:val="1"/>
    <w:semiHidden/>
    <w:unhideWhenUsed/>
    <w:qFormat/>
    <w:uiPriority w:val="39"/>
    <w:pPr>
      <w:snapToGrid w:val="0"/>
      <w:ind w:firstLine="200" w:firstLineChars="200"/>
    </w:pPr>
  </w:style>
  <w:style w:type="paragraph" w:styleId="12">
    <w:name w:val="toc 3"/>
    <w:basedOn w:val="1"/>
    <w:next w:val="1"/>
    <w:unhideWhenUsed/>
    <w:qFormat/>
    <w:uiPriority w:val="39"/>
    <w:pPr>
      <w:snapToGrid w:val="0"/>
      <w:ind w:firstLine="200" w:firstLineChars="200"/>
    </w:pPr>
  </w:style>
  <w:style w:type="paragraph" w:styleId="13">
    <w:name w:val="Plain Text"/>
    <w:basedOn w:val="1"/>
    <w:link w:val="55"/>
    <w:qFormat/>
    <w:uiPriority w:val="0"/>
    <w:pPr>
      <w:adjustRightInd w:val="0"/>
      <w:spacing w:line="312" w:lineRule="atLeast"/>
      <w:textAlignment w:val="baseline"/>
    </w:pPr>
    <w:rPr>
      <w:rFonts w:ascii="宋体" w:hAnsi="Courier New" w:cs="Courier New"/>
      <w:szCs w:val="21"/>
    </w:rPr>
  </w:style>
  <w:style w:type="paragraph" w:styleId="14">
    <w:name w:val="Balloon Text"/>
    <w:basedOn w:val="1"/>
    <w:link w:val="44"/>
    <w:unhideWhenUsed/>
    <w:qFormat/>
    <w:uiPriority w:val="99"/>
    <w:rPr>
      <w:sz w:val="18"/>
      <w:szCs w:val="18"/>
    </w:rPr>
  </w:style>
  <w:style w:type="paragraph" w:styleId="15">
    <w:name w:val="footer"/>
    <w:basedOn w:val="1"/>
    <w:link w:val="43"/>
    <w:unhideWhenUsed/>
    <w:qFormat/>
    <w:uiPriority w:val="99"/>
    <w:pPr>
      <w:tabs>
        <w:tab w:val="center" w:pos="4153"/>
        <w:tab w:val="right" w:pos="8306"/>
      </w:tabs>
      <w:snapToGrid w:val="0"/>
      <w:jc w:val="left"/>
    </w:pPr>
    <w:rPr>
      <w:sz w:val="18"/>
      <w:szCs w:val="18"/>
    </w:rPr>
  </w:style>
  <w:style w:type="paragraph" w:styleId="16">
    <w:name w:val="header"/>
    <w:basedOn w:val="1"/>
    <w:link w:val="42"/>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pPr>
      <w:snapToGrid w:val="0"/>
      <w:ind w:firstLine="200" w:firstLineChars="200"/>
    </w:pPr>
  </w:style>
  <w:style w:type="paragraph" w:styleId="18">
    <w:name w:val="toc 4"/>
    <w:basedOn w:val="1"/>
    <w:next w:val="1"/>
    <w:semiHidden/>
    <w:unhideWhenUsed/>
    <w:qFormat/>
    <w:uiPriority w:val="39"/>
    <w:pPr>
      <w:snapToGrid w:val="0"/>
      <w:ind w:firstLine="200" w:firstLineChars="200"/>
    </w:pPr>
  </w:style>
  <w:style w:type="paragraph" w:styleId="19">
    <w:name w:val="toc 6"/>
    <w:basedOn w:val="1"/>
    <w:next w:val="1"/>
    <w:semiHidden/>
    <w:unhideWhenUsed/>
    <w:qFormat/>
    <w:uiPriority w:val="39"/>
    <w:pPr>
      <w:snapToGrid w:val="0"/>
      <w:ind w:firstLine="200" w:firstLineChars="200"/>
    </w:pPr>
  </w:style>
  <w:style w:type="paragraph" w:styleId="20">
    <w:name w:val="toc 2"/>
    <w:basedOn w:val="1"/>
    <w:next w:val="1"/>
    <w:unhideWhenUsed/>
    <w:qFormat/>
    <w:uiPriority w:val="39"/>
    <w:pPr>
      <w:snapToGrid w:val="0"/>
      <w:ind w:firstLine="200" w:firstLineChars="200"/>
    </w:pPr>
  </w:style>
  <w:style w:type="paragraph" w:styleId="21">
    <w:name w:val="Normal (Web)"/>
    <w:basedOn w:val="1"/>
    <w:unhideWhenUsed/>
    <w:qFormat/>
    <w:uiPriority w:val="99"/>
    <w:pPr>
      <w:widowControl/>
      <w:spacing w:before="100" w:beforeAutospacing="1" w:after="100" w:afterAutospacing="1"/>
      <w:jc w:val="left"/>
    </w:pPr>
    <w:rPr>
      <w:rFonts w:ascii="宋体" w:hAnsi="宋体" w:cs="宋体"/>
      <w:kern w:val="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Hyperlink"/>
    <w:basedOn w:val="24"/>
    <w:unhideWhenUsed/>
    <w:qFormat/>
    <w:uiPriority w:val="99"/>
    <w:rPr>
      <w:color w:val="0000FF" w:themeColor="hyperlink"/>
      <w:u w:val="single"/>
      <w14:textFill>
        <w14:solidFill>
          <w14:schemeClr w14:val="hlink"/>
        </w14:solidFill>
      </w14:textFill>
    </w:rPr>
  </w:style>
  <w:style w:type="paragraph" w:customStyle="1" w:styleId="27">
    <w:name w:val="无间隔1"/>
    <w:qFormat/>
    <w:uiPriority w:val="1"/>
    <w:pPr>
      <w:widowControl w:val="0"/>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28">
    <w:name w:val="标题 1 Char"/>
    <w:basedOn w:val="24"/>
    <w:link w:val="2"/>
    <w:qFormat/>
    <w:uiPriority w:val="0"/>
    <w:rPr>
      <w:rFonts w:ascii="Times New Roman" w:hAnsi="Times New Roman" w:eastAsia="宋体" w:cs="Times New Roman"/>
      <w:b/>
      <w:bCs/>
      <w:color w:val="000000"/>
      <w:kern w:val="44"/>
      <w:sz w:val="32"/>
      <w:szCs w:val="44"/>
    </w:rPr>
  </w:style>
  <w:style w:type="paragraph" w:customStyle="1" w:styleId="29">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character" w:customStyle="1" w:styleId="30">
    <w:name w:val="标题 2 Char"/>
    <w:basedOn w:val="24"/>
    <w:link w:val="3"/>
    <w:qFormat/>
    <w:uiPriority w:val="9"/>
    <w:rPr>
      <w:rFonts w:asciiTheme="majorHAnsi" w:hAnsiTheme="majorHAnsi" w:eastAsiaTheme="majorEastAsia" w:cstheme="majorBidi"/>
      <w:b/>
      <w:bCs/>
      <w:sz w:val="32"/>
      <w:szCs w:val="32"/>
    </w:rPr>
  </w:style>
  <w:style w:type="character" w:customStyle="1" w:styleId="31">
    <w:name w:val="标题 3 Char"/>
    <w:basedOn w:val="24"/>
    <w:link w:val="4"/>
    <w:qFormat/>
    <w:uiPriority w:val="9"/>
    <w:rPr>
      <w:rFonts w:ascii="Times New Roman" w:hAnsi="Times New Roman" w:eastAsia="宋体" w:cs="Times New Roman"/>
      <w:b/>
      <w:bCs/>
      <w:sz w:val="32"/>
      <w:szCs w:val="32"/>
    </w:rPr>
  </w:style>
  <w:style w:type="character" w:customStyle="1" w:styleId="32">
    <w:name w:val="标题 4 Char"/>
    <w:basedOn w:val="24"/>
    <w:link w:val="5"/>
    <w:qFormat/>
    <w:uiPriority w:val="9"/>
    <w:rPr>
      <w:rFonts w:asciiTheme="majorHAnsi" w:hAnsiTheme="majorHAnsi" w:eastAsiaTheme="majorEastAsia" w:cstheme="majorBidi"/>
      <w:b/>
      <w:bCs/>
      <w:sz w:val="28"/>
      <w:szCs w:val="28"/>
    </w:rPr>
  </w:style>
  <w:style w:type="paragraph" w:customStyle="1" w:styleId="33">
    <w:name w:val="p0"/>
    <w:basedOn w:val="1"/>
    <w:qFormat/>
    <w:uiPriority w:val="0"/>
    <w:pPr>
      <w:widowControl/>
      <w:spacing w:after="200" w:line="276" w:lineRule="auto"/>
      <w:jc w:val="left"/>
    </w:pPr>
    <w:rPr>
      <w:rFonts w:ascii="Calibri" w:hAnsi="Calibri"/>
      <w:kern w:val="0"/>
      <w:sz w:val="22"/>
    </w:rPr>
  </w:style>
  <w:style w:type="paragraph" w:customStyle="1" w:styleId="34">
    <w:name w:val="段"/>
    <w:link w:val="35"/>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35">
    <w:name w:val="段 Char"/>
    <w:link w:val="34"/>
    <w:qFormat/>
    <w:uiPriority w:val="0"/>
    <w:rPr>
      <w:rFonts w:ascii="宋体" w:hAnsi="Times New Roman" w:eastAsia="宋体" w:cs="Times New Roman"/>
      <w:kern w:val="0"/>
      <w:szCs w:val="20"/>
    </w:rPr>
  </w:style>
  <w:style w:type="paragraph" w:customStyle="1" w:styleId="36">
    <w:name w:val="一级条标题"/>
    <w:next w:val="34"/>
    <w:qFormat/>
    <w:uiPriority w:val="0"/>
    <w:pPr>
      <w:numPr>
        <w:ilvl w:val="1"/>
        <w:numId w:val="1"/>
      </w:numPr>
      <w:spacing w:beforeLines="50" w:afterLines="50"/>
      <w:outlineLvl w:val="2"/>
    </w:pPr>
    <w:rPr>
      <w:rFonts w:ascii="黑体" w:hAnsi="Times New Roman" w:eastAsia="黑体" w:cs="Times New Roman"/>
      <w:sz w:val="21"/>
      <w:szCs w:val="21"/>
      <w:lang w:val="en-US" w:eastAsia="zh-CN" w:bidi="ar-SA"/>
    </w:rPr>
  </w:style>
  <w:style w:type="paragraph" w:customStyle="1" w:styleId="37">
    <w:name w:val="章标题"/>
    <w:next w:val="34"/>
    <w:qFormat/>
    <w:uiPriority w:val="0"/>
    <w:pPr>
      <w:numPr>
        <w:ilvl w:val="0"/>
        <w:numId w:val="1"/>
      </w:numPr>
      <w:spacing w:beforeLines="100" w:afterLines="100"/>
      <w:jc w:val="both"/>
      <w:outlineLvl w:val="1"/>
    </w:pPr>
    <w:rPr>
      <w:rFonts w:ascii="黑体" w:hAnsi="Times New Roman" w:eastAsia="黑体" w:cs="Times New Roman"/>
      <w:sz w:val="21"/>
      <w:lang w:val="en-US" w:eastAsia="zh-CN" w:bidi="ar-SA"/>
    </w:rPr>
  </w:style>
  <w:style w:type="paragraph" w:customStyle="1" w:styleId="38">
    <w:name w:val="二级条标题"/>
    <w:basedOn w:val="36"/>
    <w:next w:val="1"/>
    <w:qFormat/>
    <w:uiPriority w:val="0"/>
    <w:pPr>
      <w:numPr>
        <w:ilvl w:val="2"/>
      </w:numPr>
      <w:spacing w:before="50" w:after="50"/>
      <w:outlineLvl w:val="3"/>
    </w:pPr>
  </w:style>
  <w:style w:type="paragraph" w:customStyle="1" w:styleId="39">
    <w:name w:val="三级条标题"/>
    <w:basedOn w:val="38"/>
    <w:next w:val="34"/>
    <w:qFormat/>
    <w:uiPriority w:val="99"/>
    <w:pPr>
      <w:numPr>
        <w:ilvl w:val="3"/>
      </w:numPr>
      <w:outlineLvl w:val="4"/>
    </w:pPr>
  </w:style>
  <w:style w:type="paragraph" w:customStyle="1" w:styleId="40">
    <w:name w:val="四级条标题"/>
    <w:basedOn w:val="39"/>
    <w:next w:val="34"/>
    <w:qFormat/>
    <w:uiPriority w:val="0"/>
    <w:pPr>
      <w:numPr>
        <w:ilvl w:val="4"/>
      </w:numPr>
      <w:outlineLvl w:val="5"/>
    </w:pPr>
  </w:style>
  <w:style w:type="paragraph" w:customStyle="1" w:styleId="41">
    <w:name w:val="五级条标题"/>
    <w:basedOn w:val="40"/>
    <w:next w:val="34"/>
    <w:qFormat/>
    <w:uiPriority w:val="0"/>
    <w:pPr>
      <w:numPr>
        <w:ilvl w:val="5"/>
      </w:numPr>
      <w:outlineLvl w:val="6"/>
    </w:pPr>
  </w:style>
  <w:style w:type="character" w:customStyle="1" w:styleId="42">
    <w:name w:val="页眉 Char"/>
    <w:basedOn w:val="24"/>
    <w:link w:val="16"/>
    <w:qFormat/>
    <w:uiPriority w:val="99"/>
    <w:rPr>
      <w:rFonts w:ascii="Times New Roman" w:hAnsi="Times New Roman" w:eastAsia="宋体" w:cs="Times New Roman"/>
      <w:sz w:val="18"/>
      <w:szCs w:val="18"/>
    </w:rPr>
  </w:style>
  <w:style w:type="character" w:customStyle="1" w:styleId="43">
    <w:name w:val="页脚 Char"/>
    <w:basedOn w:val="24"/>
    <w:link w:val="15"/>
    <w:qFormat/>
    <w:uiPriority w:val="99"/>
    <w:rPr>
      <w:rFonts w:ascii="Times New Roman" w:hAnsi="Times New Roman" w:eastAsia="宋体" w:cs="Times New Roman"/>
      <w:sz w:val="18"/>
      <w:szCs w:val="18"/>
    </w:rPr>
  </w:style>
  <w:style w:type="character" w:customStyle="1" w:styleId="44">
    <w:name w:val="批注框文本 Char"/>
    <w:basedOn w:val="24"/>
    <w:link w:val="14"/>
    <w:semiHidden/>
    <w:qFormat/>
    <w:uiPriority w:val="99"/>
    <w:rPr>
      <w:rFonts w:ascii="Times New Roman" w:hAnsi="Times New Roman" w:eastAsia="宋体" w:cs="Times New Roman"/>
      <w:sz w:val="18"/>
      <w:szCs w:val="18"/>
    </w:rPr>
  </w:style>
  <w:style w:type="paragraph" w:customStyle="1" w:styleId="45">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46">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47">
    <w:name w:val="目次、标准名称标题"/>
    <w:basedOn w:val="1"/>
    <w:next w:val="34"/>
    <w:qFormat/>
    <w:uiPriority w:val="0"/>
    <w:pPr>
      <w:keepNext/>
      <w:pageBreakBefore/>
      <w:widowControl/>
      <w:shd w:val="clear" w:color="FFFFFF" w:fill="FFFFFF"/>
      <w:spacing w:before="640" w:after="560" w:line="460" w:lineRule="exact"/>
      <w:jc w:val="center"/>
      <w:outlineLvl w:val="0"/>
    </w:pPr>
    <w:rPr>
      <w:rFonts w:ascii="黑体" w:eastAsia="黑体"/>
      <w:kern w:val="0"/>
      <w:sz w:val="32"/>
    </w:rPr>
  </w:style>
  <w:style w:type="paragraph" w:customStyle="1" w:styleId="48">
    <w:name w:val="附录标识"/>
    <w:basedOn w:val="1"/>
    <w:next w:val="34"/>
    <w:qFormat/>
    <w:uiPriority w:val="0"/>
    <w:pPr>
      <w:keepNext/>
      <w:widowControl/>
      <w:numPr>
        <w:ilvl w:val="0"/>
        <w:numId w:val="2"/>
      </w:numPr>
      <w:shd w:val="clear" w:color="FFFFFF" w:fill="FFFFFF"/>
      <w:tabs>
        <w:tab w:val="left" w:pos="360"/>
        <w:tab w:val="left" w:pos="6405"/>
      </w:tabs>
      <w:spacing w:before="640" w:after="280"/>
      <w:jc w:val="center"/>
      <w:outlineLvl w:val="0"/>
    </w:pPr>
    <w:rPr>
      <w:rFonts w:ascii="黑体" w:eastAsia="黑体"/>
      <w:kern w:val="0"/>
    </w:rPr>
  </w:style>
  <w:style w:type="paragraph" w:customStyle="1" w:styleId="49">
    <w:name w:val="附录二级条标题"/>
    <w:basedOn w:val="1"/>
    <w:next w:val="34"/>
    <w:qFormat/>
    <w:uiPriority w:val="0"/>
    <w:pPr>
      <w:widowControl/>
      <w:numPr>
        <w:ilvl w:val="3"/>
        <w:numId w:val="2"/>
      </w:numPr>
      <w:tabs>
        <w:tab w:val="left" w:pos="360"/>
      </w:tabs>
      <w:overflowPunct w:val="0"/>
      <w:autoSpaceDE w:val="0"/>
      <w:autoSpaceDN w:val="0"/>
      <w:spacing w:beforeLines="50" w:afterLines="50"/>
      <w:textAlignment w:val="baseline"/>
      <w:outlineLvl w:val="3"/>
    </w:pPr>
    <w:rPr>
      <w:rFonts w:ascii="黑体" w:eastAsia="黑体"/>
      <w:kern w:val="21"/>
    </w:rPr>
  </w:style>
  <w:style w:type="paragraph" w:customStyle="1" w:styleId="50">
    <w:name w:val="附录三级条标题"/>
    <w:basedOn w:val="49"/>
    <w:next w:val="34"/>
    <w:qFormat/>
    <w:uiPriority w:val="0"/>
    <w:pPr>
      <w:numPr>
        <w:ilvl w:val="4"/>
      </w:numPr>
      <w:outlineLvl w:val="4"/>
    </w:pPr>
  </w:style>
  <w:style w:type="paragraph" w:customStyle="1" w:styleId="51">
    <w:name w:val="附录四级条标题"/>
    <w:basedOn w:val="50"/>
    <w:next w:val="34"/>
    <w:qFormat/>
    <w:uiPriority w:val="0"/>
    <w:pPr>
      <w:numPr>
        <w:ilvl w:val="5"/>
      </w:numPr>
      <w:outlineLvl w:val="5"/>
    </w:pPr>
  </w:style>
  <w:style w:type="paragraph" w:customStyle="1" w:styleId="52">
    <w:name w:val="附录五级条标题"/>
    <w:basedOn w:val="51"/>
    <w:next w:val="34"/>
    <w:qFormat/>
    <w:uiPriority w:val="0"/>
    <w:pPr>
      <w:numPr>
        <w:ilvl w:val="6"/>
      </w:numPr>
      <w:outlineLvl w:val="6"/>
    </w:pPr>
  </w:style>
  <w:style w:type="paragraph" w:customStyle="1" w:styleId="53">
    <w:name w:val="附录章标题"/>
    <w:next w:val="34"/>
    <w:qFormat/>
    <w:uiPriority w:val="0"/>
    <w:pPr>
      <w:numPr>
        <w:ilvl w:val="1"/>
        <w:numId w:val="2"/>
      </w:numPr>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54">
    <w:name w:val="附录一级条标题"/>
    <w:basedOn w:val="53"/>
    <w:next w:val="34"/>
    <w:qFormat/>
    <w:uiPriority w:val="0"/>
    <w:pPr>
      <w:numPr>
        <w:ilvl w:val="2"/>
      </w:numPr>
      <w:tabs>
        <w:tab w:val="left" w:pos="360"/>
      </w:tabs>
      <w:autoSpaceDN w:val="0"/>
      <w:spacing w:beforeLines="50" w:afterLines="50"/>
      <w:outlineLvl w:val="2"/>
    </w:pPr>
  </w:style>
  <w:style w:type="character" w:customStyle="1" w:styleId="55">
    <w:name w:val="纯文本 Char"/>
    <w:basedOn w:val="24"/>
    <w:link w:val="13"/>
    <w:qFormat/>
    <w:uiPriority w:val="0"/>
    <w:rPr>
      <w:rFonts w:ascii="宋体" w:hAnsi="Courier New" w:eastAsia="宋体" w:cs="Courier New"/>
      <w:szCs w:val="21"/>
    </w:rPr>
  </w:style>
  <w:style w:type="character" w:customStyle="1" w:styleId="56">
    <w:name w:val="纯文本 Char1"/>
    <w:basedOn w:val="24"/>
    <w:semiHidden/>
    <w:qFormat/>
    <w:uiPriority w:val="99"/>
    <w:rPr>
      <w:rFonts w:ascii="宋体" w:hAnsi="Courier New" w:eastAsia="宋体" w:cs="Courier New"/>
      <w:szCs w:val="21"/>
    </w:rPr>
  </w:style>
  <w:style w:type="character" w:customStyle="1" w:styleId="57">
    <w:name w:val="标题 5 Char"/>
    <w:basedOn w:val="24"/>
    <w:link w:val="6"/>
    <w:qFormat/>
    <w:uiPriority w:val="0"/>
    <w:rPr>
      <w:rFonts w:ascii="Calibri" w:hAnsi="Calibri" w:eastAsia="黑体" w:cs="Times New Roman"/>
      <w:b/>
      <w:bCs/>
      <w:sz w:val="24"/>
      <w:szCs w:val="28"/>
    </w:rPr>
  </w:style>
  <w:style w:type="character" w:customStyle="1" w:styleId="58">
    <w:name w:val="标题 6 Char"/>
    <w:basedOn w:val="24"/>
    <w:link w:val="7"/>
    <w:qFormat/>
    <w:uiPriority w:val="0"/>
    <w:rPr>
      <w:rFonts w:ascii="Arial" w:hAnsi="Arial" w:eastAsia="黑体" w:cs="Times New Roman"/>
      <w:b/>
      <w:bCs/>
      <w:sz w:val="24"/>
      <w:szCs w:val="24"/>
    </w:rPr>
  </w:style>
  <w:style w:type="paragraph" w:customStyle="1" w:styleId="59">
    <w:name w:val="图表题注样式"/>
    <w:basedOn w:val="8"/>
    <w:qFormat/>
    <w:uiPriority w:val="0"/>
    <w:pPr>
      <w:jc w:val="center"/>
    </w:pPr>
    <w:rPr>
      <w:rFonts w:ascii="Calibri" w:hAnsi="Calibri" w:cs="宋体"/>
      <w:b/>
      <w:sz w:val="21"/>
      <w:szCs w:val="21"/>
    </w:rPr>
  </w:style>
  <w:style w:type="paragraph" w:customStyle="1" w:styleId="60">
    <w:name w:val="正文1"/>
    <w:basedOn w:val="1"/>
    <w:qFormat/>
    <w:uiPriority w:val="0"/>
    <w:pPr>
      <w:adjustRightInd w:val="0"/>
      <w:textAlignment w:val="baseline"/>
    </w:pPr>
    <w:rPr>
      <w:rFonts w:ascii="宋体"/>
      <w:kern w:val="0"/>
    </w:rPr>
  </w:style>
  <w:style w:type="paragraph" w:customStyle="1" w:styleId="61">
    <w:name w:val="列出段落1"/>
    <w:basedOn w:val="1"/>
    <w:qFormat/>
    <w:uiPriority w:val="34"/>
    <w:pPr>
      <w:ind w:firstLine="420"/>
    </w:pPr>
  </w:style>
  <w:style w:type="paragraph" w:styleId="62">
    <w:name w:val="List Paragraph"/>
    <w:basedOn w:val="1"/>
    <w:unhideWhenUsed/>
    <w:qFormat/>
    <w:uiPriority w:val="99"/>
    <w:pPr>
      <w:ind w:firstLine="420"/>
    </w:pPr>
  </w:style>
  <w:style w:type="character" w:customStyle="1" w:styleId="63">
    <w:name w:val="样式6 Char Char"/>
    <w:basedOn w:val="42"/>
    <w:link w:val="64"/>
    <w:qFormat/>
    <w:uiPriority w:val="0"/>
    <w:rPr>
      <w:rFonts w:ascii="Times New Roman" w:hAnsi="Times New Roman" w:eastAsia="宋体" w:cs="Times New Roman"/>
      <w:kern w:val="2"/>
      <w:sz w:val="18"/>
      <w:szCs w:val="18"/>
    </w:rPr>
  </w:style>
  <w:style w:type="paragraph" w:customStyle="1" w:styleId="64">
    <w:name w:val="样式6"/>
    <w:basedOn w:val="16"/>
    <w:link w:val="63"/>
    <w:qFormat/>
    <w:uiPriority w:val="0"/>
    <w:pPr>
      <w:pBdr>
        <w:bottom w:val="none" w:color="auto" w:sz="0" w:space="0"/>
      </w:pBdr>
    </w:pPr>
  </w:style>
  <w:style w:type="paragraph" w:customStyle="1" w:styleId="65">
    <w:name w:val="纯文本1"/>
    <w:basedOn w:val="1"/>
    <w:qFormat/>
    <w:uiPriority w:val="0"/>
    <w:pPr>
      <w:adjustRightInd w:val="0"/>
      <w:spacing w:line="490" w:lineRule="exact"/>
      <w:ind w:firstLine="556"/>
      <w:textAlignment w:val="baseline"/>
    </w:pPr>
    <w:rPr>
      <w:rFonts w:ascii="宋体" w:hAnsi="Courier New" w:eastAsia="仿宋_GB2312"/>
      <w:kern w:val="0"/>
      <w:szCs w:val="22"/>
    </w:rPr>
  </w:style>
  <w:style w:type="paragraph" w:styleId="66">
    <w:name w:val="No Spacing"/>
    <w:link w:val="67"/>
    <w:qFormat/>
    <w:uiPriority w:val="1"/>
    <w:rPr>
      <w:rFonts w:asciiTheme="minorHAnsi" w:hAnsiTheme="minorHAnsi" w:eastAsiaTheme="minorEastAsia" w:cstheme="minorBidi"/>
      <w:sz w:val="22"/>
      <w:szCs w:val="22"/>
      <w:lang w:val="en-US" w:eastAsia="zh-CN" w:bidi="ar-SA"/>
    </w:rPr>
  </w:style>
  <w:style w:type="character" w:customStyle="1" w:styleId="67">
    <w:name w:val="无间隔 Char"/>
    <w:basedOn w:val="24"/>
    <w:link w:val="66"/>
    <w:qFormat/>
    <w:uiPriority w:val="1"/>
    <w:rPr>
      <w:rFonts w:asciiTheme="minorHAnsi" w:hAnsiTheme="minorHAnsi" w:eastAsiaTheme="minorEastAsia" w:cstheme="minorBidi"/>
      <w:sz w:val="22"/>
      <w:szCs w:val="22"/>
    </w:rPr>
  </w:style>
  <w:style w:type="character" w:customStyle="1" w:styleId="68">
    <w:name w:val="文档结构图 Char"/>
    <w:basedOn w:val="24"/>
    <w:link w:val="9"/>
    <w:semiHidden/>
    <w:qFormat/>
    <w:uiPriority w:val="99"/>
    <w:rPr>
      <w:rFonts w:ascii="宋体"/>
      <w:kern w:val="2"/>
      <w:sz w:val="18"/>
      <w:szCs w:val="18"/>
    </w:rPr>
  </w:style>
  <w:style w:type="paragraph" w:customStyle="1" w:styleId="69">
    <w:name w:val="首行缩进"/>
    <w:basedOn w:val="1"/>
    <w:qFormat/>
    <w:uiPriority w:val="0"/>
    <w:pPr>
      <w:spacing w:line="300" w:lineRule="auto"/>
      <w:ind w:firstLine="420" w:firstLineChars="200"/>
    </w:pPr>
    <w:rPr>
      <w:rFonts w:eastAsia="方正书宋简体"/>
    </w:rPr>
  </w:style>
  <w:style w:type="paragraph" w:customStyle="1" w:styleId="70">
    <w:name w:val="CM17"/>
    <w:basedOn w:val="45"/>
    <w:next w:val="45"/>
    <w:qFormat/>
    <w:uiPriority w:val="0"/>
    <w:pPr>
      <w:spacing w:line="468" w:lineRule="atLeast"/>
    </w:pPr>
    <w:rPr>
      <w:rFonts w:ascii="黑体" w:eastAsia="黑体" w:cs="Times New Roman"/>
      <w:color w:val="auto"/>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numbering" Target="numbering.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9AA96-DDF8-4120-B2FD-E70ACC5DF0E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Pages>
  <Words>3730</Words>
  <Characters>4458</Characters>
  <Lines>64</Lines>
  <Paragraphs>18</Paragraphs>
  <TotalTime>16</TotalTime>
  <ScaleCrop>false</ScaleCrop>
  <LinksUpToDate>false</LinksUpToDate>
  <CharactersWithSpaces>4788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2019-08-19T10:14:00Z</dcterms:created>
  <dc:creator>tchuan</dc:creator>
  <cp:lastModifiedBy>82C6C29CCD18460C8334C47C56215645</cp:lastModifiedBy>
  <dcterms:modified xsi:type="dcterms:W3CDTF">2026-04-23T03:57:39Z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CEBFBCD371A449EA9B0EB68289A572DA</vt:lpwstr>
  </property>
  <property fmtid="{D5CDD505-2E9C-101B-9397-08002B2CF9AE}" pid="4" name="KSOTemplateDocerSaveRecord">
    <vt:lpwstr>eyJoZGlkIjoiOWUwOWY1OThjOTBmY2I1M2U5OGEyOWE4OWU3MTI0MDIiLCJ1c2VySWQiOiI1NjA4Njg5NzYifQ==</vt:lpwstr>
  </property>
</Properties>
</file>