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rPr>
          <w:rFonts w:hint="eastAsia" w:ascii="黑体" w:hAnsi="黑体" w:eastAsia="黑体" w:cs="黑体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highlight w:val="none"/>
          <w:lang w:val="en-US" w:eastAsia="zh-CN"/>
        </w:rPr>
        <w:t>南方电网澜湄国际能源有限责任公司220kV广西某电力联网线路工程项目风险评估服务技术规范书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一、概述</w:t>
      </w:r>
    </w:p>
    <w:p>
      <w:pPr>
        <w:spacing w:line="560" w:lineRule="exact"/>
        <w:ind w:firstLine="640" w:firstLineChars="200"/>
        <w:rPr>
          <w:rFonts w:ascii="仿宋_GB2312" w:hAnsi="等线" w:eastAsia="仿宋_GB2312" w:cs="Times New Roman"/>
          <w:sz w:val="32"/>
          <w:szCs w:val="32"/>
          <w:highlight w:val="none"/>
        </w:rPr>
      </w:pPr>
      <w:r>
        <w:rPr>
          <w:rFonts w:ascii="仿宋_GB2312" w:hAnsi="等线" w:eastAsia="仿宋_GB2312" w:cs="Times New Roman"/>
          <w:sz w:val="32"/>
          <w:szCs w:val="32"/>
          <w:highlight w:val="none"/>
        </w:rPr>
        <w:t>本技术规范书旨在明确</w:t>
      </w:r>
      <w:r>
        <w:rPr>
          <w:rFonts w:hint="eastAsia" w:ascii="仿宋_GB2312" w:hAnsi="等线" w:eastAsia="仿宋_GB2312" w:cs="Times New Roman"/>
          <w:sz w:val="32"/>
          <w:szCs w:val="32"/>
          <w:highlight w:val="none"/>
        </w:rPr>
        <w:t>南方电网澜湄国际能源有限责任公司（以下简称招标方）</w:t>
      </w:r>
      <w:r>
        <w:rPr>
          <w:rFonts w:hint="eastAsia" w:ascii="仿宋_GB2312" w:hAnsi="等线" w:eastAsia="仿宋_GB2312" w:cs="Times New Roman"/>
          <w:sz w:val="32"/>
          <w:szCs w:val="32"/>
          <w:highlight w:val="none"/>
          <w:lang w:val="en-US" w:eastAsia="zh-CN"/>
        </w:rPr>
        <w:t>220kV广西某电力联网线路工程项目风险评估服务</w:t>
      </w:r>
      <w:r>
        <w:rPr>
          <w:rFonts w:ascii="仿宋_GB2312" w:hAnsi="等线" w:eastAsia="仿宋_GB2312" w:cs="Times New Roman"/>
          <w:sz w:val="32"/>
          <w:szCs w:val="32"/>
          <w:highlight w:val="none"/>
        </w:rPr>
        <w:t>的技术要求，确保工作的科学性、公正性和准确性，</w:t>
      </w:r>
      <w:r>
        <w:rPr>
          <w:rFonts w:hint="eastAsia" w:ascii="仿宋_GB2312" w:hAnsi="等线" w:eastAsia="仿宋_GB2312" w:cs="Times New Roman"/>
          <w:sz w:val="32"/>
          <w:szCs w:val="32"/>
          <w:highlight w:val="none"/>
        </w:rPr>
        <w:t>配合项目</w:t>
      </w:r>
      <w:r>
        <w:rPr>
          <w:rFonts w:hint="eastAsia" w:ascii="仿宋_GB2312" w:hAnsi="等线" w:eastAsia="仿宋_GB2312" w:cs="Times New Roman"/>
          <w:sz w:val="32"/>
          <w:szCs w:val="32"/>
          <w:highlight w:val="none"/>
          <w:lang w:val="en-US" w:eastAsia="zh-CN"/>
        </w:rPr>
        <w:t>工作</w:t>
      </w:r>
      <w:r>
        <w:rPr>
          <w:rFonts w:hint="eastAsia" w:ascii="仿宋_GB2312" w:hAnsi="等线" w:eastAsia="仿宋_GB2312" w:cs="Times New Roman"/>
          <w:sz w:val="32"/>
          <w:szCs w:val="32"/>
          <w:highlight w:val="none"/>
        </w:rPr>
        <w:t>推进。</w:t>
      </w:r>
      <w:r>
        <w:rPr>
          <w:rFonts w:ascii="仿宋_GB2312" w:hAnsi="等线" w:eastAsia="仿宋_GB2312" w:cs="Times New Roman"/>
          <w:sz w:val="32"/>
          <w:szCs w:val="32"/>
          <w:highlight w:val="none"/>
        </w:rPr>
        <w:t>为项目决策提供有力支持。</w:t>
      </w:r>
    </w:p>
    <w:p>
      <w:pPr>
        <w:spacing w:line="560" w:lineRule="exact"/>
        <w:ind w:firstLine="640" w:firstLineChars="200"/>
        <w:rPr>
          <w:rFonts w:hint="default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委托范围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1.依据南方电网公司、南方电网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澜湄国际能源有限责任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公司投资风险管理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相关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制度及标准，以及国家部委有关中央企业投资监督管理规范等，开展项目风险评估。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2.充分识别项目面临的所有风险，包括但不限于政治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风险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、经济风险、社会风险、文化风险、市场风险、法律风险、人力资源、政策风险、监管风险、财务风险、税务风险、技术风险、国别风险、违约风险(包括但不限于项目合作方违约风险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担保不充分风险、所在国违约风险、中信保保险出保的相关影响。)等主风险事项，各主风险事项应对予以必要的细化，形成可识别的子风险事项。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3.从商业角度审查项目主要交易协议安排，与其他专业顾问合作，明确各主要项目协议的风险传递机制，识别风险点及风险敞口，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判断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项目商业模式的可持续性。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4.作为风险分析顾问，与其他专业顾问合作，详尽分析并整合项目各类风险，遵循风险量化管理原则，对风险事项发生概率、影响效果、预期风险损风险等级等作出分析评定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5.有效应对项目风险，遵循可衡量、可操作、可追溯原则，提出风险应对策略，细化风险应对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措施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，为项目投资决策提供风险服务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6.按照合同约定的时点编制项目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风险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防控报告、南方电网公司投资项目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风险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评估表，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出具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风险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防控意见，确保风险评估质量。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交付物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风险防控报告（含风险评估表）。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四、交付成果时点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1.中标后，根据甲方通知时间，进场开展相关工作，根据甲方要求时限完成所需报告；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2.根据甲方通知，原则上在甲方内部投资决策要求时间前，根据甲方要求时限提交所需报告终稿。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62" w:beforeLines="20" w:after="62" w:afterLines="2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>
      <w:pPr>
        <w:widowControl w:val="0"/>
        <w:spacing w:before="100" w:beforeAutospacing="1" w:after="100" w:afterAutospacing="1"/>
        <w:ind w:left="640" w:leftChars="20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</w:p>
    <w:p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026D4B"/>
    <w:rsid w:val="1A4768A9"/>
    <w:rsid w:val="1DB71880"/>
    <w:rsid w:val="1E026D4B"/>
    <w:rsid w:val="27102AA5"/>
    <w:rsid w:val="28F23810"/>
    <w:rsid w:val="33A806D0"/>
    <w:rsid w:val="40DB5220"/>
    <w:rsid w:val="45561319"/>
    <w:rsid w:val="4DB8448E"/>
    <w:rsid w:val="58C3742F"/>
    <w:rsid w:val="5CAF2C65"/>
    <w:rsid w:val="78747B53"/>
    <w:rsid w:val="7F664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widowControl w:val="0"/>
      <w:spacing w:before="100" w:beforeLines="0" w:beforeAutospacing="0" w:after="90" w:afterLines="0" w:afterAutospacing="0" w:line="576" w:lineRule="auto"/>
      <w:jc w:val="both"/>
      <w:outlineLvl w:val="0"/>
    </w:pPr>
    <w:rPr>
      <w:rFonts w:ascii="Calibri" w:hAnsi="Calibri" w:eastAsia="黑体" w:cs="Times New Roman"/>
      <w:b/>
      <w:kern w:val="44"/>
      <w:sz w:val="3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List Paragraph"/>
    <w:qFormat/>
    <w:uiPriority w:val="34"/>
    <w:pPr>
      <w:widowControl w:val="0"/>
      <w:ind w:firstLine="420" w:firstLineChars="200"/>
      <w:jc w:val="both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66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2025-03-10T04:18:00Z</dcterms:created>
  <dc:creator>杨雪松</dc:creator>
  <cp:lastModifiedBy>张丽娟</cp:lastModifiedBy>
  <dcterms:modified xsi:type="dcterms:W3CDTF">2026-04-21T07:11:36Z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D4F400476E8A4282B979A3FCC9C14AA7</vt:lpwstr>
  </property>
</Properties>
</file>