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28"/>
          <w:szCs w:val="28"/>
        </w:rPr>
      </w:pPr>
      <w:r>
        <w:rPr>
          <w:rFonts w:hint="eastAsia" w:ascii="宋体" w:hAnsi="宋体" w:eastAsia="宋体" w:cs="宋体"/>
          <w:b/>
          <w:bCs/>
          <w:sz w:val="28"/>
          <w:szCs w:val="28"/>
          <w:lang w:val="en-US" w:eastAsia="zh-CN"/>
        </w:rPr>
        <w:t>附件</w:t>
      </w:r>
      <w:r>
        <w:rPr>
          <w:rFonts w:hint="eastAsia" w:ascii="宋体" w:hAnsi="宋体" w:cs="宋体"/>
          <w:b/>
          <w:bCs/>
          <w:sz w:val="28"/>
          <w:szCs w:val="28"/>
          <w:lang w:val="en-US" w:eastAsia="zh-CN"/>
        </w:rPr>
        <w:t>3</w:t>
      </w:r>
      <w:r>
        <w:rPr>
          <w:rFonts w:hint="eastAsia" w:ascii="宋体" w:hAnsi="宋体" w:eastAsia="宋体" w:cs="宋体"/>
          <w:b/>
          <w:bCs/>
          <w:sz w:val="28"/>
          <w:szCs w:val="28"/>
          <w:lang w:val="en-US" w:eastAsia="zh-CN"/>
        </w:rPr>
        <w:t>：承包商安全协议</w:t>
      </w:r>
    </w:p>
    <w:p>
      <w:pPr>
        <w:autoSpaceDE w:val="0"/>
        <w:autoSpaceDN w:val="0"/>
        <w:adjustRightInd w:val="0"/>
        <w:spacing w:after="312" w:afterLines="100" w:line="360" w:lineRule="auto"/>
        <w:jc w:val="center"/>
        <w:rPr>
          <w:rFonts w:ascii="宋体" w:hAnsi="宋体"/>
          <w:b/>
          <w:bCs/>
          <w:kern w:val="0"/>
          <w:sz w:val="36"/>
          <w:szCs w:val="36"/>
        </w:rPr>
      </w:pPr>
      <w:r>
        <w:rPr>
          <w:rFonts w:hint="eastAsia" w:ascii="宋体" w:hAnsi="宋体"/>
          <w:b/>
          <w:bCs/>
          <w:kern w:val="0"/>
          <w:sz w:val="36"/>
          <w:szCs w:val="36"/>
        </w:rPr>
        <w:t>承包商安全协议</w:t>
      </w:r>
    </w:p>
    <w:p>
      <w:pPr>
        <w:spacing w:line="470" w:lineRule="exact"/>
        <w:ind w:firstLine="480" w:firstLineChars="200"/>
        <w:rPr>
          <w:rFonts w:hint="eastAsia" w:ascii="Times New Roman" w:hAnsi="Times New Roman" w:eastAsia="宋体" w:cs="Times New Roman"/>
          <w:sz w:val="24"/>
        </w:rPr>
      </w:pPr>
      <w:r>
        <w:rPr>
          <w:rFonts w:hint="eastAsia"/>
          <w:sz w:val="24"/>
        </w:rPr>
        <w:t>项目名称：</w:t>
      </w:r>
      <w:r>
        <w:rPr>
          <w:rFonts w:hint="eastAsia"/>
          <w:sz w:val="24"/>
          <w:u w:val="single"/>
          <w:lang w:val="en-US" w:eastAsia="zh-CN"/>
        </w:rPr>
        <w:t>鲁厂2026年环境与职业健康检测</w:t>
      </w:r>
      <w:r>
        <w:rPr>
          <w:rFonts w:hint="eastAsia" w:ascii="Times New Roman" w:hAnsi="Times New Roman" w:eastAsia="宋体" w:cs="Times New Roman"/>
          <w:sz w:val="24"/>
          <w:lang w:val="en-US" w:eastAsia="zh-CN"/>
        </w:rPr>
        <w:t xml:space="preserve"> </w:t>
      </w:r>
    </w:p>
    <w:p>
      <w:pPr>
        <w:spacing w:line="470" w:lineRule="exact"/>
        <w:ind w:firstLine="480" w:firstLineChars="200"/>
        <w:rPr>
          <w:rFonts w:hint="eastAsia" w:ascii="Times New Roman" w:hAnsi="Times New Roman" w:eastAsia="宋体" w:cs="Times New Roman"/>
          <w:sz w:val="24"/>
          <w:u w:val="single"/>
        </w:rPr>
      </w:pPr>
      <w:r>
        <w:rPr>
          <w:rFonts w:hint="eastAsia" w:ascii="Times New Roman" w:hAnsi="Times New Roman" w:eastAsia="宋体" w:cs="Times New Roman"/>
          <w:sz w:val="24"/>
        </w:rPr>
        <w:t>甲方：</w:t>
      </w:r>
      <w:sdt>
        <w:sdtPr>
          <w:rPr>
            <w:rFonts w:hint="eastAsia" w:ascii="Times New Roman" w:hAnsi="Times New Roman" w:eastAsia="宋体" w:cs="Times New Roman"/>
            <w:sz w:val="24"/>
            <w:lang w:val="en-US" w:eastAsia="zh-CN"/>
          </w:rPr>
          <w:alias w:val="甲方当事人全称"/>
          <w:tag w:val="甲方当事人全称"/>
          <w:id w:val="147474913"/>
          <w:placeholder>
            <w:docPart w:val="{44862b7a-a896-48b2-afc6-ed89205a90cd}"/>
          </w:placeholder>
          <w:text/>
        </w:sdtPr>
        <w:sdtEndPr>
          <w:rPr>
            <w:rFonts w:hint="eastAsia" w:ascii="Times New Roman" w:hAnsi="Times New Roman" w:eastAsia="宋体" w:cs="Times New Roman"/>
            <w:sz w:val="24"/>
            <w:u w:val="single"/>
            <w:lang w:val="en-US" w:eastAsia="zh-CN"/>
          </w:rPr>
        </w:sdtEndPr>
        <w:sdtContent>
          <w:r>
            <w:rPr>
              <w:rFonts w:hint="eastAsia" w:cs="Times New Roman"/>
              <w:sz w:val="24"/>
              <w:u w:val="single"/>
              <w:lang w:val="en-US" w:eastAsia="zh-CN"/>
            </w:rPr>
            <w:t xml:space="preserve"> </w:t>
          </w:r>
          <w:r>
            <w:rPr>
              <w:rFonts w:hint="eastAsia" w:ascii="Times New Roman" w:hAnsi="Times New Roman" w:eastAsia="宋体" w:cs="Times New Roman"/>
              <w:sz w:val="24"/>
              <w:u w:val="single"/>
              <w:lang w:val="en-US" w:eastAsia="zh-CN"/>
            </w:rPr>
            <w:t>南方电网调峰调频发电有限公司鲁布革水力发电厂</w:t>
          </w:r>
          <w:r>
            <w:rPr>
              <w:rFonts w:hint="eastAsia" w:cs="Times New Roman"/>
              <w:sz w:val="24"/>
              <w:u w:val="single"/>
              <w:lang w:val="en-US" w:eastAsia="zh-CN"/>
            </w:rPr>
            <w:t xml:space="preserve"> </w:t>
          </w:r>
        </w:sdtContent>
      </w:sdt>
    </w:p>
    <w:p>
      <w:pPr>
        <w:spacing w:line="470" w:lineRule="exact"/>
        <w:ind w:firstLine="480" w:firstLineChars="200"/>
        <w:rPr>
          <w:rFonts w:hint="eastAsia" w:ascii="Times New Roman" w:hAnsi="Times New Roman" w:eastAsia="宋体" w:cs="Times New Roman"/>
          <w:sz w:val="24"/>
          <w:u w:val="single"/>
        </w:rPr>
      </w:pPr>
      <w:r>
        <w:rPr>
          <w:rFonts w:hint="eastAsia" w:ascii="Times New Roman" w:hAnsi="Times New Roman" w:eastAsia="宋体" w:cs="Times New Roman"/>
          <w:sz w:val="24"/>
        </w:rPr>
        <w:t>乙方：</w:t>
      </w:r>
      <w:sdt>
        <w:sdtPr>
          <w:rPr>
            <w:rFonts w:hint="default" w:ascii="Times New Roman" w:hAnsi="Times New Roman" w:eastAsia="宋体" w:cs="Times New Roman"/>
            <w:sz w:val="24"/>
            <w:lang w:val="en-US" w:eastAsia="zh-CN"/>
          </w:rPr>
          <w:alias w:val="乙方当事人全称"/>
          <w:tag w:val="乙方当事人全称"/>
          <w:id w:val="147472829"/>
          <w:placeholder>
            <w:docPart w:val="{d238e373-8f62-40b6-bb59-4bda203f189e}"/>
          </w:placeholder>
          <w:text/>
        </w:sdtPr>
        <w:sdtEndPr>
          <w:rPr>
            <w:rFonts w:hint="eastAsia" w:ascii="Times New Roman" w:hAnsi="Times New Roman" w:eastAsia="宋体" w:cs="Times New Roman"/>
            <w:sz w:val="24"/>
            <w:u w:val="single"/>
            <w:lang w:val="en-US" w:eastAsia="zh-CN"/>
          </w:rPr>
        </w:sdtEndPr>
        <w:sdtContent>
          <w:r>
            <w:rPr>
              <w:rFonts w:hint="eastAsia" w:cs="Times New Roman"/>
              <w:sz w:val="24"/>
              <w:u w:val="single"/>
              <w:lang w:val="en-US" w:eastAsia="zh-CN"/>
            </w:rPr>
            <w:t xml:space="preserve">            </w:t>
          </w:r>
        </w:sdtContent>
      </w:sdt>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为进一步明确双方的安全管理责任，确保施工中人身、设备的安全，根据《中华人民共和国安全生产法》和《建设</w:t>
      </w:r>
      <w:bookmarkStart w:id="5" w:name="_GoBack"/>
      <w:bookmarkEnd w:id="5"/>
      <w:r>
        <w:rPr>
          <w:rFonts w:hint="eastAsia"/>
          <w:sz w:val="24"/>
        </w:rPr>
        <w:t>工程安全生产管理条例》及有关政策的相关规定，按照“安全第一、预防为主、综合治理”的方针，经甲乙双方协商同意并达成如下协议，本协议作为合同的附件，具有同等的法律效力。</w:t>
      </w:r>
    </w:p>
    <w:p>
      <w:pPr>
        <w:spacing w:line="470" w:lineRule="exact"/>
        <w:rPr>
          <w:b/>
          <w:sz w:val="24"/>
        </w:rPr>
      </w:pPr>
      <w:r>
        <w:rPr>
          <w:rFonts w:hint="eastAsia"/>
          <w:b/>
          <w:sz w:val="24"/>
        </w:rPr>
        <w:t>第一条</w:t>
      </w:r>
      <w:r>
        <w:rPr>
          <w:rFonts w:hint="eastAsia"/>
          <w:b/>
          <w:sz w:val="24"/>
          <w:lang w:val="en-US" w:eastAsia="zh-CN"/>
        </w:rPr>
        <w:t xml:space="preserve"> </w:t>
      </w:r>
      <w:r>
        <w:rPr>
          <w:rFonts w:hint="eastAsia"/>
          <w:b/>
          <w:sz w:val="24"/>
        </w:rPr>
        <w:t>甲方安全责任</w:t>
      </w:r>
    </w:p>
    <w:p>
      <w:pPr>
        <w:spacing w:line="470" w:lineRule="exact"/>
        <w:ind w:firstLine="480" w:firstLineChars="200"/>
        <w:rPr>
          <w:sz w:val="24"/>
        </w:rPr>
      </w:pPr>
      <w:r>
        <w:rPr>
          <w:rFonts w:hint="eastAsia"/>
          <w:sz w:val="24"/>
        </w:rPr>
        <w:t>1、甲方不得对乙方提出不符合安全生产法律、法规和强制性标准规定的要求。</w:t>
      </w:r>
    </w:p>
    <w:p>
      <w:pPr>
        <w:spacing w:line="470" w:lineRule="exact"/>
        <w:ind w:firstLine="480" w:firstLineChars="200"/>
        <w:rPr>
          <w:sz w:val="24"/>
        </w:rPr>
      </w:pPr>
      <w:r>
        <w:rPr>
          <w:rFonts w:hint="eastAsia"/>
          <w:sz w:val="24"/>
        </w:rPr>
        <w:t>2、甲方应按合同支付建设工程安全文明施工措施费用。</w:t>
      </w:r>
    </w:p>
    <w:p>
      <w:pPr>
        <w:spacing w:line="470" w:lineRule="exact"/>
        <w:ind w:firstLine="480" w:firstLineChars="200"/>
        <w:rPr>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sz w:val="24"/>
        </w:rPr>
      </w:pPr>
      <w:r>
        <w:rPr>
          <w:rFonts w:hint="eastAsia"/>
          <w:sz w:val="24"/>
        </w:rPr>
        <w:t>5、甲方在乙方进场前，应对乙方项目负责人、工程技术人员和安全管理人员等进行安全教育培训，考试合格方可进场。</w:t>
      </w:r>
    </w:p>
    <w:p>
      <w:pPr>
        <w:spacing w:line="470" w:lineRule="exact"/>
        <w:ind w:firstLine="480" w:firstLineChars="200"/>
        <w:rPr>
          <w:sz w:val="24"/>
        </w:rPr>
      </w:pPr>
      <w:r>
        <w:rPr>
          <w:rFonts w:hint="eastAsia"/>
          <w:sz w:val="24"/>
          <w:lang w:val="en-US" w:eastAsia="zh-CN"/>
        </w:rPr>
        <w:t>6</w:t>
      </w:r>
      <w:r>
        <w:rPr>
          <w:rFonts w:hint="eastAsia"/>
          <w:sz w:val="24"/>
        </w:rPr>
        <w:t>、负责施工合同中规定的由甲方承担的其他安全生产责任。</w:t>
      </w:r>
    </w:p>
    <w:p>
      <w:pPr>
        <w:spacing w:line="470" w:lineRule="exact"/>
        <w:rPr>
          <w:b/>
          <w:sz w:val="24"/>
        </w:rPr>
      </w:pPr>
      <w:r>
        <w:rPr>
          <w:rFonts w:hint="eastAsia"/>
          <w:b/>
          <w:sz w:val="24"/>
        </w:rPr>
        <w:t>第二条</w:t>
      </w:r>
      <w:r>
        <w:rPr>
          <w:rFonts w:hint="eastAsia"/>
          <w:b/>
          <w:sz w:val="24"/>
          <w:lang w:val="en-US" w:eastAsia="zh-CN"/>
        </w:rPr>
        <w:t xml:space="preserve"> </w:t>
      </w:r>
      <w:r>
        <w:rPr>
          <w:rFonts w:hint="eastAsia"/>
          <w:b/>
          <w:sz w:val="24"/>
        </w:rPr>
        <w:t>乙方安全责任</w:t>
      </w:r>
    </w:p>
    <w:p>
      <w:pPr>
        <w:spacing w:line="470" w:lineRule="exact"/>
        <w:ind w:firstLine="480" w:firstLineChars="200"/>
        <w:rPr>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sz w:val="24"/>
        </w:rPr>
      </w:pPr>
      <w:r>
        <w:rPr>
          <w:rFonts w:hint="eastAsia"/>
          <w:sz w:val="24"/>
        </w:rPr>
        <w:t>3、乙方应当建立健全安全生产责任制，制定各项安全生产规章制度和操作规程。</w:t>
      </w:r>
    </w:p>
    <w:p>
      <w:pPr>
        <w:spacing w:line="470" w:lineRule="exact"/>
        <w:ind w:firstLine="480" w:firstLineChars="200"/>
        <w:rPr>
          <w:sz w:val="24"/>
        </w:rPr>
      </w:pPr>
      <w:r>
        <w:rPr>
          <w:rFonts w:hint="eastAsia"/>
          <w:sz w:val="24"/>
          <w:lang w:val="en-US" w:eastAsia="zh-CN"/>
        </w:rPr>
        <w:t>4</w:t>
      </w:r>
      <w:r>
        <w:rPr>
          <w:rFonts w:hint="eastAsia"/>
          <w:sz w:val="24"/>
        </w:rPr>
        <w:t>、乙方应当设立安全管理机构，并按照国家相关法规要求配备专（兼）职安全员，须在开工前将项目安全负责人、专（兼）安全员名单以书面方式通知甲方，并附资格证书的复印件。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sz w:val="24"/>
        </w:rPr>
      </w:pPr>
      <w:r>
        <w:rPr>
          <w:rFonts w:hint="eastAsia"/>
          <w:sz w:val="24"/>
          <w:lang w:val="en-US" w:eastAsia="zh-CN"/>
        </w:rPr>
        <w:t>5</w:t>
      </w:r>
      <w:r>
        <w:rPr>
          <w:rFonts w:hint="eastAsia"/>
          <w:sz w:val="24"/>
        </w:rPr>
        <w:t>、乙方应当保证本单位安全生产条件所需资金的投入，对所承担的建设工程进行安全检查并做好记录。</w:t>
      </w:r>
    </w:p>
    <w:p>
      <w:pPr>
        <w:spacing w:line="470" w:lineRule="exact"/>
        <w:ind w:firstLine="480" w:firstLineChars="200"/>
        <w:rPr>
          <w:sz w:val="24"/>
        </w:rPr>
      </w:pPr>
      <w:r>
        <w:rPr>
          <w:rFonts w:hint="eastAsia"/>
          <w:sz w:val="24"/>
          <w:lang w:val="en-US" w:eastAsia="zh-CN"/>
        </w:rPr>
        <w:t>6</w:t>
      </w:r>
      <w:r>
        <w:rPr>
          <w:rFonts w:hint="eastAsia"/>
          <w:sz w:val="24"/>
        </w:rPr>
        <w:t>、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sz w:val="24"/>
        </w:rPr>
      </w:pPr>
      <w:r>
        <w:rPr>
          <w:rFonts w:hint="eastAsia"/>
          <w:sz w:val="24"/>
          <w:lang w:val="en-US" w:eastAsia="zh-CN"/>
        </w:rPr>
        <w:t>7</w:t>
      </w:r>
      <w:r>
        <w:rPr>
          <w:rFonts w:hint="eastAsia"/>
          <w:sz w:val="24"/>
        </w:rPr>
        <w:t>、乙方对安全文明施工措施费用，应当按以下范围使用，不得挪作他用。</w:t>
      </w:r>
    </w:p>
    <w:p>
      <w:pPr>
        <w:spacing w:line="470" w:lineRule="exact"/>
        <w:ind w:firstLine="480" w:firstLineChars="200"/>
        <w:rPr>
          <w:sz w:val="24"/>
        </w:rPr>
      </w:pPr>
      <w:r>
        <w:rPr>
          <w:rFonts w:hint="eastAsia"/>
          <w:sz w:val="24"/>
        </w:rPr>
        <w:t>（1）完善、改造和维护安全防护设施设备支出（不含“三同时”要求初期投入的安全设施），包括施工现场临时用电系统、洞口、高处作业防护、防火、防尘、通风、临时安全防护等设施设备支出；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sz w:val="24"/>
        </w:rPr>
      </w:pPr>
      <w:r>
        <w:rPr>
          <w:rFonts w:hint="eastAsia"/>
          <w:sz w:val="24"/>
          <w:lang w:val="en-US" w:eastAsia="zh-CN"/>
        </w:rPr>
        <w:t>8</w:t>
      </w:r>
      <w:r>
        <w:rPr>
          <w:rFonts w:hint="eastAsia"/>
          <w:sz w:val="24"/>
        </w:rPr>
        <w:t>、安装拆卸人员、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sz w:val="24"/>
        </w:rPr>
      </w:pPr>
      <w:r>
        <w:rPr>
          <w:rFonts w:hint="eastAsia"/>
          <w:sz w:val="24"/>
          <w:lang w:val="en-US" w:eastAsia="zh-CN"/>
        </w:rPr>
        <w:t>9</w:t>
      </w:r>
      <w:r>
        <w:rPr>
          <w:rFonts w:hint="eastAsia"/>
          <w:sz w:val="24"/>
        </w:rPr>
        <w:t>、乙方应当在施工组织设计中编制安全技术措施和施工现场临时用电方案，对危险性较大的分部分项工程编制专项施工方案，并附具安全验算结果，经过乙方技术负责人审核，在开工前5个工作日报总监理工程师（无监理时报业主）审批后实施，由专职安全生产管理人员进行现场监督</w:t>
      </w:r>
      <w:r>
        <w:rPr>
          <w:rFonts w:hint="eastAsia"/>
          <w:sz w:val="24"/>
          <w:lang w:eastAsia="zh-CN"/>
        </w:rPr>
        <w:t>。</w:t>
      </w:r>
    </w:p>
    <w:p>
      <w:pPr>
        <w:spacing w:line="470" w:lineRule="exact"/>
        <w:ind w:firstLine="480" w:firstLineChars="200"/>
        <w:rPr>
          <w:sz w:val="24"/>
        </w:rPr>
      </w:pPr>
      <w:r>
        <w:rPr>
          <w:rFonts w:hint="eastAsia"/>
          <w:sz w:val="24"/>
        </w:rPr>
        <w:t>1</w:t>
      </w:r>
      <w:r>
        <w:rPr>
          <w:rFonts w:hint="eastAsia"/>
          <w:sz w:val="24"/>
          <w:lang w:val="en-US" w:eastAsia="zh-CN"/>
        </w:rPr>
        <w:t>0</w:t>
      </w:r>
      <w:r>
        <w:rPr>
          <w:rFonts w:hint="eastAsia"/>
          <w:sz w:val="24"/>
        </w:rPr>
        <w:t>、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r>
        <w:rPr>
          <w:rFonts w:hint="eastAsia"/>
          <w:sz w:val="24"/>
          <w:highlight w:val="none"/>
          <w:lang w:eastAsia="zh-CN"/>
        </w:rPr>
        <w:t>，</w:t>
      </w:r>
      <w:r>
        <w:rPr>
          <w:rFonts w:hint="eastAsia"/>
          <w:sz w:val="24"/>
        </w:rPr>
        <w:t>人员出入现场精神状态检查。</w:t>
      </w:r>
    </w:p>
    <w:p>
      <w:pPr>
        <w:spacing w:line="470" w:lineRule="exact"/>
        <w:ind w:firstLine="480" w:firstLineChars="200"/>
        <w:rPr>
          <w:sz w:val="24"/>
        </w:rPr>
      </w:pPr>
      <w:r>
        <w:rPr>
          <w:rFonts w:hint="eastAsia"/>
          <w:sz w:val="24"/>
        </w:rPr>
        <w:t>1</w:t>
      </w:r>
      <w:r>
        <w:rPr>
          <w:rFonts w:hint="eastAsia"/>
          <w:sz w:val="24"/>
          <w:lang w:val="en-US" w:eastAsia="zh-CN"/>
        </w:rPr>
        <w:t>1、</w:t>
      </w:r>
      <w:r>
        <w:rPr>
          <w:rFonts w:hint="eastAsia"/>
          <w:sz w:val="24"/>
        </w:rPr>
        <w:t>乙方应当在施工现场入口处、临时用电设施、出入通道口、楼梯口、电梯井口、孔洞口等危险部位，设置明显的安全警示标志。安全警示标志应符合南方电网安健环标准。</w:t>
      </w:r>
    </w:p>
    <w:p>
      <w:pPr>
        <w:spacing w:line="470" w:lineRule="exact"/>
        <w:ind w:firstLine="480" w:firstLineChars="200"/>
        <w:rPr>
          <w:sz w:val="24"/>
        </w:rPr>
      </w:pPr>
      <w:r>
        <w:rPr>
          <w:rFonts w:hint="eastAsia"/>
          <w:sz w:val="24"/>
        </w:rPr>
        <w:t>1</w:t>
      </w:r>
      <w:r>
        <w:rPr>
          <w:rFonts w:hint="eastAsia"/>
          <w:sz w:val="24"/>
          <w:lang w:val="en-US" w:eastAsia="zh-CN"/>
        </w:rPr>
        <w:t>2</w:t>
      </w:r>
      <w:r>
        <w:rPr>
          <w:rFonts w:hint="eastAsia"/>
          <w:sz w:val="24"/>
        </w:rPr>
        <w:t>、乙方应当根据不同施工阶段和周围环境及季节、气候的变化，在施工现场采取相应的安全施工措施。施工现场暂时停止施工的，乙方应当做好现场防护。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sz w:val="24"/>
        </w:rPr>
      </w:pPr>
      <w:r>
        <w:rPr>
          <w:rFonts w:hint="eastAsia"/>
          <w:sz w:val="24"/>
        </w:rPr>
        <w:t>1</w:t>
      </w:r>
      <w:r>
        <w:rPr>
          <w:rFonts w:hint="eastAsia"/>
          <w:sz w:val="24"/>
          <w:lang w:val="en-US" w:eastAsia="zh-CN"/>
        </w:rPr>
        <w:t>3</w:t>
      </w:r>
      <w:r>
        <w:rPr>
          <w:rFonts w:hint="eastAsia"/>
          <w:sz w:val="24"/>
        </w:rPr>
        <w:t>、乙方应当遵守有关环境保护法律、法规的规定，在施工现场采取措施，防止或者减少粉尘、固体废物和施工照明对人和环境的危害和污染。</w:t>
      </w:r>
    </w:p>
    <w:p>
      <w:pPr>
        <w:spacing w:line="470" w:lineRule="exact"/>
        <w:ind w:firstLine="480" w:firstLineChars="200"/>
        <w:rPr>
          <w:sz w:val="24"/>
        </w:rPr>
      </w:pPr>
      <w:r>
        <w:rPr>
          <w:rFonts w:hint="eastAsia"/>
          <w:sz w:val="24"/>
        </w:rPr>
        <w:t>1</w:t>
      </w:r>
      <w:r>
        <w:rPr>
          <w:rFonts w:hint="eastAsia"/>
          <w:sz w:val="24"/>
          <w:lang w:val="en-US" w:eastAsia="zh-CN"/>
        </w:rPr>
        <w:t>4</w:t>
      </w:r>
      <w:r>
        <w:rPr>
          <w:rFonts w:hint="eastAsia"/>
          <w:sz w:val="24"/>
        </w:rPr>
        <w:t>、乙方应当在施工现场建立消防安全责任制度，确定消防安全责任人，制定用火、用电等各项消防安全管理制度和操作规程，配备消防设施和灭火器材，并定期检查维护。</w:t>
      </w:r>
    </w:p>
    <w:p>
      <w:pPr>
        <w:spacing w:line="470" w:lineRule="exact"/>
        <w:ind w:firstLine="480" w:firstLineChars="200"/>
        <w:rPr>
          <w:rFonts w:hint="eastAsia"/>
          <w:sz w:val="24"/>
        </w:rPr>
      </w:pPr>
      <w:r>
        <w:rPr>
          <w:rFonts w:hint="eastAsia"/>
          <w:sz w:val="24"/>
          <w:lang w:val="en-US" w:eastAsia="zh-CN"/>
        </w:rPr>
        <w:t>15</w:t>
      </w:r>
      <w:r>
        <w:rPr>
          <w:rFonts w:hint="eastAsia"/>
          <w:sz w:val="24"/>
        </w:rPr>
        <w:t>、乙方应当向作业人员提供合格的安全防护用品，并书面告知危险岗位的操作规程和违章操作的危害。乙方应监督作业人员遵守安全施工的强制性标准、规章制度和操作规程，正确使用安全防护用具。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lang w:eastAsia="zh-CN"/>
        </w:rPr>
      </w:pPr>
      <w:r>
        <w:rPr>
          <w:rFonts w:hint="eastAsia"/>
          <w:sz w:val="24"/>
          <w:lang w:val="en-US" w:eastAsia="zh-CN"/>
        </w:rPr>
        <w:t>16</w:t>
      </w:r>
      <w:r>
        <w:rPr>
          <w:rFonts w:hint="eastAsia"/>
          <w:sz w:val="24"/>
        </w:rPr>
        <w:t>、乙方应</w:t>
      </w:r>
      <w:r>
        <w:rPr>
          <w:rFonts w:hint="eastAsia"/>
          <w:sz w:val="24"/>
          <w:lang w:eastAsia="zh-CN"/>
        </w:rPr>
        <w:t>为</w:t>
      </w:r>
      <w:r>
        <w:rPr>
          <w:rFonts w:hint="eastAsia"/>
          <w:sz w:val="24"/>
        </w:rPr>
        <w:t>作业人员</w:t>
      </w:r>
      <w:r>
        <w:rPr>
          <w:rFonts w:hint="eastAsia"/>
          <w:sz w:val="24"/>
          <w:lang w:eastAsia="zh-CN"/>
        </w:rPr>
        <w:t>购买意外伤害保险。</w:t>
      </w:r>
    </w:p>
    <w:p>
      <w:pPr>
        <w:spacing w:line="470" w:lineRule="exact"/>
        <w:ind w:firstLine="480" w:firstLineChars="200"/>
        <w:rPr>
          <w:rFonts w:hint="eastAsia"/>
          <w:sz w:val="24"/>
        </w:rPr>
      </w:pPr>
      <w:r>
        <w:rPr>
          <w:rFonts w:hint="eastAsia"/>
          <w:sz w:val="24"/>
          <w:lang w:val="en-US" w:eastAsia="zh-CN"/>
        </w:rPr>
        <w:t>17、</w:t>
      </w:r>
      <w:r>
        <w:rPr>
          <w:rFonts w:hint="eastAsia"/>
          <w:sz w:val="24"/>
        </w:rPr>
        <w:t>乙方应</w:t>
      </w:r>
      <w:r>
        <w:rPr>
          <w:rFonts w:hint="eastAsia"/>
          <w:sz w:val="24"/>
          <w:lang w:eastAsia="zh-CN"/>
        </w:rPr>
        <w:t>与</w:t>
      </w:r>
      <w:r>
        <w:rPr>
          <w:rFonts w:hint="eastAsia"/>
          <w:sz w:val="24"/>
        </w:rPr>
        <w:t>作业</w:t>
      </w:r>
      <w:r>
        <w:rPr>
          <w:rFonts w:hint="eastAsia"/>
          <w:sz w:val="24"/>
          <w:lang w:eastAsia="zh-CN"/>
        </w:rPr>
        <w:t>人员签订</w:t>
      </w:r>
      <w:r>
        <w:rPr>
          <w:rFonts w:hint="eastAsia"/>
          <w:b w:val="0"/>
          <w:sz w:val="24"/>
          <w:szCs w:val="24"/>
        </w:rPr>
        <w:t>用工</w:t>
      </w:r>
      <w:r>
        <w:rPr>
          <w:rFonts w:hint="eastAsia" w:ascii="Times New Roman" w:hAnsi="Times New Roman" w:eastAsia="宋体" w:cs="Times New Roman"/>
          <w:b w:val="0"/>
          <w:sz w:val="24"/>
          <w:szCs w:val="24"/>
          <w:shd w:val="clear"/>
          <w:lang w:val="zh-CN"/>
        </w:rPr>
        <w:t>协议</w:t>
      </w:r>
      <w:r>
        <w:rPr>
          <w:rFonts w:hint="eastAsia"/>
          <w:sz w:val="24"/>
          <w:lang w:eastAsia="zh-CN"/>
        </w:rPr>
        <w:t>或合同。</w:t>
      </w:r>
    </w:p>
    <w:p>
      <w:pPr>
        <w:spacing w:line="470" w:lineRule="exact"/>
        <w:ind w:firstLine="480" w:firstLineChars="200"/>
        <w:rPr>
          <w:sz w:val="24"/>
        </w:rPr>
      </w:pPr>
      <w:r>
        <w:rPr>
          <w:rFonts w:hint="eastAsia"/>
          <w:sz w:val="24"/>
          <w:lang w:val="en-US" w:eastAsia="zh-CN"/>
        </w:rPr>
        <w:t>18</w:t>
      </w:r>
      <w:r>
        <w:rPr>
          <w:rFonts w:hint="eastAsia"/>
          <w:sz w:val="24"/>
        </w:rPr>
        <w:t>、施工现场的安全防护用品必须定期进行检查、维修和保养，并按照国家有关规定及时报废。</w:t>
      </w:r>
    </w:p>
    <w:p>
      <w:pPr>
        <w:spacing w:line="470" w:lineRule="exact"/>
        <w:ind w:firstLine="480" w:firstLineChars="200"/>
        <w:rPr>
          <w:sz w:val="24"/>
        </w:rPr>
      </w:pPr>
      <w:r>
        <w:rPr>
          <w:rFonts w:hint="eastAsia"/>
          <w:sz w:val="24"/>
          <w:lang w:val="en-US" w:eastAsia="zh-CN"/>
        </w:rPr>
        <w:t>19</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ascii="仿宋_GB2312" w:eastAsia="仿宋_GB2312"/>
          <w:sz w:val="32"/>
          <w:szCs w:val="32"/>
        </w:rPr>
      </w:pPr>
      <w:r>
        <w:rPr>
          <w:rFonts w:hint="eastAsia"/>
          <w:sz w:val="24"/>
        </w:rPr>
        <w:t>乙方项目负责人、安全管理负责人、专（兼）职安全生产管理人员持证要如下表：</w:t>
      </w:r>
    </w:p>
    <w:tbl>
      <w:tblPr>
        <w:tblStyle w:val="39"/>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701"/>
        <w:gridCol w:w="1701"/>
        <w:gridCol w:w="1701"/>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序号</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人员类别</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电力建设单位</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其他电力企业</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企业主要负责人</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 xml:space="preserve">建筑施工企业主要负责人（A类） </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2</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项目经理（负责人）</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建造师、建筑施工企业项目负责人（B类）</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建造师、电力安全培训合格证</w:t>
            </w:r>
          </w:p>
        </w:tc>
        <w:tc>
          <w:tcPr>
            <w:tcW w:w="2375"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小型工程如无建造师证则必须由符合小型工程施工项目负责人任职条件的人员担任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3</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专职安全生产管理人员</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建筑施工企业专职安全生产管理人员（C类）</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p>
        </w:tc>
      </w:tr>
    </w:tbl>
    <w:p>
      <w:pPr>
        <w:spacing w:line="470" w:lineRule="exact"/>
        <w:ind w:firstLine="480" w:firstLineChars="200"/>
        <w:rPr>
          <w:sz w:val="24"/>
        </w:rPr>
      </w:pPr>
      <w:r>
        <w:rPr>
          <w:rFonts w:hint="eastAsia"/>
          <w:sz w:val="24"/>
        </w:rPr>
        <w:t>注：施工企业小型工程项目负责人任职应符合下列条件之一：</w:t>
      </w:r>
    </w:p>
    <w:p>
      <w:pPr>
        <w:spacing w:line="470" w:lineRule="exact"/>
        <w:ind w:firstLine="480" w:firstLineChars="200"/>
        <w:rPr>
          <w:sz w:val="24"/>
        </w:rPr>
      </w:pPr>
      <w:r>
        <w:rPr>
          <w:rFonts w:hint="eastAsia"/>
          <w:sz w:val="24"/>
        </w:rPr>
        <w:t>（1）具有注册建造师(含临时建造师)证件；</w:t>
      </w:r>
    </w:p>
    <w:p>
      <w:pPr>
        <w:spacing w:line="470" w:lineRule="exact"/>
        <w:ind w:firstLine="480" w:firstLineChars="200"/>
        <w:rPr>
          <w:sz w:val="24"/>
        </w:rPr>
      </w:pPr>
      <w:r>
        <w:rPr>
          <w:rFonts w:hint="eastAsia"/>
          <w:sz w:val="24"/>
        </w:rPr>
        <w:t>（2）取得县级以上相关政府部门施工企业项目负责人安全生产考核合格证书；</w:t>
      </w:r>
    </w:p>
    <w:p>
      <w:pPr>
        <w:spacing w:line="470" w:lineRule="exact"/>
        <w:ind w:firstLine="480" w:firstLineChars="200"/>
        <w:rPr>
          <w:sz w:val="24"/>
        </w:rPr>
      </w:pPr>
      <w:r>
        <w:rPr>
          <w:rFonts w:hint="eastAsia"/>
          <w:sz w:val="24"/>
        </w:rPr>
        <w:t>（3）取得省住房和城乡建设行政主管部门认定的继续教育培训机构颁发的安全培训考核合格证书或县级及以上安全监管机构认定的培训机构颁发的安全培训考核合格证书。</w:t>
      </w:r>
    </w:p>
    <w:p>
      <w:pPr>
        <w:spacing w:line="470" w:lineRule="exact"/>
        <w:ind w:firstLine="480" w:firstLineChars="200"/>
        <w:rPr>
          <w:sz w:val="24"/>
        </w:rPr>
      </w:pPr>
      <w:r>
        <w:rPr>
          <w:rFonts w:hint="eastAsia"/>
          <w:sz w:val="24"/>
        </w:rPr>
        <w:t>2</w:t>
      </w:r>
      <w:r>
        <w:rPr>
          <w:rFonts w:hint="eastAsia"/>
          <w:sz w:val="24"/>
          <w:lang w:val="en-US" w:eastAsia="zh-CN"/>
        </w:rPr>
        <w:t>0</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sz w:val="24"/>
        </w:rPr>
      </w:pPr>
      <w:r>
        <w:rPr>
          <w:rFonts w:hint="eastAsia"/>
          <w:sz w:val="24"/>
        </w:rPr>
        <w:t>2</w:t>
      </w:r>
      <w:r>
        <w:rPr>
          <w:rFonts w:hint="eastAsia"/>
          <w:sz w:val="24"/>
          <w:lang w:val="en-US" w:eastAsia="zh-CN"/>
        </w:rPr>
        <w:t>1、</w:t>
      </w:r>
      <w:r>
        <w:rPr>
          <w:rFonts w:hint="eastAsia"/>
          <w:sz w:val="24"/>
        </w:rPr>
        <w:t>乙方不得使用国家明令淘汰、禁止使用的危及生产安全的材料、工艺、设备。</w:t>
      </w:r>
    </w:p>
    <w:p>
      <w:pPr>
        <w:spacing w:line="470" w:lineRule="exact"/>
        <w:ind w:firstLine="480" w:firstLineChars="200"/>
        <w:rPr>
          <w:sz w:val="24"/>
        </w:rPr>
      </w:pPr>
      <w:r>
        <w:rPr>
          <w:rFonts w:hint="eastAsia"/>
          <w:sz w:val="24"/>
        </w:rPr>
        <w:t>2</w:t>
      </w:r>
      <w:r>
        <w:rPr>
          <w:rFonts w:hint="eastAsia"/>
          <w:sz w:val="24"/>
          <w:lang w:val="en-US" w:eastAsia="zh-CN"/>
        </w:rPr>
        <w:t>2</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sz w:val="24"/>
        </w:rPr>
      </w:pPr>
      <w:r>
        <w:rPr>
          <w:rFonts w:hint="eastAsia"/>
          <w:sz w:val="24"/>
        </w:rPr>
        <w:t>2</w:t>
      </w:r>
      <w:r>
        <w:rPr>
          <w:rFonts w:hint="eastAsia"/>
          <w:sz w:val="24"/>
          <w:lang w:val="en-US" w:eastAsia="zh-CN"/>
        </w:rPr>
        <w:t>3</w:t>
      </w:r>
      <w:r>
        <w:rPr>
          <w:rFonts w:hint="eastAsia"/>
          <w:sz w:val="24"/>
        </w:rPr>
        <w:t>、乙方除执行甲方应急预案外，应制定本单位应急预案和现场处置方案，建立应急救援组织或者配备应急救援人员，配备必要的应急救援器材、设备，并定期组织演练。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sz w:val="24"/>
        </w:rPr>
      </w:pPr>
      <w:r>
        <w:rPr>
          <w:rFonts w:hint="eastAsia"/>
          <w:sz w:val="24"/>
          <w:lang w:val="en-US" w:eastAsia="zh-CN"/>
        </w:rPr>
        <w:t>24</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sz w:val="24"/>
        </w:rPr>
      </w:pPr>
      <w:r>
        <w:rPr>
          <w:rFonts w:hint="eastAsia"/>
          <w:sz w:val="24"/>
          <w:lang w:val="en-US" w:eastAsia="zh-CN"/>
        </w:rPr>
        <w:t>25</w:t>
      </w:r>
      <w:r>
        <w:rPr>
          <w:rFonts w:hint="eastAsia"/>
          <w:sz w:val="24"/>
        </w:rPr>
        <w:t>、乙方应服从甲方的监督检查，按时完成甲方提出的整改要求。</w:t>
      </w:r>
    </w:p>
    <w:p>
      <w:pPr>
        <w:spacing w:line="470" w:lineRule="exact"/>
        <w:ind w:firstLine="480" w:firstLineChars="200"/>
        <w:rPr>
          <w:sz w:val="24"/>
        </w:rPr>
      </w:pPr>
      <w:r>
        <w:rPr>
          <w:rFonts w:hint="eastAsia"/>
          <w:sz w:val="24"/>
          <w:lang w:val="en-US" w:eastAsia="zh-CN"/>
        </w:rPr>
        <w:t>26</w:t>
      </w:r>
      <w:r>
        <w:rPr>
          <w:rFonts w:hint="eastAsia"/>
          <w:sz w:val="24"/>
        </w:rPr>
        <w:t>、负责法律法规及施工合同中规定的由乙方承担的其他安全生产责任。</w:t>
      </w:r>
    </w:p>
    <w:p>
      <w:pPr>
        <w:spacing w:line="470" w:lineRule="exact"/>
        <w:rPr>
          <w:b/>
          <w:sz w:val="24"/>
        </w:rPr>
      </w:pPr>
      <w:r>
        <w:rPr>
          <w:rFonts w:hint="eastAsia"/>
          <w:b/>
          <w:sz w:val="24"/>
        </w:rPr>
        <w:t>第三条</w:t>
      </w:r>
      <w:r>
        <w:rPr>
          <w:rFonts w:hint="eastAsia"/>
          <w:b/>
          <w:sz w:val="24"/>
          <w:lang w:val="en-US" w:eastAsia="zh-CN"/>
        </w:rPr>
        <w:t xml:space="preserve"> </w:t>
      </w:r>
      <w:r>
        <w:rPr>
          <w:rFonts w:hint="eastAsia"/>
          <w:b/>
          <w:sz w:val="24"/>
        </w:rPr>
        <w:t>违约责任</w:t>
      </w:r>
    </w:p>
    <w:p>
      <w:pPr>
        <w:spacing w:line="470" w:lineRule="exact"/>
        <w:ind w:firstLine="480" w:firstLineChars="200"/>
        <w:rPr>
          <w:sz w:val="24"/>
        </w:rPr>
      </w:pPr>
      <w:r>
        <w:rPr>
          <w:rFonts w:hint="eastAsia"/>
          <w:sz w:val="24"/>
        </w:rPr>
        <w:t>1、甲方未尽到本方安全责任，造成的损失由甲方承担。</w:t>
      </w:r>
    </w:p>
    <w:p>
      <w:pPr>
        <w:spacing w:line="470" w:lineRule="exact"/>
        <w:ind w:firstLine="480" w:firstLineChars="200"/>
        <w:rPr>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sz w:val="24"/>
        </w:rPr>
      </w:pPr>
      <w:r>
        <w:rPr>
          <w:rFonts w:hint="eastAsia"/>
          <w:sz w:val="24"/>
        </w:rPr>
        <w:t>5、乙方未尽到其应尽的安全责任，甲方有权要求乙方立即停工整改，由此引起的后果及损失由乙方承担。</w:t>
      </w:r>
    </w:p>
    <w:p>
      <w:pPr>
        <w:spacing w:line="470" w:lineRule="exact"/>
        <w:rPr>
          <w:b/>
          <w:sz w:val="24"/>
        </w:rPr>
      </w:pPr>
      <w:r>
        <w:rPr>
          <w:rFonts w:hint="eastAsia"/>
          <w:b/>
          <w:sz w:val="24"/>
        </w:rPr>
        <w:t>第四条</w:t>
      </w:r>
      <w:r>
        <w:rPr>
          <w:rFonts w:hint="eastAsia"/>
          <w:b/>
          <w:sz w:val="24"/>
          <w:lang w:val="en-US" w:eastAsia="zh-CN"/>
        </w:rPr>
        <w:t xml:space="preserve"> </w:t>
      </w:r>
      <w:r>
        <w:rPr>
          <w:rFonts w:hint="eastAsia"/>
          <w:b/>
          <w:sz w:val="24"/>
        </w:rPr>
        <w:t>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rPr>
          <w:b/>
          <w:sz w:val="24"/>
        </w:rPr>
      </w:pPr>
      <w:r>
        <w:rPr>
          <w:rFonts w:hint="eastAsia"/>
          <w:b/>
          <w:sz w:val="24"/>
        </w:rPr>
        <w:t>第五条</w:t>
      </w:r>
      <w:r>
        <w:rPr>
          <w:rFonts w:hint="eastAsia"/>
          <w:b/>
          <w:sz w:val="24"/>
          <w:lang w:val="en-US" w:eastAsia="zh-CN"/>
        </w:rPr>
        <w:t xml:space="preserve"> </w:t>
      </w:r>
      <w:r>
        <w:rPr>
          <w:rFonts w:hint="eastAsia"/>
          <w:b/>
          <w:sz w:val="24"/>
        </w:rPr>
        <w:t>其他</w:t>
      </w:r>
    </w:p>
    <w:p>
      <w:pPr>
        <w:spacing w:line="470" w:lineRule="exact"/>
        <w:ind w:firstLine="480" w:firstLineChars="200"/>
        <w:rPr>
          <w:sz w:val="24"/>
        </w:rPr>
      </w:pPr>
      <w:r>
        <w:rPr>
          <w:rFonts w:hint="eastAsia"/>
          <w:sz w:val="24"/>
        </w:rPr>
        <w:t>1、本协议作为承包合同的有效组成部分，与承包合同同时生效和终止。</w:t>
      </w:r>
    </w:p>
    <w:p>
      <w:pPr>
        <w:spacing w:line="470" w:lineRule="exact"/>
        <w:ind w:firstLine="480" w:firstLineChars="200"/>
        <w:rPr>
          <w:sz w:val="24"/>
        </w:rPr>
      </w:pPr>
      <w:r>
        <w:rPr>
          <w:rFonts w:hint="eastAsia"/>
          <w:sz w:val="24"/>
        </w:rPr>
        <w:t>2、本协议如有争议，争议解决办法与合同争议解决办法相同。</w:t>
      </w:r>
    </w:p>
    <w:p>
      <w:pPr>
        <w:spacing w:line="470" w:lineRule="exact"/>
        <w:ind w:firstLine="480" w:firstLineChars="200"/>
        <w:rPr>
          <w:sz w:val="24"/>
        </w:rPr>
      </w:pPr>
      <w:r>
        <w:rPr>
          <w:rFonts w:hint="eastAsia"/>
          <w:sz w:val="24"/>
        </w:rPr>
        <w:t>3、本协议未尽事宜，双方协商解决。</w:t>
      </w:r>
    </w:p>
    <w:p>
      <w:pPr>
        <w:spacing w:line="470" w:lineRule="exact"/>
        <w:ind w:firstLine="480" w:firstLineChars="200"/>
        <w:rPr>
          <w:sz w:val="24"/>
        </w:rPr>
      </w:pPr>
      <w:r>
        <w:rPr>
          <w:rFonts w:hint="eastAsia"/>
          <w:sz w:val="24"/>
        </w:rPr>
        <w:t>4、如有与国家和地方有关规定相悖的，按国家和地方有关规定执行。</w:t>
      </w:r>
    </w:p>
    <w:p>
      <w:pPr>
        <w:spacing w:line="470" w:lineRule="exact"/>
        <w:ind w:firstLine="480" w:firstLineChars="200"/>
        <w:rPr>
          <w:sz w:val="24"/>
        </w:rPr>
      </w:pPr>
      <w:r>
        <w:rPr>
          <w:rFonts w:hint="eastAsia"/>
          <w:sz w:val="24"/>
        </w:rPr>
        <w:t>5、本协议一式肆份，甲乙双方各执贰份，签字盖章后即生效。</w:t>
      </w: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r>
        <w:rPr>
          <w:rFonts w:hint="eastAsia"/>
          <w:sz w:val="24"/>
        </w:rPr>
        <w:t>甲方：</w:t>
      </w:r>
      <w:r>
        <w:rPr>
          <w:rFonts w:hint="eastAsia"/>
          <w:sz w:val="24"/>
          <w:lang w:val="en-US" w:eastAsia="zh-CN"/>
        </w:rPr>
        <w:t xml:space="preserve">                       </w:t>
      </w:r>
      <w:r>
        <w:rPr>
          <w:rFonts w:hint="eastAsia"/>
          <w:sz w:val="24"/>
        </w:rPr>
        <w:t>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w:t>
      </w:r>
      <w:r>
        <w:rPr>
          <w:rFonts w:hint="eastAsia"/>
          <w:sz w:val="24"/>
          <w:lang w:val="en-US" w:eastAsia="zh-CN"/>
        </w:rPr>
        <w:t xml:space="preserve">   </w:t>
      </w:r>
      <w:r>
        <w:rPr>
          <w:rFonts w:hint="eastAsia"/>
          <w:sz w:val="24"/>
        </w:rPr>
        <w:t>代表：</w:t>
      </w:r>
    </w:p>
    <w:p>
      <w:pPr>
        <w:spacing w:line="470" w:lineRule="exact"/>
        <w:ind w:firstLine="480" w:firstLineChars="200"/>
        <w:rPr>
          <w:sz w:val="24"/>
        </w:rPr>
      </w:pPr>
      <w:r>
        <w:rPr>
          <w:rFonts w:hint="eastAsia"/>
          <w:sz w:val="24"/>
        </w:rPr>
        <w:t>　　</w:t>
      </w:r>
    </w:p>
    <w:p>
      <w:pPr>
        <w:spacing w:line="470" w:lineRule="exact"/>
        <w:ind w:firstLine="480" w:firstLineChars="200"/>
        <w:rPr>
          <w:sz w:val="24"/>
        </w:rPr>
      </w:pPr>
      <w:r>
        <w:rPr>
          <w:rFonts w:hint="eastAsia"/>
          <w:sz w:val="24"/>
        </w:rPr>
        <w:t>日期：　年　月　日</w:t>
      </w:r>
      <w:r>
        <w:rPr>
          <w:rFonts w:hint="eastAsia"/>
          <w:sz w:val="24"/>
          <w:lang w:val="en-US" w:eastAsia="zh-CN"/>
        </w:rPr>
        <w:t xml:space="preserve">            </w:t>
      </w:r>
      <w:r>
        <w:rPr>
          <w:rFonts w:hint="eastAsia"/>
          <w:sz w:val="24"/>
        </w:rPr>
        <w:t>日期：　　年　月　日</w:t>
      </w:r>
    </w:p>
    <w:p>
      <w:pPr>
        <w:widowControl/>
        <w:spacing w:line="360" w:lineRule="auto"/>
        <w:contextualSpacing/>
        <w:jc w:val="left"/>
        <w:outlineLvl w:val="0"/>
        <w:rPr>
          <w:sz w:val="24"/>
        </w:rPr>
      </w:pPr>
    </w:p>
    <w:p>
      <w:pPr>
        <w:widowControl/>
        <w:spacing w:line="360" w:lineRule="auto"/>
        <w:contextualSpacing/>
        <w:jc w:val="left"/>
        <w:outlineLvl w:val="0"/>
        <w:rPr>
          <w:sz w:val="24"/>
        </w:rPr>
      </w:pPr>
    </w:p>
    <w:p>
      <w:pPr>
        <w:spacing w:line="470" w:lineRule="exact"/>
        <w:ind w:firstLine="480" w:firstLineChars="200"/>
        <w:rPr>
          <w:sz w:val="24"/>
        </w:rPr>
      </w:pPr>
      <w:r>
        <w:rPr>
          <w:rFonts w:hint="eastAsia"/>
          <w:sz w:val="24"/>
        </w:rPr>
        <w:t>甲方安全监管监督人：</w:t>
      </w:r>
    </w:p>
    <w:p>
      <w:pPr>
        <w:spacing w:line="470" w:lineRule="exact"/>
        <w:ind w:firstLine="480" w:firstLineChars="200"/>
        <w:rPr>
          <w:sz w:val="24"/>
        </w:rPr>
      </w:pPr>
    </w:p>
    <w:p>
      <w:pPr>
        <w:spacing w:line="470" w:lineRule="exact"/>
        <w:ind w:firstLine="480" w:firstLineChars="200"/>
        <w:rPr>
          <w:sz w:val="24"/>
        </w:rPr>
      </w:pPr>
      <w:r>
        <w:rPr>
          <w:rFonts w:hint="eastAsia"/>
          <w:sz w:val="24"/>
        </w:rPr>
        <w:t>日期：　年　月　日</w:t>
      </w:r>
    </w:p>
    <w:p>
      <w:pPr>
        <w:pStyle w:val="174"/>
        <w:spacing w:line="360" w:lineRule="auto"/>
        <w:rPr>
          <w:rFonts w:ascii="黑体" w:hAnsi="宋体" w:eastAsia="黑体"/>
          <w:bCs/>
          <w:color w:val="000000"/>
          <w:kern w:val="44"/>
          <w:szCs w:val="21"/>
        </w:rPr>
      </w:pPr>
      <w:r>
        <w:br w:type="page"/>
      </w:r>
      <w:r>
        <w:rPr>
          <w:rFonts w:hint="eastAsia" w:ascii="黑体" w:hAnsi="宋体" w:eastAsia="黑体"/>
          <w:bCs/>
          <w:color w:val="000000"/>
          <w:kern w:val="44"/>
          <w:sz w:val="28"/>
          <w:szCs w:val="28"/>
        </w:rPr>
        <w:t>附件</w:t>
      </w:r>
    </w:p>
    <w:p>
      <w:pPr>
        <w:widowControl/>
        <w:spacing w:line="360" w:lineRule="auto"/>
        <w:contextualSpacing/>
        <w:jc w:val="center"/>
        <w:outlineLvl w:val="0"/>
        <w:rPr>
          <w:rFonts w:ascii="黑体" w:hAnsi="宋体" w:eastAsia="黑体"/>
          <w:bCs/>
          <w:color w:val="000000"/>
          <w:kern w:val="44"/>
          <w:sz w:val="30"/>
          <w:szCs w:val="30"/>
        </w:rPr>
      </w:pPr>
      <w:r>
        <w:rPr>
          <w:rFonts w:hint="eastAsia" w:ascii="黑体" w:hAnsi="宋体" w:eastAsia="黑体"/>
          <w:bCs/>
          <w:color w:val="000000"/>
          <w:kern w:val="44"/>
          <w:sz w:val="30"/>
          <w:szCs w:val="30"/>
        </w:rPr>
        <w:t>施工现场</w:t>
      </w:r>
      <w:r>
        <w:rPr>
          <w:rFonts w:ascii="黑体" w:hAnsi="宋体" w:eastAsia="黑体"/>
          <w:bCs/>
          <w:color w:val="000000"/>
          <w:kern w:val="44"/>
          <w:sz w:val="30"/>
          <w:szCs w:val="30"/>
        </w:rPr>
        <w:t>HSE</w:t>
      </w:r>
      <w:r>
        <w:rPr>
          <w:rFonts w:hint="eastAsia" w:ascii="黑体" w:hAnsi="宋体" w:eastAsia="黑体"/>
          <w:bCs/>
          <w:color w:val="000000"/>
          <w:kern w:val="44"/>
          <w:sz w:val="30"/>
          <w:szCs w:val="30"/>
        </w:rPr>
        <w:t>奖罚规定</w:t>
      </w:r>
    </w:p>
    <w:p>
      <w:pPr>
        <w:pStyle w:val="36"/>
        <w:spacing w:line="360" w:lineRule="auto"/>
        <w:ind w:firstLine="480"/>
        <w:rPr>
          <w:i/>
          <w:sz w:val="24"/>
          <w:szCs w:val="24"/>
          <w:lang w:eastAsia="zh-CN"/>
        </w:rPr>
      </w:pPr>
    </w:p>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0" w:name="_Toc256713128"/>
      <w:bookmarkStart w:id="1" w:name="_Toc301180784"/>
      <w:r>
        <w:rPr>
          <w:rFonts w:hint="eastAsia" w:asciiTheme="minorEastAsia" w:hAnsiTheme="minorEastAsia" w:eastAsiaTheme="minorEastAsia" w:cstheme="minorEastAsia"/>
          <w:b/>
          <w:spacing w:val="10"/>
          <w:sz w:val="24"/>
          <w:szCs w:val="24"/>
          <w:highlight w:val="none"/>
        </w:rPr>
        <w:t>一、说明</w:t>
      </w:r>
      <w:bookmarkEnd w:id="0"/>
      <w:bookmarkEnd w:id="1"/>
    </w:p>
    <w:p>
      <w:pPr>
        <w:spacing w:line="470" w:lineRule="exact"/>
        <w:ind w:firstLine="480" w:firstLineChars="200"/>
        <w:rPr>
          <w:rFonts w:hint="eastAsia" w:asciiTheme="minorEastAsia" w:hAnsiTheme="minorEastAsia" w:eastAsiaTheme="minorEastAsia" w:cstheme="minorEastAsia"/>
          <w:sz w:val="24"/>
          <w:szCs w:val="24"/>
          <w:highlight w:val="none"/>
        </w:rPr>
      </w:pPr>
      <w:bookmarkStart w:id="2" w:name="_Toc526137039"/>
      <w:r>
        <w:rPr>
          <w:rFonts w:hint="eastAsia" w:asciiTheme="minorEastAsia" w:hAnsiTheme="minorEastAsia" w:eastAsiaTheme="minorEastAsia" w:cstheme="minorEastAsia"/>
          <w:sz w:val="24"/>
          <w:szCs w:val="24"/>
          <w:highlight w:val="none"/>
        </w:rPr>
        <w:t>1、依照合同相关条款的约定，本规定作为合同要求具体化的延伸，甲方对乙方HSE管理的任何不符合现象具有奖惩的权利。</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2、HSE处罚主要依据中国南方电网有限责任公司《基建工程安全文明施工检查评价标准表式》中相关表格内容。</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3、乙方的现场活动/生产/服务应满足和符合甲方的HSE管理要求和相关管理规则、标准。</w:t>
      </w:r>
    </w:p>
    <w:bookmarkEnd w:id="2"/>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3" w:name="_Toc301180785"/>
      <w:r>
        <w:rPr>
          <w:rFonts w:hint="eastAsia" w:asciiTheme="minorEastAsia" w:hAnsiTheme="minorEastAsia" w:eastAsiaTheme="minorEastAsia" w:cstheme="minorEastAsia"/>
          <w:b/>
          <w:spacing w:val="10"/>
          <w:sz w:val="24"/>
          <w:szCs w:val="24"/>
          <w:highlight w:val="none"/>
        </w:rPr>
        <w:t>二、基本处罚标准</w:t>
      </w:r>
      <w:bookmarkEnd w:id="3"/>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2、发生轻伤事故，给予事故单位扣款1000-3000元。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3、发生重伤事故，给予事故单位扣款5000-30000元。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4、发生人身死亡责任事故每人次处以40万元扣款； </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5、一般火灾事故处以1000-50000元扣款（有人身伤亡的按上述款项并处）。</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6、发生食物或职业中毒事故，扣款1000-10000元。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7、因废料、废气造成环境污染的，扣款1000-10000元。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8、因违反项目建设部制定的《10KV系统用电管理办法》及相关的用电管理规定，造成停电事故或电气设备受损坏的，除赔偿全部经济损失外，处以1000-5000元的扣款。</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9</w:t>
      </w:r>
      <w:r>
        <w:rPr>
          <w:rFonts w:hint="eastAsia" w:asciiTheme="minorEastAsia" w:hAnsiTheme="minorEastAsia" w:eastAsiaTheme="minorEastAsia" w:cstheme="minorEastAsia"/>
          <w:bCs/>
          <w:sz w:val="24"/>
          <w:szCs w:val="24"/>
          <w:highlight w:val="none"/>
        </w:rPr>
        <w:t>、汽车压坏电缆盖板，损坏电缆、光纤，应赔偿全部经济损失。</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0</w:t>
      </w:r>
      <w:r>
        <w:rPr>
          <w:rFonts w:hint="eastAsia" w:asciiTheme="minorEastAsia" w:hAnsiTheme="minorEastAsia" w:eastAsiaTheme="minorEastAsia" w:cstheme="minorEastAsia"/>
          <w:bCs/>
          <w:sz w:val="24"/>
          <w:szCs w:val="24"/>
          <w:highlight w:val="none"/>
        </w:rPr>
        <w:t>、乙方隐瞒事故的按照国家相关法律法规要求，报送上级单位及政府主管部门处理。</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1</w:t>
      </w:r>
      <w:r>
        <w:rPr>
          <w:rFonts w:hint="eastAsia" w:asciiTheme="minorEastAsia" w:hAnsiTheme="minorEastAsia" w:eastAsiaTheme="minorEastAsia" w:cstheme="minorEastAsia"/>
          <w:bCs/>
          <w:sz w:val="24"/>
          <w:szCs w:val="24"/>
          <w:highlight w:val="none"/>
        </w:rPr>
        <w:t>、对甲方以《施工现场安全整改通知单》、检查通报、检查会议纪要等形式提出的整改要求；乙方逾期不整改或拒绝整改的，酌情给予扣款1000-3000元；依然不能满足管理要求的，甲方有权要求乙方更换责任人员，甚至停工整改。</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2、</w:t>
      </w:r>
      <w:r>
        <w:rPr>
          <w:rFonts w:hint="eastAsia" w:asciiTheme="minorEastAsia" w:hAnsiTheme="minorEastAsia" w:eastAsiaTheme="minorEastAsia" w:cstheme="minorEastAsia"/>
          <w:bCs/>
          <w:sz w:val="24"/>
          <w:szCs w:val="24"/>
          <w:highlight w:val="none"/>
        </w:rPr>
        <w:t>工程建设过程中，乙方的管理人员对甲方管理人员提出的合理安全管理要求，不予配合的，处扣款500-1000元。甚至采取谩骂、威胁等行为的，甲方有权要求乙方清退、更换责任人员，并处扣款1000-5000元。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3</w:t>
      </w:r>
      <w:r>
        <w:rPr>
          <w:rFonts w:hint="eastAsia" w:asciiTheme="minorEastAsia" w:hAnsiTheme="minorEastAsia" w:eastAsiaTheme="minorEastAsia" w:cstheme="minorEastAsia"/>
          <w:bCs/>
          <w:sz w:val="24"/>
          <w:szCs w:val="24"/>
          <w:highlight w:val="none"/>
        </w:rPr>
        <w:t>、现场因安全、职业健康、环境保护管理不到位或违章违法行为等原因，被甲方、监理单位下发停工令的，给予扣款1000-5000元/起。</w:t>
      </w:r>
    </w:p>
    <w:p>
      <w:pPr>
        <w:tabs>
          <w:tab w:val="left" w:pos="1314"/>
        </w:tabs>
        <w:spacing w:line="470" w:lineRule="exact"/>
        <w:ind w:left="-80" w:leftChars="-38" w:firstLine="482" w:firstLineChars="200"/>
        <w:rPr>
          <w:rFonts w:hint="eastAsia" w:asciiTheme="minorEastAsia" w:hAnsiTheme="minorEastAsia" w:eastAsiaTheme="minorEastAsia" w:cstheme="minorEastAsia"/>
          <w:b/>
          <w:bCs/>
          <w:sz w:val="24"/>
          <w:szCs w:val="24"/>
          <w:highlight w:val="none"/>
        </w:rPr>
      </w:pPr>
      <w:bookmarkStart w:id="4" w:name="_Toc301180786"/>
      <w:r>
        <w:rPr>
          <w:rFonts w:hint="eastAsia" w:asciiTheme="minorEastAsia" w:hAnsiTheme="minorEastAsia" w:eastAsiaTheme="minorEastAsia" w:cstheme="minorEastAsia"/>
          <w:b/>
          <w:bCs/>
          <w:sz w:val="24"/>
          <w:szCs w:val="24"/>
          <w:highlight w:val="none"/>
        </w:rPr>
        <w:t>三、HSE管理考核标准</w:t>
      </w:r>
      <w:bookmarkEnd w:id="4"/>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以下各项主要针对单位进行处罚；视情节（指管理责任）对主管安全领导处罚1000元；对相关部门负责人处罚500元。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1、应急预案与响应</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未按要求开展应急管理工作的，扣款1000-3000元。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w:t>
      </w:r>
      <w:r>
        <w:rPr>
          <w:rFonts w:hint="eastAsia" w:asciiTheme="minorEastAsia" w:hAnsiTheme="minorEastAsia" w:eastAsiaTheme="minorEastAsia" w:cstheme="minorEastAsia"/>
          <w:b/>
          <w:bCs/>
          <w:kern w:val="0"/>
          <w:sz w:val="24"/>
          <w:szCs w:val="24"/>
          <w:highlight w:val="none"/>
        </w:rPr>
        <w:t>、危险源辨识及风险评价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（1）未执行班前站班会的</w:t>
      </w:r>
      <w:r>
        <w:rPr>
          <w:rFonts w:hint="eastAsia" w:asciiTheme="minorEastAsia" w:hAnsiTheme="minorEastAsia" w:eastAsiaTheme="minorEastAsia" w:cstheme="minorEastAsia"/>
          <w:bCs/>
          <w:kern w:val="0"/>
          <w:sz w:val="24"/>
          <w:szCs w:val="24"/>
          <w:highlight w:val="none"/>
          <w:lang w:eastAsia="zh-CN"/>
        </w:rPr>
        <w:t>或记录不完整的</w:t>
      </w:r>
      <w:r>
        <w:rPr>
          <w:rFonts w:hint="eastAsia" w:asciiTheme="minorEastAsia" w:hAnsiTheme="minorEastAsia" w:eastAsiaTheme="minorEastAsia" w:cstheme="minorEastAsia"/>
          <w:bCs/>
          <w:kern w:val="0"/>
          <w:sz w:val="24"/>
          <w:szCs w:val="24"/>
          <w:highlight w:val="none"/>
        </w:rPr>
        <w:t>，扣款500-2000元。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（2）未对危险源进行识别、评价、未对重大危险源进行控制、策划、建档并针对其编制安全技术措施（方案），制定应急预案的，扣款2000-5000元。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（3）进行危险性大的作业时，没有安排专人进行现场管理，指挥人员没有相应资质，以及未按安全操作规程作业的，扣款1000-5000元。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3</w:t>
      </w:r>
      <w:r>
        <w:rPr>
          <w:rFonts w:hint="eastAsia" w:asciiTheme="minorEastAsia" w:hAnsiTheme="minorEastAsia" w:eastAsiaTheme="minorEastAsia" w:cstheme="minorEastAsia"/>
          <w:b/>
          <w:bCs/>
          <w:kern w:val="0"/>
          <w:sz w:val="24"/>
          <w:szCs w:val="24"/>
          <w:highlight w:val="none"/>
        </w:rPr>
        <w:t>、安全教育培训</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（1）安排未经安全教育或安全</w:t>
      </w:r>
      <w:r>
        <w:rPr>
          <w:rFonts w:hint="eastAsia" w:asciiTheme="minorEastAsia" w:hAnsiTheme="minorEastAsia" w:eastAsiaTheme="minorEastAsia" w:cstheme="minorEastAsia"/>
          <w:bCs/>
          <w:kern w:val="0"/>
          <w:sz w:val="24"/>
          <w:szCs w:val="24"/>
          <w:highlight w:val="none"/>
          <w:lang w:eastAsia="zh-CN"/>
        </w:rPr>
        <w:t>考试</w:t>
      </w:r>
      <w:r>
        <w:rPr>
          <w:rFonts w:hint="eastAsia" w:asciiTheme="minorEastAsia" w:hAnsiTheme="minorEastAsia" w:eastAsiaTheme="minorEastAsia" w:cstheme="minorEastAsia"/>
          <w:bCs/>
          <w:kern w:val="0"/>
          <w:sz w:val="24"/>
          <w:szCs w:val="24"/>
          <w:highlight w:val="none"/>
        </w:rPr>
        <w:t>不合格的人员进行现场施工的，扣款200元/人。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（2）对新进人员不开展入场安全教育或不进行安全培训及考试，教育培训记录不完整的，扣款200元/人。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（3）施工安全技术措施不交底或不履行签字手续，或不严格执行施工措施及方案的，扣款1000－3000元。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）施工作业票不交底或不履行签字手续扣款500元。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）安排未经安全教育或安全</w:t>
      </w:r>
      <w:r>
        <w:rPr>
          <w:rFonts w:hint="eastAsia" w:asciiTheme="minorEastAsia" w:hAnsiTheme="minorEastAsia" w:eastAsiaTheme="minorEastAsia" w:cstheme="minorEastAsia"/>
          <w:bCs/>
          <w:kern w:val="0"/>
          <w:sz w:val="24"/>
          <w:szCs w:val="24"/>
          <w:highlight w:val="none"/>
          <w:lang w:val="en-US" w:eastAsia="zh-CN"/>
        </w:rPr>
        <w:t>考试</w:t>
      </w:r>
      <w:r>
        <w:rPr>
          <w:rFonts w:hint="eastAsia" w:asciiTheme="minorEastAsia" w:hAnsiTheme="minorEastAsia" w:eastAsiaTheme="minorEastAsia" w:cstheme="minorEastAsia"/>
          <w:bCs/>
          <w:kern w:val="0"/>
          <w:sz w:val="24"/>
          <w:szCs w:val="24"/>
          <w:highlight w:val="none"/>
        </w:rPr>
        <w:t>不合格的人员进行现场施工的，扣款200-500元/人。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lang w:eastAsia="zh-CN"/>
        </w:rPr>
        <w:t>）培训代签名的（培训签到表），</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val="en-US"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5</w:t>
      </w:r>
      <w:r>
        <w:rPr>
          <w:rFonts w:hint="eastAsia" w:asciiTheme="minorEastAsia" w:hAnsiTheme="minorEastAsia" w:eastAsiaTheme="minorEastAsia" w:cstheme="minorEastAsia"/>
          <w:b/>
          <w:bCs/>
          <w:kern w:val="0"/>
          <w:sz w:val="24"/>
          <w:szCs w:val="24"/>
          <w:highlight w:val="none"/>
        </w:rPr>
        <w:t>、特种作业人员管理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（1）安排没有取得特种作业操作资格证书人员进行作业的，扣款300-1000元/人次。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6</w:t>
      </w:r>
      <w:r>
        <w:rPr>
          <w:rFonts w:hint="eastAsia" w:asciiTheme="minorEastAsia" w:hAnsiTheme="minorEastAsia" w:eastAsiaTheme="minorEastAsia" w:cstheme="minorEastAsia"/>
          <w:b/>
          <w:bCs/>
          <w:kern w:val="0"/>
          <w:sz w:val="24"/>
          <w:szCs w:val="24"/>
          <w:highlight w:val="none"/>
        </w:rPr>
        <w:t>、安全技术措施计划</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（2）不按施工方案采取安全措施组织施工，扣款1000元/次。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7</w:t>
      </w:r>
      <w:r>
        <w:rPr>
          <w:rFonts w:hint="eastAsia" w:asciiTheme="minorEastAsia" w:hAnsiTheme="minorEastAsia" w:eastAsiaTheme="minorEastAsia" w:cstheme="minorEastAsia"/>
          <w:b/>
          <w:bCs/>
          <w:kern w:val="0"/>
          <w:sz w:val="24"/>
          <w:szCs w:val="24"/>
          <w:highlight w:val="none"/>
        </w:rPr>
        <w:t>、作业指导书（专项方案）</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（2）进行危险性大的作业时，没有编制专项施工措施或安全措施、未经审批的、或没有进行专家论证的、没有安排专人进行现场管理、指挥人员没有相应资质、以及未按安全操作规程作业的，扣款1000-5000元。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w:t>
      </w:r>
      <w:r>
        <w:rPr>
          <w:rFonts w:hint="eastAsia" w:asciiTheme="minorEastAsia" w:hAnsiTheme="minorEastAsia" w:eastAsiaTheme="minorEastAsia" w:cstheme="minorEastAsia"/>
          <w:bCs/>
          <w:kern w:val="0"/>
          <w:sz w:val="24"/>
          <w:szCs w:val="24"/>
          <w:highlight w:val="none"/>
          <w:lang w:val="en-US" w:eastAsia="zh-CN"/>
        </w:rPr>
        <w:t>对</w:t>
      </w:r>
      <w:r>
        <w:rPr>
          <w:rFonts w:hint="eastAsia" w:asciiTheme="minorEastAsia" w:hAnsiTheme="minorEastAsia" w:eastAsiaTheme="minorEastAsia" w:cstheme="minorEastAsia"/>
          <w:bCs/>
          <w:kern w:val="0"/>
          <w:sz w:val="24"/>
          <w:szCs w:val="24"/>
          <w:highlight w:val="none"/>
        </w:rPr>
        <w:t>高处作业等危险性作业项目，未办理安全施工作业票，未指定监护人的，扣款200-500元。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（6）安全技术措施有错误或缺陷，未经过有关部门和监理审核、审批就组织施工的，扣款1000元。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8</w:t>
      </w:r>
      <w:r>
        <w:rPr>
          <w:rFonts w:hint="eastAsia" w:asciiTheme="minorEastAsia" w:hAnsiTheme="minorEastAsia" w:eastAsiaTheme="minorEastAsia" w:cstheme="minorEastAsia"/>
          <w:b/>
          <w:bCs/>
          <w:kern w:val="0"/>
          <w:sz w:val="24"/>
          <w:szCs w:val="24"/>
          <w:highlight w:val="none"/>
        </w:rPr>
        <w:t>、工作票</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擅自增加工作内容的</w:t>
      </w:r>
      <w:r>
        <w:rPr>
          <w:rFonts w:hint="eastAsia" w:asciiTheme="minorEastAsia" w:hAnsiTheme="minorEastAsia" w:eastAsiaTheme="minorEastAsia" w:cstheme="minorEastAsia"/>
          <w:color w:val="000000"/>
          <w:sz w:val="24"/>
          <w:szCs w:val="24"/>
          <w:highlight w:val="none"/>
          <w:lang w:eastAsia="zh-CN"/>
        </w:rPr>
        <w:t>或</w:t>
      </w:r>
      <w:r>
        <w:rPr>
          <w:rFonts w:hint="eastAsia" w:asciiTheme="minorEastAsia" w:hAnsiTheme="minorEastAsia" w:eastAsiaTheme="minorEastAsia" w:cstheme="minorEastAsia"/>
          <w:bCs/>
          <w:kern w:val="0"/>
          <w:sz w:val="24"/>
          <w:szCs w:val="24"/>
          <w:highlight w:val="none"/>
          <w:lang w:eastAsia="zh-CN"/>
        </w:rPr>
        <w:t>扩大工作范围的</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bCs/>
          <w:kern w:val="0"/>
          <w:sz w:val="24"/>
          <w:szCs w:val="24"/>
          <w:highlight w:val="none"/>
        </w:rPr>
        <w:t>扣款200-500元/次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工作班成员未按规定在记录表上及时签名或人员变更情况未及时记录的</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未按要求办理工作延期手续</w:t>
      </w:r>
      <w:r>
        <w:rPr>
          <w:rFonts w:hint="eastAsia" w:asciiTheme="minorEastAsia" w:hAnsiTheme="minorEastAsia" w:eastAsiaTheme="minorEastAsia" w:cstheme="minorEastAsia"/>
          <w:color w:val="000000"/>
          <w:sz w:val="24"/>
          <w:szCs w:val="24"/>
          <w:highlight w:val="none"/>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工作完毕后现场未做到“工完、料尽、场地清”的（暂时不能移走的除外，但必须按期清走）</w:t>
      </w:r>
      <w:r>
        <w:rPr>
          <w:rFonts w:hint="eastAsia" w:asciiTheme="minorEastAsia" w:hAnsiTheme="minorEastAsia" w:eastAsiaTheme="minorEastAsia" w:cstheme="minorEastAsia"/>
          <w:color w:val="000000"/>
          <w:sz w:val="24"/>
          <w:szCs w:val="24"/>
          <w:highlight w:val="none"/>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9</w:t>
      </w:r>
      <w:r>
        <w:rPr>
          <w:rFonts w:hint="eastAsia" w:asciiTheme="minorEastAsia" w:hAnsiTheme="minorEastAsia" w:eastAsiaTheme="minorEastAsia" w:cstheme="minorEastAsia"/>
          <w:b/>
          <w:bCs/>
          <w:kern w:val="0"/>
          <w:sz w:val="24"/>
          <w:szCs w:val="24"/>
          <w:highlight w:val="none"/>
        </w:rPr>
        <w:t>、施工机械设备、安全工器具管理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（1）未定期对施工</w:t>
      </w:r>
      <w:r>
        <w:rPr>
          <w:rFonts w:hint="eastAsia" w:asciiTheme="minorEastAsia" w:hAnsiTheme="minorEastAsia" w:eastAsiaTheme="minorEastAsia" w:cstheme="minorEastAsia"/>
          <w:bCs/>
          <w:kern w:val="0"/>
          <w:sz w:val="24"/>
          <w:szCs w:val="24"/>
          <w:highlight w:val="none"/>
          <w:lang w:val="en-US" w:eastAsia="zh-CN"/>
        </w:rPr>
        <w:t>工器具</w:t>
      </w:r>
      <w:r>
        <w:rPr>
          <w:rFonts w:hint="eastAsia" w:asciiTheme="minorEastAsia" w:hAnsiTheme="minorEastAsia" w:eastAsiaTheme="minorEastAsia" w:cstheme="minorEastAsia"/>
          <w:bCs/>
          <w:kern w:val="0"/>
          <w:sz w:val="24"/>
          <w:szCs w:val="24"/>
          <w:highlight w:val="none"/>
        </w:rPr>
        <w:t>和设备进行检验，施工中使用不安全的</w:t>
      </w:r>
      <w:r>
        <w:rPr>
          <w:rFonts w:hint="eastAsia" w:asciiTheme="minorEastAsia" w:hAnsiTheme="minorEastAsia" w:eastAsiaTheme="minorEastAsia" w:cstheme="minorEastAsia"/>
          <w:bCs/>
          <w:kern w:val="0"/>
          <w:sz w:val="24"/>
          <w:szCs w:val="24"/>
          <w:highlight w:val="none"/>
          <w:lang w:val="en-US" w:eastAsia="zh-CN"/>
        </w:rPr>
        <w:t>工器具</w:t>
      </w:r>
      <w:r>
        <w:rPr>
          <w:rFonts w:hint="eastAsia" w:asciiTheme="minorEastAsia" w:hAnsiTheme="minorEastAsia" w:eastAsiaTheme="minorEastAsia" w:cstheme="minorEastAsia"/>
          <w:bCs/>
          <w:kern w:val="0"/>
          <w:sz w:val="24"/>
          <w:szCs w:val="24"/>
          <w:highlight w:val="none"/>
        </w:rPr>
        <w:t>和设备，扣款500-2000元。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（2）安全工器具、临时用电、消防未指定专人负责管理，或管理责任人未到位，管理人员未开展定期检查的，扣款500-3000元。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）安全工器具</w:t>
      </w:r>
      <w:r>
        <w:rPr>
          <w:rFonts w:hint="eastAsia" w:asciiTheme="minorEastAsia" w:hAnsiTheme="minorEastAsia" w:eastAsiaTheme="minorEastAsia" w:cstheme="minorEastAsia"/>
          <w:bCs/>
          <w:kern w:val="0"/>
          <w:sz w:val="24"/>
          <w:szCs w:val="24"/>
          <w:highlight w:val="none"/>
          <w:lang w:eastAsia="zh-CN"/>
        </w:rPr>
        <w:t>等检验日期过期的，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w:t>
      </w:r>
      <w:r>
        <w:rPr>
          <w:rFonts w:hint="eastAsia" w:asciiTheme="minorEastAsia" w:hAnsiTheme="minorEastAsia" w:eastAsiaTheme="minorEastAsia" w:cstheme="minorEastAsia"/>
          <w:b/>
          <w:bCs/>
          <w:kern w:val="0"/>
          <w:sz w:val="24"/>
          <w:szCs w:val="24"/>
          <w:highlight w:val="none"/>
          <w:lang w:val="en-US" w:eastAsia="zh-CN"/>
        </w:rPr>
        <w:t>0</w:t>
      </w:r>
      <w:r>
        <w:rPr>
          <w:rFonts w:hint="eastAsia" w:asciiTheme="minorEastAsia" w:hAnsiTheme="minorEastAsia" w:eastAsiaTheme="minorEastAsia" w:cstheme="minorEastAsia"/>
          <w:b/>
          <w:bCs/>
          <w:kern w:val="0"/>
          <w:sz w:val="24"/>
          <w:szCs w:val="24"/>
          <w:highlight w:val="none"/>
        </w:rPr>
        <w:t>、个人安全防护用品</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（1）个人安全防护用品管理不规范的，扣款1000元。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（2）个人安全防护用品未按规范要求使用的</w:t>
      </w:r>
      <w:r>
        <w:rPr>
          <w:rFonts w:hint="eastAsia" w:asciiTheme="minorEastAsia" w:hAnsiTheme="minorEastAsia" w:eastAsiaTheme="minorEastAsia" w:cstheme="minorEastAsia"/>
          <w:bCs/>
          <w:kern w:val="0"/>
          <w:sz w:val="24"/>
          <w:szCs w:val="24"/>
          <w:highlight w:val="none"/>
          <w:lang w:eastAsia="zh-CN"/>
        </w:rPr>
        <w:t>（如：安全带抵挂高用的）</w:t>
      </w:r>
      <w:r>
        <w:rPr>
          <w:rFonts w:hint="eastAsia" w:asciiTheme="minorEastAsia" w:hAnsiTheme="minorEastAsia" w:eastAsiaTheme="minorEastAsia" w:cstheme="minorEastAsia"/>
          <w:bCs/>
          <w:kern w:val="0"/>
          <w:sz w:val="24"/>
          <w:szCs w:val="24"/>
          <w:highlight w:val="none"/>
        </w:rPr>
        <w:t>，扣款200-500元元/次。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w:t>
      </w:r>
      <w:r>
        <w:rPr>
          <w:rFonts w:hint="eastAsia" w:asciiTheme="minorEastAsia" w:hAnsiTheme="minorEastAsia" w:eastAsiaTheme="minorEastAsia" w:cstheme="minorEastAsia"/>
          <w:b/>
          <w:bCs/>
          <w:kern w:val="0"/>
          <w:sz w:val="24"/>
          <w:szCs w:val="24"/>
          <w:highlight w:val="none"/>
          <w:lang w:val="en-US" w:eastAsia="zh-CN"/>
        </w:rPr>
        <w:t>1</w:t>
      </w:r>
      <w:r>
        <w:rPr>
          <w:rFonts w:hint="eastAsia" w:asciiTheme="minorEastAsia" w:hAnsiTheme="minorEastAsia" w:eastAsiaTheme="minorEastAsia" w:cstheme="minorEastAsia"/>
          <w:b/>
          <w:bCs/>
          <w:kern w:val="0"/>
          <w:sz w:val="24"/>
          <w:szCs w:val="24"/>
          <w:highlight w:val="none"/>
        </w:rPr>
        <w:t>、临时提示遮栏及防护栏杆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（2）施工作业区施工警戒、安全警告标志告知牌等不完善就组织施工的，扣款1000元。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（3）未设防护栏或设置不规范的，视情况扣款200-500元/处。</w:t>
      </w:r>
    </w:p>
    <w:p>
      <w:pPr>
        <w:spacing w:line="360" w:lineRule="auto"/>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12</w:t>
      </w:r>
      <w:r>
        <w:rPr>
          <w:rFonts w:hint="eastAsia" w:asciiTheme="minorEastAsia" w:hAnsiTheme="minorEastAsia" w:eastAsiaTheme="minorEastAsia" w:cstheme="minorEastAsia"/>
          <w:b/>
          <w:bCs/>
          <w:kern w:val="0"/>
          <w:sz w:val="24"/>
          <w:szCs w:val="24"/>
          <w:highlight w:val="none"/>
        </w:rPr>
        <w:t>、孔洞盖板</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（2）施工作业区施工警戒、安全警告标志告知牌等不完善就组织施工的，扣款1000元。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13</w:t>
      </w:r>
      <w:r>
        <w:rPr>
          <w:rFonts w:hint="eastAsia" w:asciiTheme="minorEastAsia" w:hAnsiTheme="minorEastAsia" w:eastAsiaTheme="minorEastAsia" w:cstheme="minorEastAsia"/>
          <w:b/>
          <w:bCs/>
          <w:kern w:val="0"/>
          <w:sz w:val="24"/>
          <w:szCs w:val="24"/>
          <w:highlight w:val="none"/>
        </w:rPr>
        <w:t>、安全网</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（1）安全网未经验收或验收不合格即投入使用，扣款2000元。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（2）安全网未按规范要求设置的，扣款200-500元/处。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14</w:t>
      </w:r>
      <w:r>
        <w:rPr>
          <w:rFonts w:hint="eastAsia" w:asciiTheme="minorEastAsia" w:hAnsiTheme="minorEastAsia" w:eastAsiaTheme="minorEastAsia" w:cstheme="minorEastAsia"/>
          <w:b/>
          <w:bCs/>
          <w:kern w:val="0"/>
          <w:sz w:val="24"/>
          <w:szCs w:val="24"/>
          <w:highlight w:val="none"/>
        </w:rPr>
        <w:t>、隔离设施</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（1）施工作业区施工警戒、安全警告标志告知牌等不完善就组织施工，处200元扣款。</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（2）高处危险作业处未装设防护栏杆或未设防护立网，扣款200元。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（3）施工现场、高处作业区域的孔洞无牢固的标准盖板或围栏，扣款200-500元。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）高处交叉作业、拆除工程等危险作业，四周无安全警戒标志旗绳，扣款200-500元。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）高处作业临边未设防护栏杆和踢脚板，扣款200-300元。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）安全设施损坏或有缺陷未及时组织维修，或更换工作完毕后不及时回收，扣款200元/处。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15</w:t>
      </w:r>
      <w:r>
        <w:rPr>
          <w:rFonts w:hint="eastAsia" w:asciiTheme="minorEastAsia" w:hAnsiTheme="minorEastAsia" w:eastAsiaTheme="minorEastAsia" w:cstheme="minorEastAsia"/>
          <w:b/>
          <w:bCs/>
          <w:kern w:val="0"/>
          <w:sz w:val="24"/>
          <w:szCs w:val="24"/>
          <w:highlight w:val="none"/>
        </w:rPr>
        <w:t>、防火、防爆设施</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（1）易燃、易爆区、重点防火区消防器材配备不齐，不符合消防规程的要求，无警示标志，扣款200元/处。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(2)没有在其施工区域内的危险场所或部位设置明显的安全警示标志或使用不符合国家标准或行业标准的安全警示标志的，视情况扣款200元-500/处。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）随意堵塞消防通道或取用消防水，扣款200-500元。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16</w:t>
      </w:r>
      <w:r>
        <w:rPr>
          <w:rFonts w:hint="eastAsia" w:asciiTheme="minorEastAsia" w:hAnsiTheme="minorEastAsia" w:eastAsiaTheme="minorEastAsia" w:cstheme="minorEastAsia"/>
          <w:b/>
          <w:bCs/>
          <w:kern w:val="0"/>
          <w:sz w:val="24"/>
          <w:szCs w:val="24"/>
          <w:highlight w:val="none"/>
        </w:rPr>
        <w:t>、施工用电管理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（2）编制施工现场用电安全技术方案，现场临电设施未经验收合格即投入使用责令停止使用并视情况扣款1000-5000元。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）用电设施不符合三相五线制，接地不规范的，扣款500元。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17</w:t>
      </w:r>
      <w:r>
        <w:rPr>
          <w:rFonts w:hint="eastAsia" w:asciiTheme="minorEastAsia" w:hAnsiTheme="minorEastAsia" w:eastAsiaTheme="minorEastAsia" w:cstheme="minorEastAsia"/>
          <w:b/>
          <w:bCs/>
          <w:kern w:val="0"/>
          <w:sz w:val="24"/>
          <w:szCs w:val="24"/>
          <w:highlight w:val="none"/>
        </w:rPr>
        <w:t>、接零（接地）保护</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（1）同一系统中的电气设备部分接地和部分接零的，扣款200-500元。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（2）对地电压127V及以上的电气设备及设施装设接地（接零）保护不规范的，扣款200-500元。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（3）接零保护不符合规范要求的，扣款200-500元。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）使用外接电源时，电源设备所采用的保护方式与外界电源系统的保护方式不一致的，扣款200-500元。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）接地（零线）连接不可靠或不符合规范要求的，扣款200-500元。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18</w:t>
      </w:r>
      <w:r>
        <w:rPr>
          <w:rFonts w:hint="eastAsia" w:asciiTheme="minorEastAsia" w:hAnsiTheme="minorEastAsia" w:eastAsiaTheme="minorEastAsia" w:cstheme="minorEastAsia"/>
          <w:b/>
          <w:bCs/>
          <w:kern w:val="0"/>
          <w:sz w:val="24"/>
          <w:szCs w:val="24"/>
          <w:highlight w:val="none"/>
        </w:rPr>
        <w:t>、钢丝绳</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（1）使用不合格或有缺陷的钢丝绳，扣款500元。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（2）使用的钢丝绳不能满足起吊作业要求或使用方法不当的，扣款500元。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19</w:t>
      </w:r>
      <w:r>
        <w:rPr>
          <w:rFonts w:hint="eastAsia" w:asciiTheme="minorEastAsia" w:hAnsiTheme="minorEastAsia" w:eastAsiaTheme="minorEastAsia" w:cstheme="minorEastAsia"/>
          <w:b/>
          <w:bCs/>
          <w:kern w:val="0"/>
          <w:sz w:val="24"/>
          <w:szCs w:val="24"/>
          <w:highlight w:val="none"/>
        </w:rPr>
        <w:t>、手持电动工具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（1）使用手持电动工具不戴口罩、防护眼镜的，扣款200元/人次。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（2）运行中将转动设备的防护罩打开或将手伸入遮栏内，戴手套或用布、棉纱对转动部分进行清扫或检查维修等，扣款200元。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（3）手持电动工具不满足安全用电要求的，扣款500元。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20</w:t>
      </w:r>
      <w:r>
        <w:rPr>
          <w:rFonts w:hint="eastAsia" w:asciiTheme="minorEastAsia" w:hAnsiTheme="minorEastAsia" w:eastAsiaTheme="minorEastAsia" w:cstheme="minorEastAsia"/>
          <w:b/>
          <w:bCs/>
          <w:kern w:val="0"/>
          <w:sz w:val="24"/>
          <w:szCs w:val="24"/>
          <w:highlight w:val="none"/>
        </w:rPr>
        <w:t>、人员作业行为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）擅自变动、拆除、挪用或停用安全装置或安全设施，扣款200-500元/处。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）进入施工现场穿高跟鞋、露脚指的凉鞋、拖鞋及裙子、短裤、背心或裸背、长发披肩、酒后进入施工现场的，扣款200元/人次。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）违反职业禁忌症的有关规定，安排不符合身体健康要求的人员上岗作业，扣款500-1000元。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）无证操作非本专业的机械设备，扣款200-500元。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）无视安全管理部门、安全管理人员的警告，未及时消除安全隐患的，扣款500-1000元。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）发布违反有关安全生产法律、法规和规章制度的命令，违章指挥施工，扣款500-1000元。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7</w:t>
      </w:r>
      <w:r>
        <w:rPr>
          <w:rFonts w:hint="eastAsia" w:asciiTheme="minorEastAsia" w:hAnsiTheme="minorEastAsia" w:eastAsiaTheme="minorEastAsia" w:cstheme="minorEastAsia"/>
          <w:bCs/>
          <w:kern w:val="0"/>
          <w:sz w:val="24"/>
          <w:szCs w:val="24"/>
          <w:highlight w:val="none"/>
        </w:rPr>
        <w:t>）违章指挥，默认工人违章作业、冒险作业、在没有可靠的技术措施和安全保障措施的状态下施工，扣款500-1000元。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21</w:t>
      </w:r>
      <w:r>
        <w:rPr>
          <w:rFonts w:hint="eastAsia" w:asciiTheme="minorEastAsia" w:hAnsiTheme="minorEastAsia" w:eastAsiaTheme="minorEastAsia" w:cstheme="minorEastAsia"/>
          <w:b/>
          <w:bCs/>
          <w:kern w:val="0"/>
          <w:sz w:val="24"/>
          <w:szCs w:val="24"/>
          <w:highlight w:val="none"/>
        </w:rPr>
        <w:t>、工程文明施工管理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（1）施工场地作业面有积水及施工废料的，视情况扣款200-500元/处。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（3）施工作业区施工警戒、安全警告标志告知牌等不完善就组织施工，视情况扣款200-500元/处。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（4）材料、工器具未分类、分区域规范堆放的，扣款200-500元/处。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（5）照明、通风、应急设施不能满足施工条件的，扣款300-1000元/处。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（6）临时设施不符合防火、防爆、防砸及工业卫生要求的，视情况扣款1000-3000元。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（7）未做到“工完、料尽、场地清”的，扣款200-500元/处。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8</w:t>
      </w:r>
      <w:r>
        <w:rPr>
          <w:rFonts w:hint="eastAsia" w:asciiTheme="minorEastAsia" w:hAnsiTheme="minorEastAsia" w:eastAsiaTheme="minorEastAsia" w:cstheme="minorEastAsia"/>
          <w:bCs/>
          <w:kern w:val="0"/>
          <w:sz w:val="24"/>
          <w:szCs w:val="24"/>
          <w:highlight w:val="none"/>
        </w:rPr>
        <w:t>）现场作业人员没有按规定和要求正确佩戴和使用劳动防护用品，扣款100元/人次。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9</w:t>
      </w:r>
      <w:r>
        <w:rPr>
          <w:rFonts w:hint="eastAsia" w:asciiTheme="minorEastAsia" w:hAnsiTheme="minorEastAsia" w:eastAsiaTheme="minorEastAsia" w:cstheme="minorEastAsia"/>
          <w:bCs/>
          <w:kern w:val="0"/>
          <w:sz w:val="24"/>
          <w:szCs w:val="24"/>
          <w:highlight w:val="none"/>
        </w:rPr>
        <w:t>）未按安全操作规程违章作业的，扣款200-500元。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22</w:t>
      </w:r>
      <w:r>
        <w:rPr>
          <w:rFonts w:hint="eastAsia" w:asciiTheme="minorEastAsia" w:hAnsiTheme="minorEastAsia" w:eastAsiaTheme="minorEastAsia" w:cstheme="minorEastAsia"/>
          <w:b/>
          <w:bCs/>
          <w:kern w:val="0"/>
          <w:sz w:val="24"/>
          <w:szCs w:val="24"/>
          <w:highlight w:val="none"/>
        </w:rPr>
        <w:t>、文明施工整体视觉形象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（1）临建设施布置不合理，安全设施、标识牌不齐全或不符规范要求的，视情况扣款200-500元/处。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（2）隔离设施不完善或不符合规范要求的，视情况扣款200-500元/处。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（3）施工用电不能满足安全用电要求的，扣款500元/处。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（5）施工场地作业面有积水及施工废料的，视情况扣款200-500元/处。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（6）材料、工器具未分类、分区域规范堆放的，扣款200-500元/处。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23</w:t>
      </w:r>
      <w:r>
        <w:rPr>
          <w:rFonts w:hint="eastAsia" w:asciiTheme="minorEastAsia" w:hAnsiTheme="minorEastAsia" w:eastAsiaTheme="minorEastAsia" w:cstheme="minorEastAsia"/>
          <w:b/>
          <w:bCs/>
          <w:kern w:val="0"/>
          <w:sz w:val="24"/>
          <w:szCs w:val="24"/>
          <w:highlight w:val="none"/>
        </w:rPr>
        <w:t>、其他</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）重复发生的</w:t>
      </w:r>
      <w:r>
        <w:rPr>
          <w:rFonts w:hint="eastAsia" w:asciiTheme="minorEastAsia" w:hAnsiTheme="minorEastAsia" w:eastAsiaTheme="minorEastAsia" w:cstheme="minorEastAsia"/>
          <w:bCs/>
          <w:kern w:val="0"/>
          <w:sz w:val="24"/>
          <w:szCs w:val="24"/>
          <w:highlight w:val="none"/>
          <w:lang w:eastAsia="zh-CN"/>
        </w:rPr>
        <w:t>问题</w:t>
      </w:r>
      <w:r>
        <w:rPr>
          <w:rFonts w:hint="eastAsia" w:asciiTheme="minorEastAsia" w:hAnsiTheme="minorEastAsia" w:eastAsiaTheme="minorEastAsia" w:cstheme="minorEastAsia"/>
          <w:bCs/>
          <w:kern w:val="0"/>
          <w:sz w:val="24"/>
          <w:szCs w:val="24"/>
          <w:highlight w:val="none"/>
        </w:rPr>
        <w:t>按倍违约扣款。例：对“高处作业随手抛掷工器具、消耗性材料等物件，扣款200元”。第一次扣款200元，第二次发生则扣款2*200元（400元），第三次发生则扣款3*</w:t>
      </w:r>
      <w:r>
        <w:rPr>
          <w:rFonts w:hint="eastAsia" w:asciiTheme="minorEastAsia" w:hAnsiTheme="minorEastAsia" w:eastAsiaTheme="minorEastAsia" w:cstheme="minorEastAsia"/>
          <w:bCs/>
          <w:kern w:val="0"/>
          <w:sz w:val="24"/>
          <w:szCs w:val="24"/>
          <w:highlight w:val="none"/>
          <w:lang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eastAsia="zh-CN"/>
        </w:rPr>
        <w:t>6</w:t>
      </w:r>
      <w:r>
        <w:rPr>
          <w:rFonts w:hint="eastAsia" w:asciiTheme="minorEastAsia" w:hAnsiTheme="minorEastAsia" w:eastAsiaTheme="minorEastAsia" w:cstheme="minorEastAsia"/>
          <w:bCs/>
          <w:kern w:val="0"/>
          <w:sz w:val="24"/>
          <w:szCs w:val="24"/>
          <w:highlight w:val="none"/>
        </w:rPr>
        <w:t>00元），依此类推。</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eastAsia="zh-CN"/>
        </w:rPr>
        <w:t>对</w:t>
      </w:r>
      <w:r>
        <w:rPr>
          <w:rFonts w:hint="eastAsia" w:asciiTheme="minorEastAsia" w:hAnsiTheme="minorEastAsia" w:eastAsiaTheme="minorEastAsia" w:cstheme="minorEastAsia"/>
          <w:bCs/>
          <w:kern w:val="0"/>
          <w:sz w:val="24"/>
          <w:szCs w:val="24"/>
          <w:highlight w:val="none"/>
        </w:rPr>
        <w:t>违章行为</w:t>
      </w:r>
      <w:r>
        <w:rPr>
          <w:rFonts w:hint="eastAsia" w:asciiTheme="minorEastAsia" w:hAnsiTheme="minorEastAsia" w:eastAsiaTheme="minorEastAsia" w:cstheme="minorEastAsia"/>
          <w:bCs/>
          <w:kern w:val="0"/>
          <w:sz w:val="24"/>
          <w:szCs w:val="24"/>
          <w:highlight w:val="none"/>
          <w:lang w:eastAsia="zh-CN"/>
        </w:rPr>
        <w:t>、违章现象、不符合等情况，以上有对应标准的，执行以上标准，没有的则执行以下标准：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w:t>
      </w:r>
      <w:r>
        <w:rPr>
          <w:rFonts w:hint="eastAsia" w:asciiTheme="minorEastAsia" w:hAnsiTheme="minorEastAsia" w:eastAsiaTheme="minorEastAsia" w:cstheme="minorEastAsia"/>
          <w:bCs/>
          <w:color w:val="000000"/>
          <w:kern w:val="0"/>
          <w:sz w:val="24"/>
          <w:szCs w:val="24"/>
          <w:highlight w:val="none"/>
        </w:rPr>
        <w:t>违反</w:t>
      </w:r>
      <w:r>
        <w:rPr>
          <w:rFonts w:hint="eastAsia" w:asciiTheme="minorEastAsia" w:hAnsiTheme="minorEastAsia" w:eastAsiaTheme="minorEastAsia" w:cstheme="minorEastAsia"/>
          <w:bCs/>
          <w:kern w:val="0"/>
          <w:sz w:val="24"/>
          <w:szCs w:val="24"/>
          <w:highlight w:val="none"/>
        </w:rPr>
        <w:t>国家标准《电业安全工作规程》中“热力和机械、发电厂和变电站电气部分、电力线路部分、高压试验室部分”</w:t>
      </w:r>
      <w:r>
        <w:rPr>
          <w:rFonts w:hint="eastAsia" w:asciiTheme="minorEastAsia" w:hAnsiTheme="minorEastAsia" w:eastAsiaTheme="minorEastAsia" w:cstheme="minorEastAsia"/>
          <w:bCs/>
          <w:color w:val="000000"/>
          <w:kern w:val="0"/>
          <w:sz w:val="24"/>
          <w:szCs w:val="24"/>
          <w:highlight w:val="none"/>
        </w:rPr>
        <w:t>其它相关条款的</w:t>
      </w:r>
      <w:r>
        <w:rPr>
          <w:rFonts w:hint="eastAsia" w:asciiTheme="minorEastAsia" w:hAnsiTheme="minorEastAsia" w:eastAsiaTheme="minorEastAsia" w:cstheme="minorEastAsia"/>
          <w:bCs/>
          <w:kern w:val="0"/>
          <w:sz w:val="24"/>
          <w:szCs w:val="24"/>
          <w:highlight w:val="none"/>
        </w:rPr>
        <w:t>，每起（每人、每次）扣款100-500元。</w:t>
      </w:r>
    </w:p>
    <w:p>
      <w:pPr>
        <w:spacing w:line="360" w:lineRule="auto"/>
        <w:ind w:firstLine="480" w:firstLineChars="200"/>
        <w:rPr>
          <w:rFonts w:hint="eastAsia" w:asciiTheme="minorEastAsia" w:hAnsiTheme="minorEastAsia" w:eastAsiaTheme="minorEastAsia" w:cstheme="minorEastAsia"/>
          <w:bCs/>
          <w:color w:val="000000"/>
          <w:kern w:val="0"/>
          <w:sz w:val="24"/>
          <w:szCs w:val="24"/>
          <w:highlight w:val="none"/>
        </w:rPr>
      </w:pPr>
      <w:r>
        <w:rPr>
          <w:rFonts w:hint="eastAsia" w:asciiTheme="minorEastAsia" w:hAnsiTheme="minorEastAsia" w:eastAsiaTheme="minorEastAsia" w:cstheme="minorEastAsia"/>
          <w:bCs/>
          <w:kern w:val="0"/>
          <w:sz w:val="24"/>
          <w:szCs w:val="24"/>
          <w:highlight w:val="none"/>
        </w:rPr>
        <w:t>2）违反中国南方电网有限责任公司《电力安全工作规程》其它相关条款的，依据风险大小、后果程度、影响范围等因素，特别是人身方面的，每起（每人、每次）扣款200-1000元；其他不符合的，每起（每人、每次）扣款100-</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highlight w:val="none"/>
        </w:rPr>
        <w:t>进入现场</w:t>
      </w:r>
      <w:r>
        <w:rPr>
          <w:rFonts w:hint="eastAsia"/>
          <w:sz w:val="24"/>
          <w:lang w:eastAsia="zh-CN"/>
        </w:rPr>
        <w:t>作业</w:t>
      </w:r>
      <w:r>
        <w:rPr>
          <w:rFonts w:hint="eastAsia" w:ascii="Times New Roman" w:hAnsi="Times New Roman"/>
          <w:sz w:val="24"/>
          <w:highlight w:val="none"/>
        </w:rPr>
        <w:t>的施工人员未</w:t>
      </w:r>
      <w:r>
        <w:rPr>
          <w:rFonts w:hint="eastAsia"/>
          <w:sz w:val="24"/>
          <w:lang w:eastAsia="zh-CN"/>
        </w:rPr>
        <w:t>购买商业意外保险的，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ind w:firstLine="480" w:firstLineChars="200"/>
        <w:rPr>
          <w:rFonts w:hint="eastAsia" w:ascii="Times New Roman" w:hAnsi="Times New Roman" w:eastAsia="宋体" w:cs="Times New Roman"/>
          <w:b w:val="0"/>
          <w:sz w:val="24"/>
          <w:szCs w:val="24"/>
          <w:shd w:val="clear"/>
          <w:lang w:val="zh-CN"/>
        </w:rPr>
      </w:pP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rPr>
        <w:t>进入现场</w:t>
      </w:r>
      <w:r>
        <w:rPr>
          <w:rFonts w:hint="eastAsia"/>
          <w:sz w:val="24"/>
          <w:lang w:eastAsia="zh-CN"/>
        </w:rPr>
        <w:t>作业</w:t>
      </w:r>
      <w:r>
        <w:rPr>
          <w:rFonts w:hint="eastAsia" w:ascii="Times New Roman" w:hAnsi="Times New Roman"/>
          <w:sz w:val="24"/>
        </w:rPr>
        <w:t>的施工人员未</w:t>
      </w:r>
      <w:r>
        <w:rPr>
          <w:rFonts w:hint="eastAsia"/>
          <w:sz w:val="24"/>
          <w:lang w:eastAsia="zh-CN"/>
        </w:rPr>
        <w:t>签订</w:t>
      </w:r>
      <w:r>
        <w:rPr>
          <w:rFonts w:hint="eastAsia" w:cs="Times New Roman"/>
          <w:b w:val="0"/>
          <w:sz w:val="24"/>
          <w:szCs w:val="24"/>
          <w:shd w:val="clear"/>
          <w:lang w:val="zh-CN"/>
        </w:rPr>
        <w:t>用工</w:t>
      </w:r>
      <w:r>
        <w:rPr>
          <w:rFonts w:hint="eastAsia" w:ascii="Times New Roman" w:hAnsi="Times New Roman" w:eastAsia="宋体" w:cs="Times New Roman"/>
          <w:b w:val="0"/>
          <w:sz w:val="24"/>
          <w:szCs w:val="24"/>
          <w:shd w:val="clear"/>
          <w:lang w:val="zh-CN"/>
        </w:rPr>
        <w:t>合同或协议</w:t>
      </w:r>
      <w:r>
        <w:rPr>
          <w:rFonts w:hint="eastAsia"/>
          <w:sz w:val="24"/>
          <w:lang w:eastAsia="zh-CN"/>
        </w:rPr>
        <w:t>的，</w:t>
      </w:r>
      <w:r>
        <w:rPr>
          <w:rFonts w:hint="eastAsia" w:asciiTheme="minorEastAsia" w:hAnsiTheme="minorEastAsia" w:eastAsiaTheme="minorEastAsia" w:cstheme="minorEastAsia"/>
          <w:bCs/>
          <w:kern w:val="0"/>
          <w:sz w:val="24"/>
          <w:szCs w:val="24"/>
          <w:highlight w:val="none"/>
        </w:rPr>
        <w:t>扣款扣款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rPr>
          <w:rFonts w:hint="eastAsia" w:asciiTheme="minorEastAsia" w:hAnsiTheme="minorEastAsia" w:eastAsiaTheme="minorEastAsia" w:cstheme="minorEastAsia"/>
          <w:sz w:val="24"/>
          <w:szCs w:val="24"/>
          <w:highlight w:val="none"/>
        </w:rPr>
      </w:pPr>
    </w:p>
    <w:p>
      <w:pPr>
        <w:spacing w:line="360" w:lineRule="auto"/>
        <w:rPr>
          <w:rFonts w:hint="eastAsia" w:asciiTheme="minorEastAsia" w:hAnsiTheme="minorEastAsia" w:eastAsiaTheme="minorEastAsia" w:cstheme="minorEastAsia"/>
          <w:sz w:val="24"/>
          <w:szCs w:val="24"/>
          <w:highlight w:val="none"/>
        </w:rPr>
      </w:pPr>
    </w:p>
    <w:p>
      <w:pPr>
        <w:spacing w:line="360" w:lineRule="auto"/>
        <w:rPr>
          <w:sz w:val="24"/>
          <w:highlight w:val="none"/>
        </w:rPr>
      </w:pPr>
    </w:p>
    <w:sectPr>
      <w:footerReference r:id="rId3" w:type="default"/>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ZHei-B0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D327E"/>
    <w:multiLevelType w:val="multilevel"/>
    <w:tmpl w:val="1BDD327E"/>
    <w:lvl w:ilvl="0" w:tentative="0">
      <w:start w:val="1"/>
      <w:numFmt w:val="decimal"/>
      <w:pStyle w:val="140"/>
      <w:lvlText w:val="%1."/>
      <w:lvlJc w:val="left"/>
      <w:pPr>
        <w:ind w:left="720" w:hanging="360"/>
      </w:pPr>
    </w:lvl>
    <w:lvl w:ilvl="1" w:tentative="0">
      <w:start w:val="1"/>
      <w:numFmt w:val="decimal"/>
      <w:lvlText w:val="%1.%2."/>
      <w:lvlJc w:val="left"/>
      <w:pPr>
        <w:ind w:left="1152" w:hanging="432"/>
      </w:pPr>
    </w:lvl>
    <w:lvl w:ilvl="2" w:tentative="0">
      <w:start w:val="1"/>
      <w:numFmt w:val="decimal"/>
      <w:lvlText w:val="%1.%2.%3."/>
      <w:lvlJc w:val="left"/>
      <w:pPr>
        <w:ind w:left="1584" w:hanging="504"/>
      </w:pPr>
    </w:lvl>
    <w:lvl w:ilvl="3" w:tentative="0">
      <w:start w:val="1"/>
      <w:numFmt w:val="decimal"/>
      <w:lvlText w:val="%1.%2.%3.%4."/>
      <w:lvlJc w:val="left"/>
      <w:pPr>
        <w:ind w:left="2088" w:hanging="648"/>
      </w:pPr>
    </w:lvl>
    <w:lvl w:ilvl="4" w:tentative="0">
      <w:start w:val="1"/>
      <w:numFmt w:val="decimal"/>
      <w:lvlText w:val="%1.%2.%3.%4.%5."/>
      <w:lvlJc w:val="left"/>
      <w:pPr>
        <w:ind w:left="2592" w:hanging="792"/>
      </w:pPr>
    </w:lvl>
    <w:lvl w:ilvl="5" w:tentative="0">
      <w:start w:val="1"/>
      <w:numFmt w:val="decimal"/>
      <w:lvlText w:val="%1.%2.%3.%4.%5.%6."/>
      <w:lvlJc w:val="left"/>
      <w:pPr>
        <w:ind w:left="3096" w:hanging="936"/>
      </w:pPr>
    </w:lvl>
    <w:lvl w:ilvl="6" w:tentative="0">
      <w:start w:val="1"/>
      <w:numFmt w:val="decimal"/>
      <w:lvlText w:val="%1.%2.%3.%4.%5.%6.%7."/>
      <w:lvlJc w:val="left"/>
      <w:pPr>
        <w:ind w:left="3600" w:hanging="1080"/>
      </w:pPr>
    </w:lvl>
    <w:lvl w:ilvl="7" w:tentative="0">
      <w:start w:val="1"/>
      <w:numFmt w:val="decimal"/>
      <w:lvlText w:val="%1.%2.%3.%4.%5.%6.%7.%8."/>
      <w:lvlJc w:val="left"/>
      <w:pPr>
        <w:ind w:left="4104" w:hanging="1224"/>
      </w:pPr>
    </w:lvl>
    <w:lvl w:ilvl="8" w:tentative="0">
      <w:start w:val="1"/>
      <w:numFmt w:val="decimal"/>
      <w:lvlText w:val="%1.%2.%3.%4.%5.%6.%7.%8.%9."/>
      <w:lvlJc w:val="left"/>
      <w:pPr>
        <w:ind w:left="4680" w:hanging="1440"/>
      </w:pPr>
    </w:lvl>
  </w:abstractNum>
  <w:abstractNum w:abstractNumId="1">
    <w:nsid w:val="1EFA0247"/>
    <w:multiLevelType w:val="multilevel"/>
    <w:tmpl w:val="1EFA0247"/>
    <w:lvl w:ilvl="0" w:tentative="0">
      <w:start w:val="1"/>
      <w:numFmt w:val="decimal"/>
      <w:pStyle w:val="147"/>
      <w:lvlText w:val="%1）"/>
      <w:lvlJc w:val="left"/>
      <w:pPr>
        <w:ind w:left="456" w:hanging="420"/>
      </w:pPr>
      <w:rPr>
        <w:rFonts w:hint="eastAsia"/>
      </w:rPr>
    </w:lvl>
    <w:lvl w:ilvl="1" w:tentative="0">
      <w:start w:val="1"/>
      <w:numFmt w:val="lowerLetter"/>
      <w:lvlText w:val="%2)"/>
      <w:lvlJc w:val="left"/>
      <w:pPr>
        <w:ind w:left="876" w:hanging="420"/>
      </w:pPr>
    </w:lvl>
    <w:lvl w:ilvl="2" w:tentative="0">
      <w:start w:val="1"/>
      <w:numFmt w:val="lowerRoman"/>
      <w:lvlText w:val="%3."/>
      <w:lvlJc w:val="right"/>
      <w:pPr>
        <w:ind w:left="1296" w:hanging="420"/>
      </w:pPr>
    </w:lvl>
    <w:lvl w:ilvl="3" w:tentative="0">
      <w:start w:val="1"/>
      <w:numFmt w:val="decimal"/>
      <w:lvlText w:val="%4."/>
      <w:lvlJc w:val="left"/>
      <w:pPr>
        <w:ind w:left="1716" w:hanging="420"/>
      </w:pPr>
    </w:lvl>
    <w:lvl w:ilvl="4" w:tentative="0">
      <w:start w:val="1"/>
      <w:numFmt w:val="lowerLetter"/>
      <w:lvlText w:val="%5)"/>
      <w:lvlJc w:val="left"/>
      <w:pPr>
        <w:ind w:left="2136" w:hanging="420"/>
      </w:pPr>
    </w:lvl>
    <w:lvl w:ilvl="5" w:tentative="0">
      <w:start w:val="1"/>
      <w:numFmt w:val="lowerRoman"/>
      <w:lvlText w:val="%6."/>
      <w:lvlJc w:val="right"/>
      <w:pPr>
        <w:ind w:left="2556" w:hanging="420"/>
      </w:pPr>
    </w:lvl>
    <w:lvl w:ilvl="6" w:tentative="0">
      <w:start w:val="1"/>
      <w:numFmt w:val="decimal"/>
      <w:lvlText w:val="%7."/>
      <w:lvlJc w:val="left"/>
      <w:pPr>
        <w:ind w:left="2976" w:hanging="420"/>
      </w:pPr>
    </w:lvl>
    <w:lvl w:ilvl="7" w:tentative="0">
      <w:start w:val="1"/>
      <w:numFmt w:val="lowerLetter"/>
      <w:lvlText w:val="%8)"/>
      <w:lvlJc w:val="left"/>
      <w:pPr>
        <w:ind w:left="3396" w:hanging="420"/>
      </w:pPr>
    </w:lvl>
    <w:lvl w:ilvl="8" w:tentative="0">
      <w:start w:val="1"/>
      <w:numFmt w:val="lowerRoman"/>
      <w:lvlText w:val="%9."/>
      <w:lvlJc w:val="right"/>
      <w:pPr>
        <w:ind w:left="3816" w:hanging="420"/>
      </w:pPr>
    </w:lvl>
  </w:abstractNum>
  <w:abstractNum w:abstractNumId="2">
    <w:nsid w:val="30FE387D"/>
    <w:multiLevelType w:val="multilevel"/>
    <w:tmpl w:val="30FE387D"/>
    <w:lvl w:ilvl="0" w:tentative="0">
      <w:start w:val="1"/>
      <w:numFmt w:val="decimal"/>
      <w:pStyle w:val="146"/>
      <w:lvlText w:val="%1）"/>
      <w:lvlJc w:val="left"/>
      <w:pPr>
        <w:ind w:left="710" w:firstLine="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3">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80"/>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81"/>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pStyle w:val="82"/>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pStyle w:val="83"/>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pStyle w:val="84"/>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4">
    <w:nsid w:val="46806F7D"/>
    <w:multiLevelType w:val="multilevel"/>
    <w:tmpl w:val="46806F7D"/>
    <w:lvl w:ilvl="0" w:tentative="0">
      <w:start w:val="1"/>
      <w:numFmt w:val="none"/>
      <w:pStyle w:val="128"/>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CF81C36"/>
    <w:multiLevelType w:val="multilevel"/>
    <w:tmpl w:val="4CF81C36"/>
    <w:lvl w:ilvl="0" w:tentative="0">
      <w:start w:val="1"/>
      <w:numFmt w:val="lowerLetter"/>
      <w:pStyle w:val="149"/>
      <w:lvlText w:val="%1)"/>
      <w:lvlJc w:val="left"/>
      <w:pPr>
        <w:tabs>
          <w:tab w:val="left" w:pos="840"/>
        </w:tabs>
        <w:ind w:left="840" w:hanging="420"/>
      </w:pPr>
      <w:rPr>
        <w:rFonts w:ascii="宋体" w:hAnsi="宋体" w:eastAsia="宋体"/>
      </w:rPr>
    </w:lvl>
    <w:lvl w:ilvl="1" w:tentative="0">
      <w:start w:val="1"/>
      <w:numFmt w:val="lowerLetter"/>
      <w:lvlText w:val="%2）"/>
      <w:lvlJc w:val="left"/>
      <w:pPr>
        <w:tabs>
          <w:tab w:val="left" w:pos="780"/>
        </w:tabs>
        <w:ind w:left="780" w:hanging="360"/>
      </w:pPr>
      <w:rPr>
        <w:rFonts w:hint="default" w:eastAsia="黑体"/>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F302902"/>
    <w:multiLevelType w:val="multilevel"/>
    <w:tmpl w:val="4F302902"/>
    <w:lvl w:ilvl="0" w:tentative="0">
      <w:start w:val="1"/>
      <w:numFmt w:val="none"/>
      <w:pStyle w:val="122"/>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4062920"/>
    <w:multiLevelType w:val="multilevel"/>
    <w:tmpl w:val="54062920"/>
    <w:lvl w:ilvl="0" w:tentative="0">
      <w:start w:val="1"/>
      <w:numFmt w:val="decimal"/>
      <w:lvlText w:val="%1."/>
      <w:lvlJc w:val="left"/>
      <w:pPr>
        <w:ind w:left="360" w:hanging="360"/>
      </w:pPr>
      <w:rPr>
        <w:rFonts w:hint="eastAsia"/>
      </w:rPr>
    </w:lvl>
    <w:lvl w:ilvl="1" w:tentative="0">
      <w:start w:val="1"/>
      <w:numFmt w:val="decimal"/>
      <w:lvlText w:val="%1.%2."/>
      <w:lvlJc w:val="left"/>
      <w:pPr>
        <w:ind w:left="792" w:hanging="432"/>
      </w:pPr>
      <w:rPr>
        <w:rFonts w:hint="eastAsia"/>
      </w:rPr>
    </w:lvl>
    <w:lvl w:ilvl="2" w:tentative="0">
      <w:start w:val="1"/>
      <w:numFmt w:val="decimal"/>
      <w:lvlText w:val="%1.%2.%3."/>
      <w:lvlJc w:val="left"/>
      <w:pPr>
        <w:ind w:left="567" w:firstLine="153"/>
      </w:pPr>
      <w:rPr>
        <w:rFonts w:hint="eastAsia"/>
        <w:b w:val="0"/>
      </w:rPr>
    </w:lvl>
    <w:lvl w:ilvl="3" w:tentative="0">
      <w:start w:val="1"/>
      <w:numFmt w:val="decimal"/>
      <w:lvlText w:val="%1.%2.%3.%4."/>
      <w:lvlJc w:val="left"/>
      <w:pPr>
        <w:ind w:left="1728" w:hanging="648"/>
      </w:pPr>
      <w:rPr>
        <w:rFonts w:hint="eastAsia"/>
      </w:rPr>
    </w:lvl>
    <w:lvl w:ilvl="4" w:tentative="0">
      <w:start w:val="1"/>
      <w:numFmt w:val="decimal"/>
      <w:lvlText w:val="%1.%2.%3.%4.%5."/>
      <w:lvlJc w:val="left"/>
      <w:pPr>
        <w:ind w:left="2232" w:hanging="792"/>
      </w:pPr>
      <w:rPr>
        <w:rFonts w:hint="eastAsia"/>
      </w:rPr>
    </w:lvl>
    <w:lvl w:ilvl="5" w:tentative="0">
      <w:start w:val="1"/>
      <w:numFmt w:val="decimal"/>
      <w:lvlText w:val="%1.%2.%3.%4.%5.%6."/>
      <w:lvlJc w:val="left"/>
      <w:pPr>
        <w:ind w:left="2736" w:hanging="936"/>
      </w:pPr>
      <w:rPr>
        <w:rFonts w:hint="eastAsia"/>
      </w:rPr>
    </w:lvl>
    <w:lvl w:ilvl="6" w:tentative="0">
      <w:start w:val="1"/>
      <w:numFmt w:val="decimal"/>
      <w:pStyle w:val="129"/>
      <w:lvlText w:val="%1.%2.%3.%4.%5.%6.%7."/>
      <w:lvlJc w:val="left"/>
      <w:pPr>
        <w:ind w:left="3240" w:hanging="1080"/>
      </w:pPr>
      <w:rPr>
        <w:rFonts w:hint="eastAsia"/>
      </w:rPr>
    </w:lvl>
    <w:lvl w:ilvl="7" w:tentative="0">
      <w:start w:val="1"/>
      <w:numFmt w:val="decimal"/>
      <w:lvlText w:val="%1.%2.%3.%4.%5.%6.%7.%8."/>
      <w:lvlJc w:val="left"/>
      <w:pPr>
        <w:ind w:left="3744" w:hanging="1224"/>
      </w:pPr>
      <w:rPr>
        <w:rFonts w:hint="eastAsia"/>
      </w:rPr>
    </w:lvl>
    <w:lvl w:ilvl="8" w:tentative="0">
      <w:start w:val="1"/>
      <w:numFmt w:val="decimal"/>
      <w:lvlText w:val="%1.%2.%3.%4.%5.%6.%7.%8.%9."/>
      <w:lvlJc w:val="left"/>
      <w:pPr>
        <w:ind w:left="4320" w:hanging="1440"/>
      </w:pPr>
      <w:rPr>
        <w:rFonts w:hint="eastAsia"/>
      </w:rPr>
    </w:lvl>
  </w:abstractNum>
  <w:abstractNum w:abstractNumId="8">
    <w:nsid w:val="557C2AF5"/>
    <w:multiLevelType w:val="multilevel"/>
    <w:tmpl w:val="557C2AF5"/>
    <w:lvl w:ilvl="0" w:tentative="0">
      <w:start w:val="1"/>
      <w:numFmt w:val="decimal"/>
      <w:pStyle w:val="15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5AA12481"/>
    <w:multiLevelType w:val="multilevel"/>
    <w:tmpl w:val="5AA12481"/>
    <w:lvl w:ilvl="0" w:tentative="0">
      <w:start w:val="1"/>
      <w:numFmt w:val="decimal"/>
      <w:lvlText w:val="%1"/>
      <w:lvlJc w:val="left"/>
      <w:pPr>
        <w:ind w:left="425" w:hanging="425"/>
      </w:pPr>
    </w:lvl>
    <w:lvl w:ilvl="1" w:tentative="0">
      <w:start w:val="1"/>
      <w:numFmt w:val="decimal"/>
      <w:pStyle w:val="1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708"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
    <w:nsid w:val="6350366A"/>
    <w:multiLevelType w:val="multilevel"/>
    <w:tmpl w:val="6350366A"/>
    <w:lvl w:ilvl="0" w:tentative="0">
      <w:start w:val="1"/>
      <w:numFmt w:val="none"/>
      <w:pStyle w:val="134"/>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5"/>
      <w:suff w:val="nothing"/>
      <w:lvlText w:val="%1.%2.%3　"/>
      <w:lvlJc w:val="left"/>
      <w:pPr>
        <w:ind w:left="0" w:firstLine="0"/>
      </w:pPr>
      <w:rPr>
        <w:rFonts w:hint="eastAsia" w:ascii="黑体" w:hAnsi="Times New Roman" w:eastAsia="黑体"/>
        <w:b w:val="0"/>
        <w:i w:val="0"/>
        <w:sz w:val="21"/>
      </w:rPr>
    </w:lvl>
    <w:lvl w:ilvl="3" w:tentative="0">
      <w:start w:val="1"/>
      <w:numFmt w:val="decimal"/>
      <w:pStyle w:val="126"/>
      <w:suff w:val="nothing"/>
      <w:lvlText w:val="%1.%2.%3.%4　"/>
      <w:lvlJc w:val="left"/>
      <w:pPr>
        <w:ind w:left="0" w:firstLine="0"/>
      </w:pPr>
      <w:rPr>
        <w:rFonts w:hint="eastAsia" w:ascii="黑体" w:hAnsi="Times New Roman" w:eastAsia="黑体"/>
        <w:b w:val="0"/>
        <w:i w:val="0"/>
        <w:sz w:val="21"/>
      </w:rPr>
    </w:lvl>
    <w:lvl w:ilvl="4" w:tentative="0">
      <w:start w:val="1"/>
      <w:numFmt w:val="decimal"/>
      <w:pStyle w:val="127"/>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6C622F4B"/>
    <w:multiLevelType w:val="multilevel"/>
    <w:tmpl w:val="6C622F4B"/>
    <w:lvl w:ilvl="0" w:tentative="0">
      <w:start w:val="1"/>
      <w:numFmt w:val="decimal"/>
      <w:pStyle w:val="148"/>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75"/>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0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6DBF04F4"/>
    <w:multiLevelType w:val="multilevel"/>
    <w:tmpl w:val="6DBF04F4"/>
    <w:lvl w:ilvl="0" w:tentative="0">
      <w:start w:val="1"/>
      <w:numFmt w:val="none"/>
      <w:pStyle w:val="153"/>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6933334"/>
    <w:multiLevelType w:val="multilevel"/>
    <w:tmpl w:val="76933334"/>
    <w:lvl w:ilvl="0" w:tentative="0">
      <w:start w:val="1"/>
      <w:numFmt w:val="upperLetter"/>
      <w:pStyle w:val="121"/>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3"/>
  </w:num>
  <w:num w:numId="2">
    <w:abstractNumId w:val="3"/>
  </w:num>
  <w:num w:numId="3">
    <w:abstractNumId w:val="15"/>
  </w:num>
  <w:num w:numId="4">
    <w:abstractNumId w:val="6"/>
  </w:num>
  <w:num w:numId="5">
    <w:abstractNumId w:val="9"/>
  </w:num>
  <w:num w:numId="6">
    <w:abstractNumId w:val="11"/>
  </w:num>
  <w:num w:numId="7">
    <w:abstractNumId w:val="4"/>
  </w:num>
  <w:num w:numId="8">
    <w:abstractNumId w:val="7"/>
  </w:num>
  <w:num w:numId="9">
    <w:abstractNumId w:val="10"/>
  </w:num>
  <w:num w:numId="10">
    <w:abstractNumId w:val="0"/>
  </w:num>
  <w:num w:numId="11">
    <w:abstractNumId w:val="2"/>
  </w:num>
  <w:num w:numId="12">
    <w:abstractNumId w:val="1"/>
  </w:num>
  <w:num w:numId="13">
    <w:abstractNumId w:val="12"/>
  </w:num>
  <w:num w:numId="14">
    <w:abstractNumId w:val="5"/>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MwYTk1Zjc0Y2ZlZTNkNTE2ZmNlNGEzZDg0N2QifQ=="/>
  </w:docVars>
  <w:rsids>
    <w:rsidRoot w:val="000031BF"/>
    <w:rsid w:val="00002D14"/>
    <w:rsid w:val="000031BF"/>
    <w:rsid w:val="000036B9"/>
    <w:rsid w:val="00012BE8"/>
    <w:rsid w:val="000215EB"/>
    <w:rsid w:val="00024A4E"/>
    <w:rsid w:val="00032722"/>
    <w:rsid w:val="00033BB2"/>
    <w:rsid w:val="00035F46"/>
    <w:rsid w:val="00062265"/>
    <w:rsid w:val="0007661D"/>
    <w:rsid w:val="000818F9"/>
    <w:rsid w:val="00097CD5"/>
    <w:rsid w:val="000B2ED6"/>
    <w:rsid w:val="00104D6C"/>
    <w:rsid w:val="001064D4"/>
    <w:rsid w:val="00112DFE"/>
    <w:rsid w:val="001217BB"/>
    <w:rsid w:val="00137ECD"/>
    <w:rsid w:val="00163A09"/>
    <w:rsid w:val="00190C25"/>
    <w:rsid w:val="001A11CE"/>
    <w:rsid w:val="001A58F3"/>
    <w:rsid w:val="001B7EA3"/>
    <w:rsid w:val="001D7D23"/>
    <w:rsid w:val="001F2659"/>
    <w:rsid w:val="001F64F7"/>
    <w:rsid w:val="002072CC"/>
    <w:rsid w:val="002179E4"/>
    <w:rsid w:val="00226080"/>
    <w:rsid w:val="00254AD9"/>
    <w:rsid w:val="0029655F"/>
    <w:rsid w:val="002A5627"/>
    <w:rsid w:val="002B3F82"/>
    <w:rsid w:val="002B5AD1"/>
    <w:rsid w:val="002C6F6E"/>
    <w:rsid w:val="002F049C"/>
    <w:rsid w:val="002F53AD"/>
    <w:rsid w:val="00316652"/>
    <w:rsid w:val="00344F6F"/>
    <w:rsid w:val="0035672D"/>
    <w:rsid w:val="00397F36"/>
    <w:rsid w:val="003D0FD9"/>
    <w:rsid w:val="003E3C16"/>
    <w:rsid w:val="00402020"/>
    <w:rsid w:val="00412175"/>
    <w:rsid w:val="004123A0"/>
    <w:rsid w:val="00422B12"/>
    <w:rsid w:val="0043749B"/>
    <w:rsid w:val="0044485A"/>
    <w:rsid w:val="00451812"/>
    <w:rsid w:val="00461764"/>
    <w:rsid w:val="00474C3F"/>
    <w:rsid w:val="0048586F"/>
    <w:rsid w:val="004B7559"/>
    <w:rsid w:val="004C63C2"/>
    <w:rsid w:val="004D0F2D"/>
    <w:rsid w:val="004D37F3"/>
    <w:rsid w:val="0052741D"/>
    <w:rsid w:val="00543A1E"/>
    <w:rsid w:val="00574494"/>
    <w:rsid w:val="0058263C"/>
    <w:rsid w:val="0059152D"/>
    <w:rsid w:val="00591E05"/>
    <w:rsid w:val="0059376A"/>
    <w:rsid w:val="0059767F"/>
    <w:rsid w:val="005B462A"/>
    <w:rsid w:val="005B5318"/>
    <w:rsid w:val="005C0D4D"/>
    <w:rsid w:val="005C1B6D"/>
    <w:rsid w:val="005C3D52"/>
    <w:rsid w:val="005C71E8"/>
    <w:rsid w:val="005E7B29"/>
    <w:rsid w:val="005F121D"/>
    <w:rsid w:val="005F25E4"/>
    <w:rsid w:val="00615951"/>
    <w:rsid w:val="00666D47"/>
    <w:rsid w:val="00673C6E"/>
    <w:rsid w:val="006C22E8"/>
    <w:rsid w:val="006C2894"/>
    <w:rsid w:val="006D742E"/>
    <w:rsid w:val="006E2FA9"/>
    <w:rsid w:val="006F30A2"/>
    <w:rsid w:val="006F37F3"/>
    <w:rsid w:val="007112E0"/>
    <w:rsid w:val="00722843"/>
    <w:rsid w:val="00733ADF"/>
    <w:rsid w:val="00736D0B"/>
    <w:rsid w:val="00753EEE"/>
    <w:rsid w:val="0078651C"/>
    <w:rsid w:val="007A6CF3"/>
    <w:rsid w:val="007B5AC9"/>
    <w:rsid w:val="007B6556"/>
    <w:rsid w:val="007C491A"/>
    <w:rsid w:val="007C580E"/>
    <w:rsid w:val="007C6810"/>
    <w:rsid w:val="007F2C2B"/>
    <w:rsid w:val="0081475D"/>
    <w:rsid w:val="008163C0"/>
    <w:rsid w:val="008200E9"/>
    <w:rsid w:val="008419D7"/>
    <w:rsid w:val="0087136F"/>
    <w:rsid w:val="00872446"/>
    <w:rsid w:val="0087467B"/>
    <w:rsid w:val="00874D48"/>
    <w:rsid w:val="008A5B0C"/>
    <w:rsid w:val="008B6729"/>
    <w:rsid w:val="008C223B"/>
    <w:rsid w:val="008C6F47"/>
    <w:rsid w:val="008D1802"/>
    <w:rsid w:val="008D2795"/>
    <w:rsid w:val="008D5E01"/>
    <w:rsid w:val="008E1E03"/>
    <w:rsid w:val="008E353B"/>
    <w:rsid w:val="008F4D0D"/>
    <w:rsid w:val="009075CD"/>
    <w:rsid w:val="0092631E"/>
    <w:rsid w:val="00944A5F"/>
    <w:rsid w:val="00953700"/>
    <w:rsid w:val="00964ABF"/>
    <w:rsid w:val="0096595E"/>
    <w:rsid w:val="009765D5"/>
    <w:rsid w:val="009B307A"/>
    <w:rsid w:val="00A4295C"/>
    <w:rsid w:val="00A61358"/>
    <w:rsid w:val="00A81CD1"/>
    <w:rsid w:val="00A93B14"/>
    <w:rsid w:val="00A96658"/>
    <w:rsid w:val="00AF174A"/>
    <w:rsid w:val="00B01557"/>
    <w:rsid w:val="00B07325"/>
    <w:rsid w:val="00B13982"/>
    <w:rsid w:val="00B2262A"/>
    <w:rsid w:val="00B4584D"/>
    <w:rsid w:val="00B67B57"/>
    <w:rsid w:val="00B76346"/>
    <w:rsid w:val="00B8616E"/>
    <w:rsid w:val="00B87FCD"/>
    <w:rsid w:val="00B94DCE"/>
    <w:rsid w:val="00BE364F"/>
    <w:rsid w:val="00BE7C02"/>
    <w:rsid w:val="00BF7A43"/>
    <w:rsid w:val="00C32C4D"/>
    <w:rsid w:val="00C37C90"/>
    <w:rsid w:val="00C4030C"/>
    <w:rsid w:val="00C43662"/>
    <w:rsid w:val="00C86520"/>
    <w:rsid w:val="00C9361A"/>
    <w:rsid w:val="00CC3180"/>
    <w:rsid w:val="00D005CC"/>
    <w:rsid w:val="00D007FB"/>
    <w:rsid w:val="00D3168A"/>
    <w:rsid w:val="00D6089A"/>
    <w:rsid w:val="00D71929"/>
    <w:rsid w:val="00D80D2C"/>
    <w:rsid w:val="00D924AB"/>
    <w:rsid w:val="00DA2760"/>
    <w:rsid w:val="00DC4E3C"/>
    <w:rsid w:val="00E0494F"/>
    <w:rsid w:val="00E07BD0"/>
    <w:rsid w:val="00E3416C"/>
    <w:rsid w:val="00E37399"/>
    <w:rsid w:val="00E7028E"/>
    <w:rsid w:val="00E7120F"/>
    <w:rsid w:val="00E7348B"/>
    <w:rsid w:val="00E87C4B"/>
    <w:rsid w:val="00E908CD"/>
    <w:rsid w:val="00E97368"/>
    <w:rsid w:val="00EA58A7"/>
    <w:rsid w:val="00EB7C9C"/>
    <w:rsid w:val="00EC3838"/>
    <w:rsid w:val="00EC4763"/>
    <w:rsid w:val="00EC6675"/>
    <w:rsid w:val="00ED0484"/>
    <w:rsid w:val="00EE4636"/>
    <w:rsid w:val="00EE6527"/>
    <w:rsid w:val="00EF75BC"/>
    <w:rsid w:val="00F01AF3"/>
    <w:rsid w:val="00F03AA5"/>
    <w:rsid w:val="00F10B03"/>
    <w:rsid w:val="00F36A4A"/>
    <w:rsid w:val="00F72B49"/>
    <w:rsid w:val="00F9195D"/>
    <w:rsid w:val="00F966F8"/>
    <w:rsid w:val="00FA1843"/>
    <w:rsid w:val="00FA683F"/>
    <w:rsid w:val="00FB792F"/>
    <w:rsid w:val="00FE37FF"/>
    <w:rsid w:val="00FF6CD1"/>
    <w:rsid w:val="012249BF"/>
    <w:rsid w:val="02182062"/>
    <w:rsid w:val="022F3E96"/>
    <w:rsid w:val="028011D3"/>
    <w:rsid w:val="035D0EBB"/>
    <w:rsid w:val="046D0CA0"/>
    <w:rsid w:val="05467EB4"/>
    <w:rsid w:val="062C22F1"/>
    <w:rsid w:val="0664047C"/>
    <w:rsid w:val="094C4AEF"/>
    <w:rsid w:val="098C149F"/>
    <w:rsid w:val="09F00069"/>
    <w:rsid w:val="0A5A7A5B"/>
    <w:rsid w:val="0AB02CF8"/>
    <w:rsid w:val="0B3B62D2"/>
    <w:rsid w:val="0B483C43"/>
    <w:rsid w:val="0BBA7FB9"/>
    <w:rsid w:val="0D3F5680"/>
    <w:rsid w:val="0E1D615B"/>
    <w:rsid w:val="0E4218C1"/>
    <w:rsid w:val="0E427FC4"/>
    <w:rsid w:val="0F917FAD"/>
    <w:rsid w:val="10592273"/>
    <w:rsid w:val="10651E79"/>
    <w:rsid w:val="117D0C4F"/>
    <w:rsid w:val="12837BF9"/>
    <w:rsid w:val="12BB4676"/>
    <w:rsid w:val="1337550A"/>
    <w:rsid w:val="13842CCB"/>
    <w:rsid w:val="159A0C1F"/>
    <w:rsid w:val="15ED20AE"/>
    <w:rsid w:val="16225936"/>
    <w:rsid w:val="16A17BD3"/>
    <w:rsid w:val="183F6638"/>
    <w:rsid w:val="188A1372"/>
    <w:rsid w:val="18E30276"/>
    <w:rsid w:val="1A2A5AC3"/>
    <w:rsid w:val="1B835C09"/>
    <w:rsid w:val="1CAB0ECA"/>
    <w:rsid w:val="1D6E33B3"/>
    <w:rsid w:val="1DC500AC"/>
    <w:rsid w:val="1EDB015E"/>
    <w:rsid w:val="1F713D44"/>
    <w:rsid w:val="1F8B0146"/>
    <w:rsid w:val="1F8D1DD9"/>
    <w:rsid w:val="1FD66C85"/>
    <w:rsid w:val="20D37BEE"/>
    <w:rsid w:val="20DA68F0"/>
    <w:rsid w:val="23147353"/>
    <w:rsid w:val="23F50008"/>
    <w:rsid w:val="24CD271B"/>
    <w:rsid w:val="261D39C1"/>
    <w:rsid w:val="26E15F77"/>
    <w:rsid w:val="27562330"/>
    <w:rsid w:val="279625B9"/>
    <w:rsid w:val="283E73CF"/>
    <w:rsid w:val="288B6335"/>
    <w:rsid w:val="29AA61AB"/>
    <w:rsid w:val="2A1C786E"/>
    <w:rsid w:val="2AE67B75"/>
    <w:rsid w:val="2B8E2E36"/>
    <w:rsid w:val="2C8D6413"/>
    <w:rsid w:val="2D246F3A"/>
    <w:rsid w:val="2D424209"/>
    <w:rsid w:val="2DF70094"/>
    <w:rsid w:val="2EA15549"/>
    <w:rsid w:val="3050585C"/>
    <w:rsid w:val="31176C37"/>
    <w:rsid w:val="31DD31B6"/>
    <w:rsid w:val="32691899"/>
    <w:rsid w:val="33F86B71"/>
    <w:rsid w:val="346A11D8"/>
    <w:rsid w:val="35720311"/>
    <w:rsid w:val="363F681F"/>
    <w:rsid w:val="393870B9"/>
    <w:rsid w:val="3A1C2540"/>
    <w:rsid w:val="3A7D35A4"/>
    <w:rsid w:val="3B065D7A"/>
    <w:rsid w:val="3BF13553"/>
    <w:rsid w:val="3C663B83"/>
    <w:rsid w:val="3D045C7F"/>
    <w:rsid w:val="3E354352"/>
    <w:rsid w:val="409622FB"/>
    <w:rsid w:val="411F6586"/>
    <w:rsid w:val="416B7BC4"/>
    <w:rsid w:val="41BA672E"/>
    <w:rsid w:val="420D1FDA"/>
    <w:rsid w:val="42294B3C"/>
    <w:rsid w:val="43094DBA"/>
    <w:rsid w:val="437F7F59"/>
    <w:rsid w:val="44E31F22"/>
    <w:rsid w:val="462B3D62"/>
    <w:rsid w:val="47067E54"/>
    <w:rsid w:val="47463953"/>
    <w:rsid w:val="4945340D"/>
    <w:rsid w:val="4AC77F95"/>
    <w:rsid w:val="4BBE353C"/>
    <w:rsid w:val="4CBF0DA6"/>
    <w:rsid w:val="4D6B5354"/>
    <w:rsid w:val="4DCF28A6"/>
    <w:rsid w:val="4E085AB6"/>
    <w:rsid w:val="4EA73F70"/>
    <w:rsid w:val="4EC941F0"/>
    <w:rsid w:val="4F765826"/>
    <w:rsid w:val="51C814B6"/>
    <w:rsid w:val="52737CE9"/>
    <w:rsid w:val="53B57319"/>
    <w:rsid w:val="53C430F4"/>
    <w:rsid w:val="56BD5E67"/>
    <w:rsid w:val="57D33488"/>
    <w:rsid w:val="589F0473"/>
    <w:rsid w:val="58B47C48"/>
    <w:rsid w:val="58D0360B"/>
    <w:rsid w:val="59557784"/>
    <w:rsid w:val="59CC7E43"/>
    <w:rsid w:val="5A0B0CD2"/>
    <w:rsid w:val="5A7D06B1"/>
    <w:rsid w:val="5AC727E4"/>
    <w:rsid w:val="5BA43CFC"/>
    <w:rsid w:val="5BA5558B"/>
    <w:rsid w:val="5BFB00CD"/>
    <w:rsid w:val="5E996F46"/>
    <w:rsid w:val="5F3F3F5E"/>
    <w:rsid w:val="5F4C6A73"/>
    <w:rsid w:val="5FB76338"/>
    <w:rsid w:val="60FF414B"/>
    <w:rsid w:val="61A52564"/>
    <w:rsid w:val="63125672"/>
    <w:rsid w:val="631A6BE4"/>
    <w:rsid w:val="64215F56"/>
    <w:rsid w:val="64C011C1"/>
    <w:rsid w:val="64E5191A"/>
    <w:rsid w:val="66904E24"/>
    <w:rsid w:val="66CB4A36"/>
    <w:rsid w:val="66D54996"/>
    <w:rsid w:val="676212C1"/>
    <w:rsid w:val="68850F51"/>
    <w:rsid w:val="68E42D61"/>
    <w:rsid w:val="6A013C2B"/>
    <w:rsid w:val="6AAD3DA3"/>
    <w:rsid w:val="6AFF3AC0"/>
    <w:rsid w:val="6D90790B"/>
    <w:rsid w:val="6EDB4D78"/>
    <w:rsid w:val="6F176DC2"/>
    <w:rsid w:val="6FD838B5"/>
    <w:rsid w:val="7132318C"/>
    <w:rsid w:val="723D6325"/>
    <w:rsid w:val="72724B36"/>
    <w:rsid w:val="73CB5710"/>
    <w:rsid w:val="74691242"/>
    <w:rsid w:val="761F1D0A"/>
    <w:rsid w:val="77D23BE5"/>
    <w:rsid w:val="788749C3"/>
    <w:rsid w:val="78DA6B98"/>
    <w:rsid w:val="797701F4"/>
    <w:rsid w:val="79FB0BC6"/>
    <w:rsid w:val="7CCF3806"/>
    <w:rsid w:val="7CD50582"/>
    <w:rsid w:val="7F18323E"/>
    <w:rsid w:val="7FF251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6"/>
    <w:qFormat/>
    <w:uiPriority w:val="9"/>
    <w:pPr>
      <w:keepNext/>
      <w:keepLines/>
      <w:spacing w:before="260" w:after="260" w:line="416" w:lineRule="auto"/>
      <w:outlineLvl w:val="1"/>
    </w:pPr>
    <w:rPr>
      <w:rFonts w:ascii="Cambria" w:hAnsi="Cambria"/>
      <w:b/>
      <w:bCs/>
      <w:color w:val="4F81BD"/>
      <w:sz w:val="26"/>
      <w:szCs w:val="26"/>
    </w:rPr>
  </w:style>
  <w:style w:type="paragraph" w:styleId="4">
    <w:name w:val="heading 3"/>
    <w:basedOn w:val="1"/>
    <w:next w:val="1"/>
    <w:link w:val="57"/>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9"/>
    <w:qFormat/>
    <w:uiPriority w:val="0"/>
    <w:pPr>
      <w:keepNext/>
      <w:keepLines/>
      <w:spacing w:before="280" w:after="290" w:line="376" w:lineRule="auto"/>
      <w:outlineLvl w:val="4"/>
    </w:pPr>
    <w:rPr>
      <w:b/>
      <w:bCs/>
      <w:sz w:val="28"/>
      <w:szCs w:val="28"/>
    </w:rPr>
  </w:style>
  <w:style w:type="paragraph" w:styleId="7">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61"/>
    <w:qFormat/>
    <w:uiPriority w:val="0"/>
    <w:pPr>
      <w:keepNext/>
      <w:keepLines/>
      <w:spacing w:before="240" w:after="64" w:line="320" w:lineRule="auto"/>
      <w:outlineLvl w:val="6"/>
    </w:pPr>
    <w:rPr>
      <w:b/>
      <w:bCs/>
      <w:sz w:val="24"/>
    </w:rPr>
  </w:style>
  <w:style w:type="paragraph" w:styleId="9">
    <w:name w:val="heading 8"/>
    <w:basedOn w:val="1"/>
    <w:next w:val="1"/>
    <w:link w:val="62"/>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63"/>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11">
    <w:name w:val="toc 7"/>
    <w:basedOn w:val="12"/>
    <w:next w:val="1"/>
    <w:qFormat/>
    <w:uiPriority w:val="0"/>
  </w:style>
  <w:style w:type="paragraph" w:styleId="12">
    <w:name w:val="toc 6"/>
    <w:basedOn w:val="13"/>
    <w:next w:val="1"/>
    <w:qFormat/>
    <w:uiPriority w:val="0"/>
  </w:style>
  <w:style w:type="paragraph" w:styleId="13">
    <w:name w:val="toc 5"/>
    <w:basedOn w:val="14"/>
    <w:next w:val="1"/>
    <w:qFormat/>
    <w:uiPriority w:val="0"/>
  </w:style>
  <w:style w:type="paragraph" w:styleId="14">
    <w:name w:val="toc 4"/>
    <w:basedOn w:val="15"/>
    <w:next w:val="1"/>
    <w:qFormat/>
    <w:uiPriority w:val="0"/>
  </w:style>
  <w:style w:type="paragraph" w:styleId="15">
    <w:name w:val="toc 3"/>
    <w:basedOn w:val="16"/>
    <w:next w:val="1"/>
    <w:qFormat/>
    <w:uiPriority w:val="0"/>
    <w:pPr>
      <w:widowControl/>
      <w:spacing w:after="0"/>
      <w:ind w:left="0"/>
    </w:pPr>
    <w:rPr>
      <w:rFonts w:ascii="宋体" w:hAnsi="Times New Roman"/>
      <w:kern w:val="0"/>
      <w:szCs w:val="20"/>
    </w:rPr>
  </w:style>
  <w:style w:type="paragraph" w:styleId="16">
    <w:name w:val="toc 2"/>
    <w:basedOn w:val="1"/>
    <w:next w:val="1"/>
    <w:unhideWhenUsed/>
    <w:qFormat/>
    <w:uiPriority w:val="39"/>
    <w:pPr>
      <w:spacing w:after="100"/>
      <w:ind w:left="210"/>
    </w:pPr>
    <w:rPr>
      <w:rFonts w:ascii="Calibri" w:hAnsi="Calibri"/>
      <w:szCs w:val="22"/>
    </w:rPr>
  </w:style>
  <w:style w:type="paragraph" w:styleId="17">
    <w:name w:val="Document Map"/>
    <w:basedOn w:val="1"/>
    <w:link w:val="70"/>
    <w:unhideWhenUsed/>
    <w:qFormat/>
    <w:uiPriority w:val="0"/>
    <w:rPr>
      <w:rFonts w:ascii="宋体" w:hAnsi="Calibri"/>
      <w:kern w:val="0"/>
      <w:sz w:val="18"/>
      <w:szCs w:val="18"/>
    </w:rPr>
  </w:style>
  <w:style w:type="paragraph" w:styleId="18">
    <w:name w:val="annotation text"/>
    <w:basedOn w:val="1"/>
    <w:link w:val="69"/>
    <w:qFormat/>
    <w:uiPriority w:val="0"/>
    <w:pPr>
      <w:jc w:val="left"/>
    </w:pPr>
    <w:rPr>
      <w:rFonts w:ascii="Calibri" w:hAnsi="Calibri"/>
      <w:kern w:val="0"/>
      <w:sz w:val="20"/>
      <w:szCs w:val="20"/>
    </w:rPr>
  </w:style>
  <w:style w:type="paragraph" w:styleId="19">
    <w:name w:val="Body Text"/>
    <w:basedOn w:val="1"/>
    <w:link w:val="92"/>
    <w:unhideWhenUsed/>
    <w:qFormat/>
    <w:uiPriority w:val="99"/>
    <w:pPr>
      <w:spacing w:after="120"/>
    </w:pPr>
    <w:rPr>
      <w:rFonts w:ascii="Calibri" w:hAnsi="Calibri"/>
      <w:szCs w:val="22"/>
    </w:rPr>
  </w:style>
  <w:style w:type="paragraph" w:styleId="20">
    <w:name w:val="Body Text Indent"/>
    <w:basedOn w:val="1"/>
    <w:link w:val="85"/>
    <w:qFormat/>
    <w:uiPriority w:val="0"/>
    <w:pPr>
      <w:spacing w:after="120"/>
      <w:ind w:left="420" w:leftChars="200"/>
    </w:pPr>
    <w:rPr>
      <w:rFonts w:ascii="Calibri" w:hAnsi="Calibri"/>
      <w:szCs w:val="22"/>
    </w:rPr>
  </w:style>
  <w:style w:type="paragraph" w:styleId="21">
    <w:name w:val="HTML Address"/>
    <w:basedOn w:val="1"/>
    <w:link w:val="97"/>
    <w:qFormat/>
    <w:uiPriority w:val="0"/>
    <w:rPr>
      <w:i/>
      <w:iCs/>
    </w:rPr>
  </w:style>
  <w:style w:type="paragraph" w:styleId="22">
    <w:name w:val="Plain Text"/>
    <w:basedOn w:val="1"/>
    <w:link w:val="172"/>
    <w:qFormat/>
    <w:uiPriority w:val="0"/>
    <w:rPr>
      <w:rFonts w:ascii="宋体" w:hAnsi="Courier New"/>
      <w:szCs w:val="20"/>
    </w:rPr>
  </w:style>
  <w:style w:type="paragraph" w:styleId="23">
    <w:name w:val="toc 8"/>
    <w:basedOn w:val="11"/>
    <w:next w:val="1"/>
    <w:qFormat/>
    <w:uiPriority w:val="0"/>
  </w:style>
  <w:style w:type="paragraph" w:styleId="24">
    <w:name w:val="Date"/>
    <w:basedOn w:val="1"/>
    <w:next w:val="1"/>
    <w:link w:val="151"/>
    <w:qFormat/>
    <w:uiPriority w:val="0"/>
    <w:pPr>
      <w:ind w:left="100" w:leftChars="2500"/>
    </w:pPr>
  </w:style>
  <w:style w:type="paragraph" w:styleId="25">
    <w:name w:val="Balloon Text"/>
    <w:basedOn w:val="1"/>
    <w:link w:val="71"/>
    <w:unhideWhenUsed/>
    <w:qFormat/>
    <w:uiPriority w:val="99"/>
    <w:rPr>
      <w:rFonts w:ascii="宋体" w:hAnsi="Calibri"/>
      <w:kern w:val="0"/>
      <w:sz w:val="18"/>
      <w:szCs w:val="18"/>
    </w:rPr>
  </w:style>
  <w:style w:type="paragraph" w:styleId="26">
    <w:name w:val="footer"/>
    <w:basedOn w:val="1"/>
    <w:link w:val="65"/>
    <w:qFormat/>
    <w:uiPriority w:val="99"/>
    <w:pPr>
      <w:tabs>
        <w:tab w:val="center" w:pos="4153"/>
        <w:tab w:val="right" w:pos="8306"/>
      </w:tabs>
      <w:snapToGrid w:val="0"/>
      <w:jc w:val="left"/>
    </w:pPr>
    <w:rPr>
      <w:sz w:val="18"/>
      <w:szCs w:val="18"/>
    </w:rPr>
  </w:style>
  <w:style w:type="paragraph" w:styleId="27">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unhideWhenUsed/>
    <w:qFormat/>
    <w:uiPriority w:val="39"/>
    <w:pPr>
      <w:tabs>
        <w:tab w:val="left" w:pos="840"/>
        <w:tab w:val="right" w:leader="dot" w:pos="8302"/>
      </w:tabs>
      <w:spacing w:line="276" w:lineRule="auto"/>
    </w:pPr>
    <w:rPr>
      <w:rFonts w:ascii="Calibri" w:hAnsi="Calibri"/>
      <w:szCs w:val="22"/>
    </w:rPr>
  </w:style>
  <w:style w:type="paragraph" w:styleId="29">
    <w:name w:val="footnote text"/>
    <w:basedOn w:val="1"/>
    <w:link w:val="132"/>
    <w:qFormat/>
    <w:uiPriority w:val="0"/>
    <w:pPr>
      <w:snapToGrid w:val="0"/>
      <w:jc w:val="left"/>
    </w:pPr>
    <w:rPr>
      <w:sz w:val="18"/>
      <w:szCs w:val="18"/>
    </w:rPr>
  </w:style>
  <w:style w:type="paragraph" w:styleId="30">
    <w:name w:val="Body Text Indent 3"/>
    <w:basedOn w:val="1"/>
    <w:link w:val="159"/>
    <w:qFormat/>
    <w:uiPriority w:val="0"/>
    <w:pPr>
      <w:spacing w:after="120"/>
      <w:ind w:left="420" w:leftChars="200"/>
    </w:pPr>
    <w:rPr>
      <w:sz w:val="16"/>
      <w:szCs w:val="16"/>
    </w:rPr>
  </w:style>
  <w:style w:type="paragraph" w:styleId="31">
    <w:name w:val="toc 9"/>
    <w:basedOn w:val="23"/>
    <w:next w:val="1"/>
    <w:qFormat/>
    <w:uiPriority w:val="0"/>
  </w:style>
  <w:style w:type="paragraph" w:styleId="32">
    <w:name w:val="HTML Preformatted"/>
    <w:basedOn w:val="1"/>
    <w:link w:val="98"/>
    <w:qFormat/>
    <w:uiPriority w:val="0"/>
    <w:rPr>
      <w:rFonts w:ascii="Courier New" w:hAnsi="Courier New"/>
      <w:sz w:val="20"/>
      <w:szCs w:val="20"/>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34">
    <w:name w:val="Title"/>
    <w:basedOn w:val="1"/>
    <w:link w:val="99"/>
    <w:qFormat/>
    <w:uiPriority w:val="0"/>
    <w:pPr>
      <w:spacing w:before="240" w:after="60"/>
      <w:jc w:val="center"/>
      <w:outlineLvl w:val="0"/>
    </w:pPr>
    <w:rPr>
      <w:rFonts w:ascii="Arial" w:hAnsi="Arial"/>
      <w:b/>
      <w:bCs/>
      <w:sz w:val="32"/>
      <w:szCs w:val="32"/>
    </w:rPr>
  </w:style>
  <w:style w:type="paragraph" w:styleId="35">
    <w:name w:val="annotation subject"/>
    <w:basedOn w:val="18"/>
    <w:next w:val="18"/>
    <w:link w:val="72"/>
    <w:unhideWhenUsed/>
    <w:qFormat/>
    <w:uiPriority w:val="99"/>
    <w:pPr>
      <w:jc w:val="both"/>
    </w:pPr>
    <w:rPr>
      <w:b/>
      <w:bCs/>
    </w:rPr>
  </w:style>
  <w:style w:type="paragraph" w:styleId="36">
    <w:name w:val="Body Text First Indent"/>
    <w:basedOn w:val="19"/>
    <w:link w:val="161"/>
    <w:qFormat/>
    <w:uiPriority w:val="0"/>
    <w:pPr>
      <w:spacing w:before="120" w:after="0"/>
      <w:ind w:firstLine="200" w:firstLineChars="200"/>
    </w:pPr>
    <w:rPr>
      <w:lang w:eastAsia="en-US"/>
    </w:rPr>
  </w:style>
  <w:style w:type="paragraph" w:styleId="37">
    <w:name w:val="Body Text First Indent 2"/>
    <w:basedOn w:val="20"/>
    <w:link w:val="86"/>
    <w:qFormat/>
    <w:uiPriority w:val="0"/>
    <w:pPr>
      <w:ind w:firstLine="420" w:firstLineChars="200"/>
    </w:pPr>
    <w:rPr>
      <w:sz w:val="28"/>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22"/>
    <w:rPr>
      <w:b/>
      <w:bCs/>
    </w:rPr>
  </w:style>
  <w:style w:type="character" w:styleId="42">
    <w:name w:val="page number"/>
    <w:qFormat/>
    <w:uiPriority w:val="0"/>
    <w:rPr>
      <w:rFonts w:ascii="Times New Roman" w:hAnsi="Times New Roman" w:eastAsia="宋体"/>
      <w:sz w:val="18"/>
    </w:rPr>
  </w:style>
  <w:style w:type="character" w:styleId="43">
    <w:name w:val="FollowedHyperlink"/>
    <w:unhideWhenUsed/>
    <w:qFormat/>
    <w:uiPriority w:val="99"/>
    <w:rPr>
      <w:color w:val="800080"/>
      <w:u w:val="single"/>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unhideWhenUsed/>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footnote reference"/>
    <w:qFormat/>
    <w:uiPriority w:val="0"/>
    <w:rPr>
      <w:vertAlign w:val="superscript"/>
    </w:rPr>
  </w:style>
  <w:style w:type="character" w:styleId="53">
    <w:name w:val="HTML Keyboard"/>
    <w:qFormat/>
    <w:uiPriority w:val="0"/>
    <w:rPr>
      <w:rFonts w:ascii="Courier New" w:hAnsi="Courier New"/>
      <w:sz w:val="20"/>
      <w:szCs w:val="20"/>
    </w:rPr>
  </w:style>
  <w:style w:type="character" w:styleId="54">
    <w:name w:val="HTML Sample"/>
    <w:qFormat/>
    <w:uiPriority w:val="0"/>
    <w:rPr>
      <w:rFonts w:ascii="Courier New" w:hAnsi="Courier New"/>
    </w:rPr>
  </w:style>
  <w:style w:type="character" w:customStyle="1" w:styleId="55">
    <w:name w:val="标题 1 Char"/>
    <w:basedOn w:val="40"/>
    <w:link w:val="2"/>
    <w:qFormat/>
    <w:uiPriority w:val="0"/>
    <w:rPr>
      <w:rFonts w:ascii="Times New Roman" w:hAnsi="Times New Roman" w:eastAsia="宋体" w:cs="Times New Roman"/>
      <w:b/>
      <w:bCs/>
      <w:kern w:val="44"/>
      <w:sz w:val="44"/>
      <w:szCs w:val="44"/>
    </w:rPr>
  </w:style>
  <w:style w:type="character" w:customStyle="1" w:styleId="56">
    <w:name w:val="标题 2 Char"/>
    <w:basedOn w:val="40"/>
    <w:link w:val="3"/>
    <w:qFormat/>
    <w:uiPriority w:val="9"/>
    <w:rPr>
      <w:rFonts w:ascii="Cambria" w:hAnsi="Cambria" w:eastAsia="宋体" w:cs="Times New Roman"/>
      <w:b/>
      <w:bCs/>
      <w:color w:val="4F81BD"/>
      <w:sz w:val="26"/>
      <w:szCs w:val="26"/>
    </w:rPr>
  </w:style>
  <w:style w:type="character" w:customStyle="1" w:styleId="57">
    <w:name w:val="标题 3 Char"/>
    <w:basedOn w:val="40"/>
    <w:link w:val="4"/>
    <w:qFormat/>
    <w:uiPriority w:val="0"/>
    <w:rPr>
      <w:rFonts w:ascii="Times New Roman" w:hAnsi="Times New Roman" w:eastAsia="宋体" w:cs="Times New Roman"/>
      <w:b/>
      <w:bCs/>
      <w:sz w:val="32"/>
      <w:szCs w:val="32"/>
    </w:rPr>
  </w:style>
  <w:style w:type="character" w:customStyle="1" w:styleId="58">
    <w:name w:val="标题 4 Char"/>
    <w:basedOn w:val="40"/>
    <w:link w:val="5"/>
    <w:qFormat/>
    <w:uiPriority w:val="0"/>
    <w:rPr>
      <w:rFonts w:ascii="Arial" w:hAnsi="Arial" w:eastAsia="黑体" w:cs="Times New Roman"/>
      <w:b/>
      <w:bCs/>
      <w:sz w:val="28"/>
      <w:szCs w:val="28"/>
    </w:rPr>
  </w:style>
  <w:style w:type="character" w:customStyle="1" w:styleId="59">
    <w:name w:val="标题 5 Char"/>
    <w:basedOn w:val="40"/>
    <w:link w:val="6"/>
    <w:qFormat/>
    <w:uiPriority w:val="0"/>
    <w:rPr>
      <w:rFonts w:ascii="Times New Roman" w:hAnsi="Times New Roman" w:eastAsia="宋体" w:cs="Times New Roman"/>
      <w:b/>
      <w:bCs/>
      <w:sz w:val="28"/>
      <w:szCs w:val="28"/>
    </w:rPr>
  </w:style>
  <w:style w:type="character" w:customStyle="1" w:styleId="60">
    <w:name w:val="标题 6 Char"/>
    <w:basedOn w:val="40"/>
    <w:link w:val="7"/>
    <w:qFormat/>
    <w:uiPriority w:val="0"/>
    <w:rPr>
      <w:rFonts w:ascii="Arial" w:hAnsi="Arial" w:eastAsia="黑体" w:cs="Times New Roman"/>
      <w:b/>
      <w:bCs/>
      <w:sz w:val="24"/>
      <w:szCs w:val="24"/>
    </w:rPr>
  </w:style>
  <w:style w:type="character" w:customStyle="1" w:styleId="61">
    <w:name w:val="标题 7 Char"/>
    <w:basedOn w:val="40"/>
    <w:link w:val="8"/>
    <w:qFormat/>
    <w:uiPriority w:val="0"/>
    <w:rPr>
      <w:rFonts w:ascii="Times New Roman" w:hAnsi="Times New Roman" w:eastAsia="宋体" w:cs="Times New Roman"/>
      <w:b/>
      <w:bCs/>
      <w:sz w:val="24"/>
      <w:szCs w:val="24"/>
    </w:rPr>
  </w:style>
  <w:style w:type="character" w:customStyle="1" w:styleId="62">
    <w:name w:val="标题 8 Char"/>
    <w:basedOn w:val="40"/>
    <w:link w:val="9"/>
    <w:qFormat/>
    <w:uiPriority w:val="0"/>
    <w:rPr>
      <w:rFonts w:ascii="Arial" w:hAnsi="Arial" w:eastAsia="黑体" w:cs="Times New Roman"/>
      <w:sz w:val="24"/>
      <w:szCs w:val="24"/>
    </w:rPr>
  </w:style>
  <w:style w:type="character" w:customStyle="1" w:styleId="63">
    <w:name w:val="标题 9 Char"/>
    <w:basedOn w:val="40"/>
    <w:link w:val="10"/>
    <w:qFormat/>
    <w:uiPriority w:val="0"/>
    <w:rPr>
      <w:rFonts w:ascii="Arial" w:hAnsi="Arial" w:eastAsia="黑体" w:cs="Times New Roman"/>
      <w:szCs w:val="21"/>
    </w:rPr>
  </w:style>
  <w:style w:type="character" w:customStyle="1" w:styleId="64">
    <w:name w:val="页眉 Char"/>
    <w:basedOn w:val="40"/>
    <w:link w:val="27"/>
    <w:qFormat/>
    <w:uiPriority w:val="99"/>
    <w:rPr>
      <w:rFonts w:ascii="Times New Roman" w:hAnsi="Times New Roman" w:eastAsia="宋体" w:cs="Times New Roman"/>
      <w:sz w:val="18"/>
      <w:szCs w:val="18"/>
    </w:rPr>
  </w:style>
  <w:style w:type="character" w:customStyle="1" w:styleId="65">
    <w:name w:val="页脚 Char"/>
    <w:basedOn w:val="40"/>
    <w:link w:val="26"/>
    <w:qFormat/>
    <w:uiPriority w:val="99"/>
    <w:rPr>
      <w:rFonts w:ascii="Times New Roman" w:hAnsi="Times New Roman" w:eastAsia="宋体" w:cs="Times New Roman"/>
      <w:sz w:val="18"/>
      <w:szCs w:val="18"/>
    </w:rPr>
  </w:style>
  <w:style w:type="paragraph" w:customStyle="1" w:styleId="66">
    <w:name w:val="标题 21"/>
    <w:basedOn w:val="1"/>
    <w:next w:val="1"/>
    <w:unhideWhenUsed/>
    <w:qFormat/>
    <w:uiPriority w:val="9"/>
    <w:pPr>
      <w:keepNext/>
      <w:keepLines/>
      <w:spacing w:before="200"/>
      <w:outlineLvl w:val="1"/>
    </w:pPr>
    <w:rPr>
      <w:rFonts w:ascii="Cambria" w:hAnsi="Cambria"/>
      <w:b/>
      <w:bCs/>
      <w:color w:val="4F81BD"/>
      <w:sz w:val="26"/>
      <w:szCs w:val="26"/>
    </w:rPr>
  </w:style>
  <w:style w:type="paragraph" w:customStyle="1" w:styleId="67">
    <w:name w:val="列出段落1"/>
    <w:basedOn w:val="1"/>
    <w:qFormat/>
    <w:uiPriority w:val="99"/>
    <w:pPr>
      <w:ind w:firstLine="420" w:firstLineChars="200"/>
    </w:pPr>
    <w:rPr>
      <w:rFonts w:ascii="Calibri" w:hAnsi="Calibri"/>
      <w:szCs w:val="22"/>
    </w:rPr>
  </w:style>
  <w:style w:type="paragraph" w:customStyle="1" w:styleId="68">
    <w:name w:val="Cover text 2"/>
    <w:basedOn w:val="1"/>
    <w:qFormat/>
    <w:uiPriority w:val="0"/>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character" w:customStyle="1" w:styleId="69">
    <w:name w:val="批注文字 Char"/>
    <w:basedOn w:val="40"/>
    <w:link w:val="18"/>
    <w:qFormat/>
    <w:uiPriority w:val="0"/>
    <w:rPr>
      <w:rFonts w:ascii="Calibri" w:hAnsi="Calibri" w:eastAsia="宋体" w:cs="Times New Roman"/>
      <w:kern w:val="0"/>
      <w:sz w:val="20"/>
      <w:szCs w:val="20"/>
    </w:rPr>
  </w:style>
  <w:style w:type="character" w:customStyle="1" w:styleId="70">
    <w:name w:val="文档结构图 Char"/>
    <w:basedOn w:val="40"/>
    <w:link w:val="17"/>
    <w:qFormat/>
    <w:uiPriority w:val="0"/>
    <w:rPr>
      <w:rFonts w:ascii="宋体" w:hAnsi="Calibri" w:eastAsia="宋体" w:cs="Times New Roman"/>
      <w:kern w:val="0"/>
      <w:sz w:val="18"/>
      <w:szCs w:val="18"/>
    </w:rPr>
  </w:style>
  <w:style w:type="character" w:customStyle="1" w:styleId="71">
    <w:name w:val="批注框文本 Char"/>
    <w:basedOn w:val="40"/>
    <w:link w:val="25"/>
    <w:qFormat/>
    <w:uiPriority w:val="99"/>
    <w:rPr>
      <w:rFonts w:ascii="宋体" w:hAnsi="Calibri" w:eastAsia="宋体" w:cs="Times New Roman"/>
      <w:kern w:val="0"/>
      <w:sz w:val="18"/>
      <w:szCs w:val="18"/>
    </w:rPr>
  </w:style>
  <w:style w:type="character" w:customStyle="1" w:styleId="72">
    <w:name w:val="批注主题 Char"/>
    <w:basedOn w:val="69"/>
    <w:link w:val="35"/>
    <w:qFormat/>
    <w:uiPriority w:val="99"/>
    <w:rPr>
      <w:rFonts w:ascii="Calibri" w:hAnsi="Calibri" w:eastAsia="宋体" w:cs="Times New Roman"/>
      <w:b/>
      <w:bCs/>
      <w:kern w:val="0"/>
      <w:sz w:val="20"/>
      <w:szCs w:val="20"/>
    </w:rPr>
  </w:style>
  <w:style w:type="paragraph" w:customStyle="1" w:styleId="73">
    <w:name w:val="1111111"/>
    <w:basedOn w:val="3"/>
    <w:link w:val="74"/>
    <w:qFormat/>
    <w:uiPriority w:val="0"/>
    <w:pPr>
      <w:numPr>
        <w:ilvl w:val="1"/>
        <w:numId w:val="1"/>
      </w:numPr>
    </w:pPr>
  </w:style>
  <w:style w:type="character" w:customStyle="1" w:styleId="74">
    <w:name w:val="1111111 Char"/>
    <w:link w:val="73"/>
    <w:qFormat/>
    <w:uiPriority w:val="0"/>
    <w:rPr>
      <w:rFonts w:ascii="Cambria" w:hAnsi="Cambria" w:eastAsia="宋体" w:cs="Times New Roman"/>
      <w:b/>
      <w:bCs/>
      <w:color w:val="4F81BD"/>
      <w:sz w:val="26"/>
      <w:szCs w:val="26"/>
    </w:rPr>
  </w:style>
  <w:style w:type="paragraph" w:customStyle="1" w:styleId="75">
    <w:name w:val="修订1"/>
    <w:hidden/>
    <w:semiHidden/>
    <w:qFormat/>
    <w:uiPriority w:val="99"/>
    <w:pPr>
      <w:numPr>
        <w:ilvl w:val="3"/>
        <w:numId w:val="1"/>
      </w:numPr>
    </w:pPr>
    <w:rPr>
      <w:rFonts w:ascii="Calibri" w:hAnsi="Calibri" w:eastAsia="宋体" w:cs="Times New Roman"/>
      <w:kern w:val="2"/>
      <w:sz w:val="21"/>
      <w:szCs w:val="22"/>
      <w:lang w:val="en-US" w:eastAsia="zh-CN" w:bidi="ar-SA"/>
    </w:rPr>
  </w:style>
  <w:style w:type="character" w:customStyle="1" w:styleId="76">
    <w:name w:val="标题 2 Char1"/>
    <w:semiHidden/>
    <w:qFormat/>
    <w:uiPriority w:val="9"/>
    <w:rPr>
      <w:rFonts w:ascii="Cambria" w:hAnsi="Cambria" w:eastAsia="宋体" w:cs="Times New Roman"/>
      <w:b/>
      <w:bCs/>
      <w:sz w:val="32"/>
      <w:szCs w:val="32"/>
    </w:rPr>
  </w:style>
  <w:style w:type="paragraph" w:customStyle="1" w:styleId="77">
    <w:name w:val="无间隔1"/>
    <w:link w:val="78"/>
    <w:qFormat/>
    <w:uiPriority w:val="1"/>
    <w:rPr>
      <w:rFonts w:ascii="Calibri" w:hAnsi="Calibri" w:eastAsia="宋体" w:cs="Times New Roman"/>
      <w:sz w:val="22"/>
      <w:lang w:val="en-US" w:eastAsia="zh-CN" w:bidi="ar-SA"/>
    </w:rPr>
  </w:style>
  <w:style w:type="character" w:customStyle="1" w:styleId="78">
    <w:name w:val="无间隔 Char"/>
    <w:link w:val="77"/>
    <w:qFormat/>
    <w:uiPriority w:val="1"/>
    <w:rPr>
      <w:rFonts w:ascii="Calibri" w:hAnsi="Calibri" w:eastAsia="宋体" w:cs="Times New Roman"/>
      <w:kern w:val="0"/>
      <w:sz w:val="22"/>
      <w:szCs w:val="20"/>
    </w:rPr>
  </w:style>
  <w:style w:type="paragraph" w:customStyle="1" w:styleId="79">
    <w:name w:val="章标题"/>
    <w:next w:val="1"/>
    <w:qFormat/>
    <w:uiPriority w:val="0"/>
    <w:pPr>
      <w:numPr>
        <w:ilvl w:val="1"/>
        <w:numId w:val="2"/>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80">
    <w:name w:val="一级条标题"/>
    <w:basedOn w:val="79"/>
    <w:next w:val="1"/>
    <w:link w:val="145"/>
    <w:qFormat/>
    <w:uiPriority w:val="0"/>
    <w:pPr>
      <w:numPr>
        <w:ilvl w:val="2"/>
      </w:numPr>
      <w:tabs>
        <w:tab w:val="left" w:pos="525"/>
        <w:tab w:val="clear" w:pos="420"/>
      </w:tabs>
      <w:spacing w:before="0" w:after="0"/>
      <w:outlineLvl w:val="2"/>
    </w:pPr>
    <w:rPr>
      <w:rFonts w:ascii="宋体" w:hAnsi="宋体" w:eastAsia="宋体"/>
    </w:rPr>
  </w:style>
  <w:style w:type="paragraph" w:customStyle="1" w:styleId="81">
    <w:name w:val="二级条标题"/>
    <w:basedOn w:val="80"/>
    <w:next w:val="1"/>
    <w:link w:val="158"/>
    <w:qFormat/>
    <w:uiPriority w:val="0"/>
    <w:pPr>
      <w:numPr>
        <w:ilvl w:val="3"/>
      </w:numPr>
      <w:tabs>
        <w:tab w:val="clear" w:pos="525"/>
      </w:tabs>
      <w:outlineLvl w:val="3"/>
    </w:pPr>
  </w:style>
  <w:style w:type="paragraph" w:customStyle="1" w:styleId="82">
    <w:name w:val="三级条标题"/>
    <w:basedOn w:val="81"/>
    <w:next w:val="1"/>
    <w:qFormat/>
    <w:uiPriority w:val="0"/>
    <w:pPr>
      <w:numPr>
        <w:ilvl w:val="4"/>
      </w:numPr>
      <w:tabs>
        <w:tab w:val="left" w:pos="945"/>
      </w:tabs>
      <w:outlineLvl w:val="4"/>
    </w:pPr>
  </w:style>
  <w:style w:type="paragraph" w:customStyle="1" w:styleId="83">
    <w:name w:val="四级条标题"/>
    <w:basedOn w:val="82"/>
    <w:next w:val="1"/>
    <w:qFormat/>
    <w:uiPriority w:val="0"/>
    <w:pPr>
      <w:numPr>
        <w:ilvl w:val="5"/>
      </w:numPr>
      <w:tabs>
        <w:tab w:val="left" w:pos="1155"/>
        <w:tab w:val="clear" w:pos="945"/>
      </w:tabs>
      <w:outlineLvl w:val="5"/>
    </w:pPr>
  </w:style>
  <w:style w:type="paragraph" w:customStyle="1" w:styleId="84">
    <w:name w:val="五级条标题"/>
    <w:basedOn w:val="83"/>
    <w:next w:val="1"/>
    <w:qFormat/>
    <w:uiPriority w:val="0"/>
    <w:pPr>
      <w:numPr>
        <w:ilvl w:val="6"/>
      </w:numPr>
      <w:tabs>
        <w:tab w:val="left" w:pos="1407"/>
        <w:tab w:val="clear" w:pos="1155"/>
      </w:tabs>
      <w:outlineLvl w:val="6"/>
    </w:pPr>
  </w:style>
  <w:style w:type="character" w:customStyle="1" w:styleId="85">
    <w:name w:val="正文文本缩进 Char"/>
    <w:basedOn w:val="40"/>
    <w:link w:val="20"/>
    <w:qFormat/>
    <w:uiPriority w:val="0"/>
    <w:rPr>
      <w:rFonts w:ascii="Calibri" w:hAnsi="Calibri" w:eastAsia="宋体" w:cs="Times New Roman"/>
    </w:rPr>
  </w:style>
  <w:style w:type="character" w:customStyle="1" w:styleId="86">
    <w:name w:val="正文首行缩进 2 Char"/>
    <w:basedOn w:val="85"/>
    <w:link w:val="37"/>
    <w:qFormat/>
    <w:uiPriority w:val="0"/>
    <w:rPr>
      <w:rFonts w:ascii="Calibri" w:hAnsi="Calibri" w:eastAsia="宋体" w:cs="Times New Roman"/>
      <w:sz w:val="28"/>
    </w:rPr>
  </w:style>
  <w:style w:type="paragraph" w:customStyle="1" w:styleId="87">
    <w:name w:val="h三级条标题"/>
    <w:basedOn w:val="1"/>
    <w:next w:val="1"/>
    <w:qFormat/>
    <w:uiPriority w:val="0"/>
    <w:pPr>
      <w:widowControl/>
      <w:tabs>
        <w:tab w:val="left" w:pos="945"/>
        <w:tab w:val="left" w:pos="1080"/>
      </w:tabs>
      <w:spacing w:line="360" w:lineRule="auto"/>
      <w:outlineLvl w:val="4"/>
    </w:pPr>
    <w:rPr>
      <w:kern w:val="0"/>
      <w:sz w:val="24"/>
      <w:szCs w:val="20"/>
    </w:rPr>
  </w:style>
  <w:style w:type="paragraph" w:customStyle="1" w:styleId="88">
    <w:name w:val="h这是章节的"/>
    <w:basedOn w:val="79"/>
    <w:qFormat/>
    <w:uiPriority w:val="0"/>
    <w:pPr>
      <w:numPr>
        <w:ilvl w:val="0"/>
        <w:numId w:val="0"/>
      </w:numPr>
      <w:spacing w:beforeLines="50" w:afterLines="50" w:line="240" w:lineRule="auto"/>
    </w:pPr>
    <w:rPr>
      <w:rFonts w:cs="宋体"/>
      <w:b/>
      <w:bCs/>
    </w:rPr>
  </w:style>
  <w:style w:type="paragraph" w:customStyle="1" w:styleId="89">
    <w:name w:val="h这是正文的"/>
    <w:basedOn w:val="37"/>
    <w:qFormat/>
    <w:uiPriority w:val="0"/>
    <w:pPr>
      <w:spacing w:line="360" w:lineRule="auto"/>
      <w:ind w:left="200" w:firstLine="200"/>
    </w:pPr>
    <w:rPr>
      <w:rFonts w:cs="宋体"/>
      <w:sz w:val="24"/>
    </w:rPr>
  </w:style>
  <w:style w:type="paragraph" w:customStyle="1" w:styleId="90">
    <w:name w:val="样式 段 + 首行缩进:  2 字符"/>
    <w:basedOn w:val="1"/>
    <w:qFormat/>
    <w:uiPriority w:val="0"/>
    <w:pPr>
      <w:widowControl/>
      <w:spacing w:line="360" w:lineRule="auto"/>
      <w:jc w:val="center"/>
      <w:outlineLvl w:val="1"/>
    </w:pPr>
    <w:rPr>
      <w:rFonts w:ascii="黑体" w:hAnsi="宋体" w:eastAsia="黑体" w:cs="宋体"/>
      <w:kern w:val="0"/>
      <w:sz w:val="32"/>
      <w:szCs w:val="21"/>
    </w:rPr>
  </w:style>
  <w:style w:type="paragraph" w:customStyle="1" w:styleId="91">
    <w:name w:val="Char Char Char Char Char Char"/>
    <w:basedOn w:val="1"/>
    <w:qFormat/>
    <w:uiPriority w:val="0"/>
    <w:pPr>
      <w:spacing w:line="360" w:lineRule="auto"/>
    </w:pPr>
    <w:rPr>
      <w:rFonts w:ascii="Tahoma" w:hAnsi="Tahoma"/>
      <w:sz w:val="24"/>
      <w:szCs w:val="20"/>
    </w:rPr>
  </w:style>
  <w:style w:type="character" w:customStyle="1" w:styleId="92">
    <w:name w:val="正文文本 Char"/>
    <w:basedOn w:val="40"/>
    <w:link w:val="19"/>
    <w:qFormat/>
    <w:uiPriority w:val="99"/>
    <w:rPr>
      <w:rFonts w:ascii="Calibri" w:hAnsi="Calibri" w:eastAsia="宋体" w:cs="Times New Roman"/>
    </w:rPr>
  </w:style>
  <w:style w:type="paragraph" w:customStyle="1" w:styleId="93">
    <w:name w:val="表格标题"/>
    <w:basedOn w:val="1"/>
    <w:next w:val="1"/>
    <w:qFormat/>
    <w:uiPriority w:val="0"/>
    <w:pPr>
      <w:jc w:val="center"/>
    </w:pPr>
    <w:rPr>
      <w:rFonts w:cs="宋体"/>
      <w:b/>
      <w:bCs/>
      <w:smallCaps/>
      <w:szCs w:val="20"/>
    </w:rPr>
  </w:style>
  <w:style w:type="paragraph" w:customStyle="1" w:styleId="94">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5">
    <w:name w:val="表格文本 居左"/>
    <w:basedOn w:val="1"/>
    <w:link w:val="96"/>
    <w:unhideWhenUsed/>
    <w:qFormat/>
    <w:uiPriority w:val="0"/>
    <w:pPr>
      <w:wordWrap w:val="0"/>
      <w:jc w:val="left"/>
    </w:pPr>
    <w:rPr>
      <w:rFonts w:ascii="宋体" w:hAnsi="宋体"/>
      <w:szCs w:val="21"/>
    </w:rPr>
  </w:style>
  <w:style w:type="character" w:customStyle="1" w:styleId="96">
    <w:name w:val="表格文本 居左 Char"/>
    <w:link w:val="95"/>
    <w:qFormat/>
    <w:uiPriority w:val="0"/>
    <w:rPr>
      <w:rFonts w:ascii="宋体" w:hAnsi="宋体" w:eastAsia="宋体" w:cs="Times New Roman"/>
      <w:szCs w:val="21"/>
    </w:rPr>
  </w:style>
  <w:style w:type="character" w:customStyle="1" w:styleId="97">
    <w:name w:val="HTML 地址 Char"/>
    <w:basedOn w:val="40"/>
    <w:link w:val="21"/>
    <w:qFormat/>
    <w:uiPriority w:val="0"/>
    <w:rPr>
      <w:rFonts w:ascii="Times New Roman" w:hAnsi="Times New Roman" w:eastAsia="宋体" w:cs="Times New Roman"/>
      <w:i/>
      <w:iCs/>
      <w:szCs w:val="24"/>
    </w:rPr>
  </w:style>
  <w:style w:type="character" w:customStyle="1" w:styleId="98">
    <w:name w:val="HTML 预设格式 Char"/>
    <w:basedOn w:val="40"/>
    <w:link w:val="32"/>
    <w:qFormat/>
    <w:uiPriority w:val="0"/>
    <w:rPr>
      <w:rFonts w:ascii="Courier New" w:hAnsi="Courier New" w:eastAsia="宋体" w:cs="Times New Roman"/>
      <w:sz w:val="20"/>
      <w:szCs w:val="20"/>
    </w:rPr>
  </w:style>
  <w:style w:type="character" w:customStyle="1" w:styleId="99">
    <w:name w:val="标题 Char"/>
    <w:basedOn w:val="40"/>
    <w:link w:val="34"/>
    <w:qFormat/>
    <w:uiPriority w:val="0"/>
    <w:rPr>
      <w:rFonts w:ascii="Arial" w:hAnsi="Arial" w:eastAsia="宋体" w:cs="Times New Roman"/>
      <w:b/>
      <w:bCs/>
      <w:sz w:val="32"/>
      <w:szCs w:val="32"/>
    </w:rPr>
  </w:style>
  <w:style w:type="paragraph" w:customStyle="1" w:styleId="10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4">
    <w:name w:val="标准书眉_偶数页"/>
    <w:basedOn w:val="103"/>
    <w:next w:val="1"/>
    <w:qFormat/>
    <w:uiPriority w:val="0"/>
    <w:pPr>
      <w:jc w:val="left"/>
    </w:pPr>
  </w:style>
  <w:style w:type="paragraph" w:customStyle="1" w:styleId="105">
    <w:name w:val="标准书眉一"/>
    <w:qFormat/>
    <w:uiPriority w:val="0"/>
    <w:pPr>
      <w:numPr>
        <w:ilvl w:val="6"/>
        <w:numId w:val="1"/>
      </w:numPr>
      <w:jc w:val="both"/>
    </w:pPr>
    <w:rPr>
      <w:rFonts w:ascii="Times New Roman" w:hAnsi="Times New Roman" w:eastAsia="宋体" w:cs="Times New Roman"/>
      <w:lang w:val="en-US" w:eastAsia="zh-CN" w:bidi="ar-SA"/>
    </w:rPr>
  </w:style>
  <w:style w:type="paragraph" w:customStyle="1" w:styleId="106">
    <w:name w:val="前言、引言标题"/>
    <w:next w:val="1"/>
    <w:link w:val="156"/>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7">
    <w:name w:val="参考文献、索引标题"/>
    <w:basedOn w:val="106"/>
    <w:next w:val="1"/>
    <w:qFormat/>
    <w:uiPriority w:val="0"/>
    <w:pPr>
      <w:spacing w:after="200"/>
    </w:pPr>
    <w:rPr>
      <w:sz w:val="21"/>
    </w:rPr>
  </w:style>
  <w:style w:type="paragraph" w:customStyle="1" w:styleId="108">
    <w:name w:val="段"/>
    <w:link w:val="15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09">
    <w:name w:val="发布"/>
    <w:qFormat/>
    <w:uiPriority w:val="0"/>
    <w:rPr>
      <w:rFonts w:ascii="黑体" w:eastAsia="黑体"/>
      <w:spacing w:val="22"/>
      <w:w w:val="100"/>
      <w:position w:val="3"/>
      <w:sz w:val="28"/>
    </w:rPr>
  </w:style>
  <w:style w:type="paragraph" w:customStyle="1" w:styleId="110">
    <w:name w:val="发布部门"/>
    <w:next w:val="108"/>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1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1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3">
    <w:name w:val="封面标准号2"/>
    <w:basedOn w:val="112"/>
    <w:qFormat/>
    <w:uiPriority w:val="0"/>
    <w:pPr>
      <w:framePr w:w="9138" w:h="1244" w:hRule="exact" w:wrap="around" w:vAnchor="page" w:hAnchor="margin" w:y="2908"/>
      <w:adjustRightInd w:val="0"/>
      <w:spacing w:before="357" w:line="280" w:lineRule="exact"/>
    </w:pPr>
  </w:style>
  <w:style w:type="paragraph" w:customStyle="1" w:styleId="114">
    <w:name w:val="封面标准代替信息"/>
    <w:basedOn w:val="113"/>
    <w:qFormat/>
    <w:uiPriority w:val="0"/>
    <w:pPr>
      <w:spacing w:before="57"/>
    </w:pPr>
    <w:rPr>
      <w:rFonts w:ascii="宋体"/>
      <w:sz w:val="21"/>
    </w:rPr>
  </w:style>
  <w:style w:type="paragraph" w:customStyle="1" w:styleId="11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0">
    <w:name w:val="封面正文"/>
    <w:qFormat/>
    <w:uiPriority w:val="0"/>
    <w:pPr>
      <w:jc w:val="both"/>
    </w:pPr>
    <w:rPr>
      <w:rFonts w:ascii="Times New Roman" w:hAnsi="Times New Roman" w:eastAsia="宋体" w:cs="Times New Roman"/>
      <w:lang w:val="en-US" w:eastAsia="zh-CN" w:bidi="ar-SA"/>
    </w:rPr>
  </w:style>
  <w:style w:type="paragraph" w:customStyle="1" w:styleId="121">
    <w:name w:val="附录标识"/>
    <w:basedOn w:val="106"/>
    <w:link w:val="157"/>
    <w:qFormat/>
    <w:uiPriority w:val="0"/>
    <w:pPr>
      <w:numPr>
        <w:ilvl w:val="0"/>
        <w:numId w:val="3"/>
      </w:numPr>
      <w:tabs>
        <w:tab w:val="left" w:pos="6405"/>
      </w:tabs>
      <w:spacing w:after="200"/>
    </w:pPr>
    <w:rPr>
      <w:sz w:val="21"/>
    </w:rPr>
  </w:style>
  <w:style w:type="paragraph" w:customStyle="1" w:styleId="122">
    <w:name w:val="附录表标题"/>
    <w:next w:val="108"/>
    <w:qFormat/>
    <w:uiPriority w:val="0"/>
    <w:pPr>
      <w:numPr>
        <w:ilvl w:val="0"/>
        <w:numId w:val="4"/>
      </w:numPr>
      <w:jc w:val="center"/>
      <w:textAlignment w:val="baseline"/>
    </w:pPr>
    <w:rPr>
      <w:rFonts w:ascii="黑体" w:hAnsi="Times New Roman" w:eastAsia="黑体" w:cs="Times New Roman"/>
      <w:kern w:val="21"/>
      <w:sz w:val="21"/>
      <w:lang w:val="en-US" w:eastAsia="zh-CN" w:bidi="ar-SA"/>
    </w:rPr>
  </w:style>
  <w:style w:type="paragraph" w:customStyle="1" w:styleId="123">
    <w:name w:val="附录章标题"/>
    <w:next w:val="108"/>
    <w:qFormat/>
    <w:uiPriority w:val="0"/>
    <w:pPr>
      <w:numPr>
        <w:ilvl w:val="1"/>
        <w:numId w:val="5"/>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附录一级条标题"/>
    <w:basedOn w:val="123"/>
    <w:next w:val="108"/>
    <w:qFormat/>
    <w:uiPriority w:val="0"/>
    <w:pPr>
      <w:numPr>
        <w:numId w:val="6"/>
      </w:numPr>
      <w:autoSpaceDN w:val="0"/>
      <w:spacing w:beforeLines="0" w:afterLines="0"/>
      <w:outlineLvl w:val="2"/>
    </w:pPr>
  </w:style>
  <w:style w:type="paragraph" w:customStyle="1" w:styleId="125">
    <w:name w:val="附录二级条标题"/>
    <w:basedOn w:val="124"/>
    <w:next w:val="108"/>
    <w:qFormat/>
    <w:uiPriority w:val="0"/>
    <w:pPr>
      <w:numPr>
        <w:ilvl w:val="2"/>
      </w:numPr>
      <w:outlineLvl w:val="3"/>
    </w:pPr>
  </w:style>
  <w:style w:type="paragraph" w:customStyle="1" w:styleId="126">
    <w:name w:val="附录三级条标题"/>
    <w:basedOn w:val="125"/>
    <w:next w:val="108"/>
    <w:qFormat/>
    <w:uiPriority w:val="0"/>
    <w:pPr>
      <w:numPr>
        <w:ilvl w:val="3"/>
      </w:numPr>
      <w:outlineLvl w:val="4"/>
    </w:pPr>
  </w:style>
  <w:style w:type="paragraph" w:customStyle="1" w:styleId="127">
    <w:name w:val="附录四级条标题"/>
    <w:basedOn w:val="126"/>
    <w:next w:val="108"/>
    <w:qFormat/>
    <w:uiPriority w:val="0"/>
    <w:pPr>
      <w:numPr>
        <w:ilvl w:val="4"/>
      </w:numPr>
      <w:outlineLvl w:val="5"/>
    </w:pPr>
  </w:style>
  <w:style w:type="paragraph" w:customStyle="1" w:styleId="128">
    <w:name w:val="附录图标题"/>
    <w:next w:val="108"/>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29">
    <w:name w:val="附录五级条标题"/>
    <w:basedOn w:val="127"/>
    <w:next w:val="108"/>
    <w:qFormat/>
    <w:uiPriority w:val="0"/>
    <w:pPr>
      <w:numPr>
        <w:ilvl w:val="6"/>
        <w:numId w:val="8"/>
      </w:numPr>
      <w:outlineLvl w:val="6"/>
    </w:pPr>
  </w:style>
  <w:style w:type="character" w:customStyle="1" w:styleId="130">
    <w:name w:val="个人答复风格"/>
    <w:qFormat/>
    <w:uiPriority w:val="0"/>
    <w:rPr>
      <w:rFonts w:ascii="Arial" w:hAnsi="Arial" w:eastAsia="宋体" w:cs="Arial"/>
      <w:color w:val="auto"/>
      <w:sz w:val="20"/>
    </w:rPr>
  </w:style>
  <w:style w:type="character" w:customStyle="1" w:styleId="131">
    <w:name w:val="个人撰写风格"/>
    <w:qFormat/>
    <w:uiPriority w:val="0"/>
    <w:rPr>
      <w:rFonts w:ascii="Arial" w:hAnsi="Arial" w:eastAsia="宋体" w:cs="Arial"/>
      <w:color w:val="auto"/>
      <w:sz w:val="20"/>
    </w:rPr>
  </w:style>
  <w:style w:type="character" w:customStyle="1" w:styleId="132">
    <w:name w:val="脚注文本 Char"/>
    <w:basedOn w:val="40"/>
    <w:link w:val="29"/>
    <w:qFormat/>
    <w:uiPriority w:val="0"/>
    <w:rPr>
      <w:rFonts w:ascii="Times New Roman" w:hAnsi="Times New Roman" w:eastAsia="宋体" w:cs="Times New Roman"/>
      <w:sz w:val="18"/>
      <w:szCs w:val="18"/>
    </w:rPr>
  </w:style>
  <w:style w:type="paragraph" w:customStyle="1" w:styleId="133">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134">
    <w:name w:val="列项●（二级）"/>
    <w:qFormat/>
    <w:uiPriority w:val="0"/>
    <w:pPr>
      <w:numPr>
        <w:ilvl w:val="0"/>
        <w:numId w:val="9"/>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35">
    <w:name w:val="目次、标准名称标题"/>
    <w:basedOn w:val="106"/>
    <w:next w:val="108"/>
    <w:qFormat/>
    <w:uiPriority w:val="0"/>
    <w:pPr>
      <w:spacing w:line="460" w:lineRule="exact"/>
    </w:pPr>
  </w:style>
  <w:style w:type="paragraph" w:customStyle="1" w:styleId="13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8">
    <w:name w:val="其他发布部门"/>
    <w:basedOn w:val="110"/>
    <w:qFormat/>
    <w:uiPriority w:val="0"/>
    <w:pPr>
      <w:spacing w:line="0" w:lineRule="atLeast"/>
    </w:pPr>
    <w:rPr>
      <w:rFonts w:ascii="黑体" w:eastAsia="黑体"/>
      <w:b w:val="0"/>
    </w:rPr>
  </w:style>
  <w:style w:type="paragraph" w:customStyle="1" w:styleId="139">
    <w:name w:val="实施日期"/>
    <w:basedOn w:val="1"/>
    <w:qFormat/>
    <w:uiPriority w:val="0"/>
    <w:pPr>
      <w:jc w:val="right"/>
    </w:pPr>
    <w:rPr>
      <w:rFonts w:ascii="黑体" w:hAnsi="黑体" w:eastAsia="黑体"/>
      <w:sz w:val="28"/>
    </w:rPr>
  </w:style>
  <w:style w:type="paragraph" w:customStyle="1" w:styleId="140">
    <w:name w:val="示例"/>
    <w:next w:val="108"/>
    <w:qFormat/>
    <w:uiPriority w:val="0"/>
    <w:pPr>
      <w:numPr>
        <w:ilvl w:val="0"/>
        <w:numId w:val="10"/>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4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42">
    <w:name w:val="条文脚注"/>
    <w:basedOn w:val="29"/>
    <w:qFormat/>
    <w:uiPriority w:val="0"/>
    <w:pPr>
      <w:ind w:left="780" w:leftChars="200" w:hanging="360" w:hangingChars="200"/>
      <w:jc w:val="both"/>
    </w:pPr>
    <w:rPr>
      <w:rFonts w:ascii="宋体"/>
    </w:rPr>
  </w:style>
  <w:style w:type="paragraph" w:customStyle="1" w:styleId="143">
    <w:name w:val="图表脚注"/>
    <w:next w:val="108"/>
    <w:qFormat/>
    <w:uiPriority w:val="0"/>
    <w:pPr>
      <w:jc w:val="both"/>
    </w:pPr>
    <w:rPr>
      <w:rFonts w:ascii="宋体" w:hAnsi="Times New Roman" w:eastAsia="宋体" w:cs="Times New Roman"/>
      <w:sz w:val="18"/>
      <w:lang w:val="en-US" w:eastAsia="zh-CN" w:bidi="ar-SA"/>
    </w:rPr>
  </w:style>
  <w:style w:type="paragraph" w:customStyle="1" w:styleId="14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character" w:customStyle="1" w:styleId="145">
    <w:name w:val="一级条标题 Char"/>
    <w:link w:val="80"/>
    <w:qFormat/>
    <w:uiPriority w:val="0"/>
    <w:rPr>
      <w:rFonts w:ascii="宋体" w:hAnsi="宋体" w:eastAsia="宋体" w:cs="Times New Roman"/>
      <w:kern w:val="0"/>
      <w:sz w:val="24"/>
      <w:szCs w:val="20"/>
    </w:rPr>
  </w:style>
  <w:style w:type="paragraph" w:customStyle="1" w:styleId="146">
    <w:name w:val="正文表标题"/>
    <w:next w:val="108"/>
    <w:qFormat/>
    <w:uiPriority w:val="0"/>
    <w:pPr>
      <w:numPr>
        <w:ilvl w:val="0"/>
        <w:numId w:val="11"/>
      </w:numPr>
      <w:jc w:val="center"/>
    </w:pPr>
    <w:rPr>
      <w:rFonts w:ascii="黑体" w:hAnsi="Times New Roman" w:eastAsia="黑体" w:cs="Times New Roman"/>
      <w:sz w:val="21"/>
      <w:lang w:val="en-US" w:eastAsia="zh-CN" w:bidi="ar-SA"/>
    </w:rPr>
  </w:style>
  <w:style w:type="paragraph" w:customStyle="1" w:styleId="147">
    <w:name w:val="正文图标题"/>
    <w:next w:val="108"/>
    <w:qFormat/>
    <w:uiPriority w:val="0"/>
    <w:pPr>
      <w:numPr>
        <w:ilvl w:val="0"/>
        <w:numId w:val="12"/>
      </w:numPr>
      <w:jc w:val="center"/>
    </w:pPr>
    <w:rPr>
      <w:rFonts w:ascii="黑体" w:hAnsi="Times New Roman" w:eastAsia="黑体" w:cs="Times New Roman"/>
      <w:sz w:val="21"/>
      <w:lang w:val="en-US" w:eastAsia="zh-CN" w:bidi="ar-SA"/>
    </w:rPr>
  </w:style>
  <w:style w:type="paragraph" w:customStyle="1" w:styleId="148">
    <w:name w:val="注："/>
    <w:next w:val="108"/>
    <w:qFormat/>
    <w:uiPriority w:val="0"/>
    <w:pPr>
      <w:widowControl w:val="0"/>
      <w:numPr>
        <w:ilvl w:val="0"/>
        <w:numId w:val="13"/>
      </w:numPr>
      <w:autoSpaceDE w:val="0"/>
      <w:autoSpaceDN w:val="0"/>
      <w:jc w:val="both"/>
    </w:pPr>
    <w:rPr>
      <w:rFonts w:ascii="宋体" w:hAnsi="Times New Roman" w:eastAsia="宋体" w:cs="Times New Roman"/>
      <w:sz w:val="18"/>
      <w:lang w:val="en-US" w:eastAsia="zh-CN" w:bidi="ar-SA"/>
    </w:rPr>
  </w:style>
  <w:style w:type="paragraph" w:customStyle="1" w:styleId="149">
    <w:name w:val="注×："/>
    <w:qFormat/>
    <w:uiPriority w:val="0"/>
    <w:pPr>
      <w:widowControl w:val="0"/>
      <w:numPr>
        <w:ilvl w:val="0"/>
        <w:numId w:val="14"/>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51">
    <w:name w:val="日期 Char"/>
    <w:basedOn w:val="40"/>
    <w:link w:val="24"/>
    <w:qFormat/>
    <w:uiPriority w:val="0"/>
    <w:rPr>
      <w:rFonts w:ascii="Times New Roman" w:hAnsi="Times New Roman" w:eastAsia="宋体" w:cs="Times New Roman"/>
      <w:szCs w:val="24"/>
    </w:rPr>
  </w:style>
  <w:style w:type="paragraph" w:customStyle="1" w:styleId="152">
    <w:name w:val="列项◆（三级）"/>
    <w:qFormat/>
    <w:uiPriority w:val="0"/>
    <w:pPr>
      <w:numPr>
        <w:ilvl w:val="0"/>
        <w:numId w:val="15"/>
      </w:num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53">
    <w:name w:val="编号列项（三级）"/>
    <w:qFormat/>
    <w:uiPriority w:val="0"/>
    <w:pPr>
      <w:numPr>
        <w:ilvl w:val="0"/>
        <w:numId w:val="16"/>
      </w:numPr>
      <w:tabs>
        <w:tab w:val="clear" w:pos="1140"/>
      </w:tabs>
      <w:ind w:left="800" w:leftChars="600" w:hanging="200" w:hangingChars="200"/>
    </w:pPr>
    <w:rPr>
      <w:rFonts w:ascii="宋体" w:hAnsi="Times New Roman" w:eastAsia="宋体" w:cs="Times New Roman"/>
      <w:sz w:val="21"/>
      <w:lang w:val="en-US" w:eastAsia="zh-CN" w:bidi="ar-SA"/>
    </w:rPr>
  </w:style>
  <w:style w:type="character" w:customStyle="1" w:styleId="154">
    <w:name w:val="段 Char"/>
    <w:link w:val="108"/>
    <w:qFormat/>
    <w:uiPriority w:val="0"/>
    <w:rPr>
      <w:rFonts w:ascii="宋体" w:hAnsi="Times New Roman" w:eastAsia="宋体" w:cs="Times New Roman"/>
      <w:kern w:val="0"/>
      <w:szCs w:val="20"/>
    </w:rPr>
  </w:style>
  <w:style w:type="paragraph" w:customStyle="1" w:styleId="15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156">
    <w:name w:val="前言、引言标题 Char"/>
    <w:link w:val="106"/>
    <w:qFormat/>
    <w:uiPriority w:val="0"/>
    <w:rPr>
      <w:rFonts w:ascii="黑体" w:hAnsi="Times New Roman" w:eastAsia="黑体" w:cs="Times New Roman"/>
      <w:kern w:val="0"/>
      <w:sz w:val="32"/>
      <w:szCs w:val="20"/>
      <w:shd w:val="clear" w:color="FFFFFF" w:fill="FFFFFF"/>
    </w:rPr>
  </w:style>
  <w:style w:type="character" w:customStyle="1" w:styleId="157">
    <w:name w:val="附录标识 Char Char"/>
    <w:link w:val="121"/>
    <w:qFormat/>
    <w:uiPriority w:val="0"/>
    <w:rPr>
      <w:rFonts w:ascii="黑体" w:hAnsi="Times New Roman" w:eastAsia="黑体" w:cs="Times New Roman"/>
      <w:kern w:val="0"/>
      <w:szCs w:val="20"/>
      <w:shd w:val="clear" w:color="FFFFFF" w:fill="FFFFFF"/>
    </w:rPr>
  </w:style>
  <w:style w:type="character" w:customStyle="1" w:styleId="158">
    <w:name w:val="二级条标题 Char"/>
    <w:link w:val="81"/>
    <w:qFormat/>
    <w:uiPriority w:val="0"/>
    <w:rPr>
      <w:rFonts w:ascii="宋体" w:hAnsi="宋体" w:eastAsia="宋体" w:cs="Times New Roman"/>
      <w:kern w:val="0"/>
      <w:sz w:val="24"/>
      <w:szCs w:val="20"/>
    </w:rPr>
  </w:style>
  <w:style w:type="character" w:customStyle="1" w:styleId="159">
    <w:name w:val="正文文本缩进 3 Char"/>
    <w:basedOn w:val="40"/>
    <w:link w:val="30"/>
    <w:qFormat/>
    <w:uiPriority w:val="0"/>
    <w:rPr>
      <w:rFonts w:ascii="Times New Roman" w:hAnsi="Times New Roman" w:eastAsia="宋体" w:cs="Times New Roman"/>
      <w:sz w:val="16"/>
      <w:szCs w:val="16"/>
    </w:rPr>
  </w:style>
  <w:style w:type="character" w:customStyle="1" w:styleId="160">
    <w:name w:val="印刷版（目录）"/>
    <w:qFormat/>
    <w:uiPriority w:val="0"/>
    <w:rPr>
      <w:rFonts w:ascii="Times New Roman" w:hAnsi="Times New Roman" w:eastAsia="宋体"/>
      <w:sz w:val="30"/>
      <w:szCs w:val="30"/>
      <w:lang w:val="en-US" w:eastAsia="zh-CN"/>
    </w:rPr>
  </w:style>
  <w:style w:type="character" w:customStyle="1" w:styleId="161">
    <w:name w:val="正文首行缩进 Char"/>
    <w:basedOn w:val="92"/>
    <w:link w:val="36"/>
    <w:qFormat/>
    <w:uiPriority w:val="0"/>
    <w:rPr>
      <w:rFonts w:ascii="Calibri" w:hAnsi="Calibri" w:eastAsia="宋体" w:cs="Times New Roman"/>
      <w:lang w:eastAsia="en-US"/>
    </w:rPr>
  </w:style>
  <w:style w:type="paragraph" w:customStyle="1" w:styleId="162">
    <w:name w:val="h二级条标题"/>
    <w:basedOn w:val="163"/>
    <w:next w:val="108"/>
    <w:qFormat/>
    <w:uiPriority w:val="0"/>
    <w:pPr>
      <w:tabs>
        <w:tab w:val="left" w:pos="360"/>
        <w:tab w:val="left" w:pos="525"/>
        <w:tab w:val="left" w:pos="720"/>
      </w:tabs>
      <w:outlineLvl w:val="3"/>
    </w:pPr>
  </w:style>
  <w:style w:type="paragraph" w:customStyle="1" w:styleId="163">
    <w:name w:val="h一级条标题"/>
    <w:basedOn w:val="79"/>
    <w:next w:val="108"/>
    <w:qFormat/>
    <w:uiPriority w:val="0"/>
    <w:pPr>
      <w:numPr>
        <w:numId w:val="0"/>
      </w:numPr>
      <w:tabs>
        <w:tab w:val="left" w:pos="525"/>
        <w:tab w:val="left" w:pos="720"/>
        <w:tab w:val="clear" w:pos="420"/>
      </w:tabs>
      <w:spacing w:before="0" w:after="0"/>
      <w:outlineLvl w:val="2"/>
    </w:pPr>
    <w:rPr>
      <w:rFonts w:ascii="Times New Roman" w:eastAsia="宋体"/>
    </w:rPr>
  </w:style>
  <w:style w:type="paragraph" w:customStyle="1" w:styleId="164">
    <w:name w:val="Char"/>
    <w:basedOn w:val="1"/>
    <w:qFormat/>
    <w:uiPriority w:val="0"/>
    <w:pPr>
      <w:spacing w:line="360" w:lineRule="auto"/>
    </w:pPr>
    <w:rPr>
      <w:rFonts w:ascii="Tahoma" w:hAnsi="Tahoma"/>
      <w:sz w:val="24"/>
      <w:szCs w:val="20"/>
    </w:rPr>
  </w:style>
  <w:style w:type="paragraph" w:customStyle="1" w:styleId="165">
    <w:name w:val="表格文本 居右"/>
    <w:basedOn w:val="1"/>
    <w:unhideWhenUsed/>
    <w:qFormat/>
    <w:uiPriority w:val="4"/>
    <w:pPr>
      <w:wordWrap w:val="0"/>
      <w:jc w:val="right"/>
    </w:pPr>
    <w:rPr>
      <w:rFonts w:ascii="宋体" w:hAnsi="宋体"/>
      <w:szCs w:val="21"/>
    </w:rPr>
  </w:style>
  <w:style w:type="paragraph" w:customStyle="1" w:styleId="166">
    <w:name w:val="表格文本 居中 倾斜 深红"/>
    <w:basedOn w:val="165"/>
    <w:qFormat/>
    <w:uiPriority w:val="0"/>
    <w:pPr>
      <w:jc w:val="center"/>
    </w:pPr>
    <w:rPr>
      <w:rFonts w:cs="宋体"/>
      <w:i/>
      <w:iCs/>
      <w:color w:val="C00000"/>
      <w:szCs w:val="20"/>
    </w:rPr>
  </w:style>
  <w:style w:type="paragraph" w:customStyle="1" w:styleId="167">
    <w:name w:val="结束线"/>
    <w:basedOn w:val="143"/>
    <w:qFormat/>
    <w:uiPriority w:val="0"/>
    <w:pPr>
      <w:ind w:left="600" w:leftChars="200" w:hanging="180" w:hangingChars="100"/>
      <w:jc w:val="center"/>
    </w:pPr>
  </w:style>
  <w:style w:type="paragraph" w:customStyle="1" w:styleId="168">
    <w:name w:val="正文首行缩进2字符"/>
    <w:basedOn w:val="1"/>
    <w:link w:val="169"/>
    <w:qFormat/>
    <w:uiPriority w:val="0"/>
    <w:pPr>
      <w:spacing w:beforeLines="50" w:afterLines="50" w:line="360" w:lineRule="auto"/>
      <w:ind w:firstLine="480" w:firstLineChars="200"/>
    </w:pPr>
    <w:rPr>
      <w:sz w:val="24"/>
      <w:szCs w:val="20"/>
    </w:rPr>
  </w:style>
  <w:style w:type="character" w:customStyle="1" w:styleId="169">
    <w:name w:val="正文首行缩进2字符 Char"/>
    <w:link w:val="168"/>
    <w:qFormat/>
    <w:uiPriority w:val="0"/>
    <w:rPr>
      <w:rFonts w:ascii="Times New Roman" w:hAnsi="Times New Roman" w:eastAsia="宋体" w:cs="Times New Roman"/>
      <w:sz w:val="24"/>
      <w:szCs w:val="20"/>
    </w:rPr>
  </w:style>
  <w:style w:type="paragraph" w:customStyle="1" w:styleId="170">
    <w:name w:val="h这是附录表标题"/>
    <w:basedOn w:val="1"/>
    <w:next w:val="108"/>
    <w:qFormat/>
    <w:uiPriority w:val="0"/>
    <w:pPr>
      <w:widowControl/>
      <w:tabs>
        <w:tab w:val="left" w:pos="210"/>
      </w:tabs>
      <w:jc w:val="center"/>
      <w:textAlignment w:val="baseline"/>
    </w:pPr>
    <w:rPr>
      <w:rFonts w:ascii="宋体" w:eastAsia="黑体"/>
      <w:kern w:val="21"/>
      <w:szCs w:val="20"/>
    </w:rPr>
  </w:style>
  <w:style w:type="paragraph" w:customStyle="1" w:styleId="1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2">
    <w:name w:val="纯文本 Char"/>
    <w:basedOn w:val="40"/>
    <w:link w:val="22"/>
    <w:qFormat/>
    <w:uiPriority w:val="0"/>
    <w:rPr>
      <w:rFonts w:ascii="宋体" w:hAnsi="Courier New" w:eastAsia="宋体" w:cs="Times New Roman"/>
      <w:szCs w:val="20"/>
    </w:rPr>
  </w:style>
  <w:style w:type="character" w:customStyle="1" w:styleId="173">
    <w:name w:val="普通文字 Char Char"/>
    <w:qFormat/>
    <w:uiPriority w:val="0"/>
    <w:rPr>
      <w:rFonts w:ascii="宋体" w:hAnsi="Courier New" w:eastAsia="宋体" w:cs="Times New Roman"/>
      <w:szCs w:val="20"/>
    </w:rPr>
  </w:style>
  <w:style w:type="paragraph" w:customStyle="1" w:styleId="174">
    <w:name w:val="CM284"/>
    <w:basedOn w:val="1"/>
    <w:next w:val="1"/>
    <w:qFormat/>
    <w:uiPriority w:val="99"/>
    <w:pPr>
      <w:autoSpaceDE w:val="0"/>
      <w:autoSpaceDN w:val="0"/>
      <w:adjustRightInd w:val="0"/>
      <w:jc w:val="left"/>
    </w:pPr>
    <w:rPr>
      <w:rFonts w:ascii="FZHei-B01" w:hAnsi="Calibri" w:eastAsia="FZHei-B01" w:cs="FZHei-B01"/>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12</Pages>
  <Words>19294</Words>
  <Characters>20976</Characters>
  <Lines>157</Lines>
  <Paragraphs>44</Paragraphs>
  <TotalTime>14</TotalTime>
  <ScaleCrop>false</ScaleCrop>
  <LinksUpToDate>false</LinksUpToDate>
  <CharactersWithSpaces>21022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陶洋</cp:lastModifiedBy>
  <dcterms:modified xsi:type="dcterms:W3CDTF">2026-04-17T07:58:23Z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22848414D0BA4CAA99E61112188E4DA8</vt:lpwstr>
  </property>
</Properties>
</file>