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b/>
          <w:bCs/>
          <w:sz w:val="28"/>
          <w:szCs w:val="28"/>
          <w:lang w:val="en-US" w:eastAsia="zh-CN"/>
        </w:rPr>
      </w:pPr>
      <w:r>
        <w:rPr>
          <w:rFonts w:hint="eastAsia"/>
          <w:b/>
          <w:bCs/>
          <w:sz w:val="28"/>
          <w:szCs w:val="28"/>
        </w:rPr>
        <w:t>云南电力试验研究院（集团）有限公司</w:t>
      </w:r>
      <w:r>
        <w:rPr>
          <w:rFonts w:hint="eastAsia"/>
          <w:b/>
          <w:bCs/>
          <w:sz w:val="28"/>
          <w:szCs w:val="28"/>
          <w:lang w:val="en-US" w:eastAsia="zh-CN"/>
        </w:rPr>
        <w:t>一种新型防松鼠啃咬的光缆修复材料的研究与开发</w:t>
      </w:r>
      <w:r>
        <w:rPr>
          <w:rFonts w:hint="eastAsia"/>
          <w:b/>
          <w:bCs/>
          <w:sz w:val="28"/>
          <w:szCs w:val="28"/>
        </w:rPr>
        <w:t>采购技术规范书</w:t>
      </w:r>
    </w:p>
    <w:p>
      <w:pPr>
        <w:numPr>
          <w:ilvl w:val="0"/>
          <w:numId w:val="0"/>
        </w:numPr>
        <w:spacing w:line="360" w:lineRule="auto"/>
        <w:rPr>
          <w:rFonts w:hint="eastAsia" w:ascii="仿宋" w:hAnsi="仿宋" w:eastAsia="仿宋" w:cs="仿宋"/>
          <w:b/>
          <w:bCs/>
          <w:sz w:val="24"/>
          <w:szCs w:val="24"/>
        </w:rPr>
      </w:pPr>
      <w:bookmarkStart w:id="0" w:name="_Toc441159752"/>
      <w:bookmarkEnd w:id="0"/>
      <w:r>
        <w:rPr>
          <w:rFonts w:hint="eastAsia" w:ascii="仿宋" w:hAnsi="仿宋" w:eastAsia="仿宋" w:cs="仿宋"/>
          <w:b/>
          <w:bCs/>
          <w:sz w:val="24"/>
          <w:szCs w:val="24"/>
          <w:lang w:val="en-US" w:eastAsia="zh-CN"/>
        </w:rPr>
        <w:t>一</w:t>
      </w:r>
      <w:r>
        <w:rPr>
          <w:rFonts w:hint="eastAsia" w:ascii="仿宋" w:hAnsi="仿宋" w:eastAsia="仿宋" w:cs="仿宋"/>
          <w:b/>
          <w:bCs/>
          <w:sz w:val="24"/>
          <w:szCs w:val="24"/>
        </w:rPr>
        <w:t>.项目概要</w:t>
      </w:r>
    </w:p>
    <w:p>
      <w:pPr>
        <w:pStyle w:val="12"/>
        <w:adjustRightInd w:val="0"/>
        <w:snapToGrid w:val="0"/>
        <w:spacing w:after="0" w:line="360" w:lineRule="auto"/>
        <w:ind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松鼠因磨牙习性（咬合力达72±10N）及好奇心，常啃咬光缆导致信号中断，山区故障修复成本高昂</w:t>
      </w:r>
      <w:r>
        <w:rPr>
          <w:rFonts w:hint="default" w:ascii="仿宋" w:hAnsi="仿宋" w:eastAsia="仿宋" w:cs="仿宋"/>
          <w:kern w:val="2"/>
          <w:sz w:val="24"/>
          <w:szCs w:val="24"/>
          <w:lang w:val="en-US" w:eastAsia="zh-CN" w:bidi="ar-SA"/>
        </w:rPr>
        <w:t>。传统物理防护（如铠装）增加光缆重量，不利山林运输维护。本规范旨在</w:t>
      </w:r>
      <w:r>
        <w:rPr>
          <w:rFonts w:hint="eastAsia" w:ascii="仿宋" w:hAnsi="仿宋" w:eastAsia="仿宋" w:cs="仿宋"/>
          <w:kern w:val="2"/>
          <w:sz w:val="24"/>
          <w:szCs w:val="24"/>
          <w:lang w:val="en-US" w:eastAsia="zh-CN" w:bidi="ar-SA"/>
        </w:rPr>
        <w:t>研发</w:t>
      </w:r>
      <w:r>
        <w:rPr>
          <w:rFonts w:hint="default" w:ascii="仿宋" w:hAnsi="仿宋" w:eastAsia="仿宋" w:cs="仿宋"/>
          <w:kern w:val="2"/>
          <w:sz w:val="24"/>
          <w:szCs w:val="24"/>
          <w:lang w:val="en-US" w:eastAsia="zh-CN" w:bidi="ar-SA"/>
        </w:rPr>
        <w:t>一种兼具物理阻隔与行为驱避双重功能的环保</w:t>
      </w:r>
      <w:r>
        <w:rPr>
          <w:rFonts w:hint="eastAsia" w:ascii="仿宋" w:hAnsi="仿宋" w:eastAsia="仿宋" w:cs="仿宋"/>
          <w:kern w:val="2"/>
          <w:sz w:val="24"/>
          <w:szCs w:val="24"/>
          <w:lang w:val="en-US" w:eastAsia="zh-CN" w:bidi="ar-SA"/>
        </w:rPr>
        <w:t>材</w:t>
      </w:r>
      <w:r>
        <w:rPr>
          <w:rFonts w:hint="default" w:ascii="仿宋" w:hAnsi="仿宋" w:eastAsia="仿宋" w:cs="仿宋"/>
          <w:kern w:val="2"/>
          <w:sz w:val="24"/>
          <w:szCs w:val="24"/>
          <w:lang w:val="en-US" w:eastAsia="zh-CN" w:bidi="ar-SA"/>
        </w:rPr>
        <w:t>料，要求涂覆后能有效抵御松鼠啮咬，同时</w:t>
      </w:r>
      <w:r>
        <w:rPr>
          <w:rFonts w:hint="eastAsia" w:ascii="仿宋" w:hAnsi="仿宋" w:eastAsia="仿宋" w:cs="仿宋"/>
          <w:kern w:val="2"/>
          <w:sz w:val="24"/>
          <w:szCs w:val="24"/>
          <w:lang w:val="en-US" w:eastAsia="zh-CN" w:bidi="ar-SA"/>
        </w:rPr>
        <w:t>可修复外表轻微破损的光缆，且具有</w:t>
      </w:r>
      <w:r>
        <w:rPr>
          <w:rFonts w:hint="default" w:ascii="仿宋" w:hAnsi="仿宋" w:eastAsia="仿宋" w:cs="仿宋"/>
          <w:kern w:val="2"/>
          <w:sz w:val="24"/>
          <w:szCs w:val="24"/>
          <w:lang w:val="en-US" w:eastAsia="zh-CN" w:bidi="ar-SA"/>
        </w:rPr>
        <w:t>轻量化及长期稳定性</w:t>
      </w:r>
      <w:r>
        <w:rPr>
          <w:rFonts w:hint="eastAsia" w:ascii="仿宋" w:hAnsi="仿宋" w:eastAsia="仿宋" w:cs="仿宋"/>
          <w:kern w:val="2"/>
          <w:sz w:val="24"/>
          <w:szCs w:val="24"/>
          <w:lang w:val="en-US" w:eastAsia="zh-CN" w:bidi="ar-SA"/>
        </w:rPr>
        <w:t>能。</w:t>
      </w:r>
    </w:p>
    <w:p>
      <w:pPr>
        <w:numPr>
          <w:ilvl w:val="0"/>
          <w:numId w:val="0"/>
        </w:numPr>
        <w:spacing w:line="360" w:lineRule="auto"/>
        <w:rPr>
          <w:rFonts w:hint="eastAsia" w:ascii="仿宋" w:hAnsi="仿宋" w:eastAsia="仿宋" w:cs="仿宋"/>
          <w:b/>
          <w:bCs/>
          <w:sz w:val="24"/>
          <w:szCs w:val="24"/>
        </w:rPr>
      </w:pPr>
      <w:r>
        <w:rPr>
          <w:rFonts w:hint="eastAsia" w:ascii="仿宋" w:hAnsi="仿宋" w:eastAsia="仿宋" w:cs="仿宋"/>
          <w:b/>
          <w:bCs/>
          <w:sz w:val="24"/>
          <w:szCs w:val="24"/>
          <w:lang w:val="en-US" w:eastAsia="zh-CN"/>
        </w:rPr>
        <w:t>二</w:t>
      </w:r>
      <w:r>
        <w:rPr>
          <w:rFonts w:hint="eastAsia" w:ascii="仿宋" w:hAnsi="仿宋" w:eastAsia="仿宋" w:cs="仿宋"/>
          <w:b/>
          <w:bCs/>
          <w:sz w:val="24"/>
          <w:szCs w:val="24"/>
        </w:rPr>
        <w:t>.项目范围</w:t>
      </w:r>
    </w:p>
    <w:p>
      <w:pPr>
        <w:pStyle w:val="14"/>
        <w:spacing w:line="360" w:lineRule="auto"/>
        <w:ind w:firstLine="420"/>
        <w:rPr>
          <w:rFonts w:hint="eastAsia" w:ascii="仿宋" w:hAnsi="仿宋" w:eastAsia="仿宋" w:cs="仿宋"/>
          <w:b w:val="0"/>
          <w:bCs/>
          <w:i w:val="0"/>
          <w:color w:val="auto"/>
          <w:sz w:val="24"/>
          <w:szCs w:val="24"/>
          <w:highlight w:val="none"/>
          <w:u w:val="none"/>
          <w:lang w:val="en-US"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一</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研发</w:t>
      </w:r>
      <w:r>
        <w:rPr>
          <w:rFonts w:hint="eastAsia" w:ascii="仿宋" w:hAnsi="仿宋" w:eastAsia="仿宋" w:cs="仿宋"/>
          <w:b w:val="0"/>
          <w:bCs/>
          <w:i w:val="0"/>
          <w:color w:val="auto"/>
          <w:sz w:val="24"/>
          <w:szCs w:val="24"/>
          <w:highlight w:val="none"/>
          <w:u w:val="none"/>
          <w:lang w:val="en-US" w:eastAsia="zh-CN"/>
        </w:rPr>
        <w:t>一种新型防松鼠啃咬的光缆修复材料，该材料具有特殊的刺激气味，且在阳光下具有反光闪烁效果。</w:t>
      </w:r>
    </w:p>
    <w:p>
      <w:pPr>
        <w:pStyle w:val="25"/>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left"/>
        <w:textAlignment w:val="auto"/>
        <w:rPr>
          <w:rFonts w:hint="default" w:ascii="宋体" w:hAnsi="宋体" w:eastAsia="宋体" w:cs="宋体"/>
          <w:b w:val="0"/>
          <w:bCs/>
          <w:color w:val="auto"/>
          <w:sz w:val="24"/>
          <w:szCs w:val="24"/>
          <w:lang w:val="en-US" w:eastAsia="zh-CN"/>
        </w:rPr>
      </w:pPr>
      <w:r>
        <w:rPr>
          <w:rFonts w:hint="eastAsia" w:ascii="仿宋" w:hAnsi="仿宋" w:eastAsia="仿宋" w:cs="仿宋"/>
          <w:b w:val="0"/>
          <w:bCs/>
          <w:i w:val="0"/>
          <w:color w:val="auto"/>
          <w:sz w:val="24"/>
          <w:szCs w:val="24"/>
          <w:highlight w:val="none"/>
          <w:u w:val="none"/>
          <w:lang w:val="en-US" w:eastAsia="zh-CN"/>
        </w:rPr>
        <w:t>（</w:t>
      </w:r>
      <w:r>
        <w:rPr>
          <w:rFonts w:hint="eastAsia" w:ascii="仿宋" w:hAnsi="仿宋" w:eastAsia="仿宋" w:cs="仿宋"/>
          <w:b w:val="0"/>
          <w:bCs/>
          <w:i w:val="0"/>
          <w:color w:val="auto"/>
          <w:kern w:val="2"/>
          <w:sz w:val="24"/>
          <w:szCs w:val="24"/>
          <w:highlight w:val="none"/>
          <w:u w:val="none"/>
          <w:lang w:val="en-US" w:eastAsia="zh-CN" w:bidi="ar-SA"/>
        </w:rPr>
        <w:t>二）通过现有成熟机器喷涂的方式将该新型防松鼠啃咬材料喷涂在需要修复的ADSS光缆上，并观察防松鼠咬的效果。</w:t>
      </w:r>
    </w:p>
    <w:p>
      <w:pPr>
        <w:spacing w:line="360" w:lineRule="auto"/>
        <w:rPr>
          <w:rFonts w:hint="eastAsia" w:ascii="仿宋" w:hAnsi="仿宋" w:eastAsia="仿宋" w:cs="仿宋"/>
          <w:b/>
          <w:bCs/>
          <w:sz w:val="24"/>
          <w:szCs w:val="24"/>
        </w:rPr>
      </w:pPr>
      <w:r>
        <w:rPr>
          <w:rFonts w:hint="eastAsia" w:ascii="仿宋" w:hAnsi="仿宋" w:eastAsia="仿宋" w:cs="仿宋"/>
          <w:b/>
          <w:bCs/>
          <w:sz w:val="24"/>
          <w:szCs w:val="24"/>
        </w:rPr>
        <w:t>三.项目技术要求</w:t>
      </w:r>
    </w:p>
    <w:p>
      <w:pPr>
        <w:spacing w:beforeLines="0" w:afterLines="0" w:line="360" w:lineRule="auto"/>
        <w:ind w:firstLine="480" w:firstLineChars="200"/>
        <w:rPr>
          <w:rFonts w:hint="eastAsia" w:ascii="仿宋" w:hAnsi="仿宋" w:eastAsia="仿宋" w:cs="仿宋"/>
          <w:b w:val="0"/>
          <w:bCs/>
          <w:i w:val="0"/>
          <w:color w:val="auto"/>
          <w:sz w:val="24"/>
          <w:szCs w:val="24"/>
          <w:highlight w:val="none"/>
          <w:u w:val="none"/>
          <w:lang w:val="en-US" w:eastAsia="zh-CN"/>
        </w:rPr>
      </w:pPr>
      <w:r>
        <w:rPr>
          <w:rFonts w:hint="eastAsia" w:ascii="仿宋" w:hAnsi="仿宋" w:eastAsia="仿宋" w:cs="仿宋"/>
          <w:b w:val="0"/>
          <w:bCs/>
          <w:i w:val="0"/>
          <w:color w:val="auto"/>
          <w:sz w:val="24"/>
          <w:szCs w:val="24"/>
          <w:highlight w:val="none"/>
          <w:u w:val="none"/>
          <w:lang w:val="en-US" w:eastAsia="zh-CN"/>
        </w:rPr>
        <w:t>环保型防松鼠啃咬材料的技术参数如下：</w:t>
      </w:r>
    </w:p>
    <w:tbl>
      <w:tblPr>
        <w:tblStyle w:val="16"/>
        <w:tblW w:w="87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380"/>
        <w:gridCol w:w="1840"/>
        <w:gridCol w:w="47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0" w:type="dxa"/>
            <w:noWrap w:val="0"/>
            <w:vAlign w:val="center"/>
          </w:tcPr>
          <w:p>
            <w:pPr>
              <w:jc w:val="center"/>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序号</w:t>
            </w:r>
          </w:p>
        </w:tc>
        <w:tc>
          <w:tcPr>
            <w:tcW w:w="3220" w:type="dxa"/>
            <w:gridSpan w:val="2"/>
            <w:noWrap w:val="0"/>
            <w:vAlign w:val="center"/>
          </w:tcPr>
          <w:p>
            <w:pPr>
              <w:jc w:val="center"/>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项目</w:t>
            </w:r>
          </w:p>
        </w:tc>
        <w:tc>
          <w:tcPr>
            <w:tcW w:w="4791" w:type="dxa"/>
            <w:noWrap w:val="0"/>
            <w:vAlign w:val="center"/>
          </w:tcPr>
          <w:p>
            <w:pPr>
              <w:jc w:val="center"/>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参数值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0" w:type="dxa"/>
            <w:noWrap w:val="0"/>
            <w:vAlign w:val="center"/>
          </w:tcPr>
          <w:p>
            <w:pPr>
              <w:jc w:val="center"/>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1</w:t>
            </w:r>
          </w:p>
        </w:tc>
        <w:tc>
          <w:tcPr>
            <w:tcW w:w="3220" w:type="dxa"/>
            <w:gridSpan w:val="2"/>
            <w:noWrap w:val="0"/>
            <w:vAlign w:val="center"/>
          </w:tcPr>
          <w:p>
            <w:pPr>
              <w:jc w:val="center"/>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外观</w:t>
            </w:r>
          </w:p>
        </w:tc>
        <w:tc>
          <w:tcPr>
            <w:tcW w:w="4791" w:type="dxa"/>
            <w:noWrap w:val="0"/>
            <w:vAlign w:val="center"/>
          </w:tcPr>
          <w:p>
            <w:pPr>
              <w:jc w:val="center"/>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无杂质均匀可挤压可定型的银色反光膏状体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0" w:type="dxa"/>
            <w:noWrap w:val="0"/>
            <w:vAlign w:val="center"/>
          </w:tcPr>
          <w:p>
            <w:pPr>
              <w:jc w:val="center"/>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*2</w:t>
            </w:r>
          </w:p>
        </w:tc>
        <w:tc>
          <w:tcPr>
            <w:tcW w:w="3220" w:type="dxa"/>
            <w:gridSpan w:val="2"/>
            <w:noWrap w:val="0"/>
            <w:vAlign w:val="center"/>
          </w:tcPr>
          <w:p>
            <w:pPr>
              <w:jc w:val="center"/>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气味</w:t>
            </w:r>
          </w:p>
        </w:tc>
        <w:tc>
          <w:tcPr>
            <w:tcW w:w="4791" w:type="dxa"/>
            <w:noWrap w:val="0"/>
            <w:vAlign w:val="center"/>
          </w:tcPr>
          <w:p>
            <w:pPr>
              <w:jc w:val="center"/>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强烈辛辣苦气味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0" w:type="dxa"/>
            <w:noWrap w:val="0"/>
            <w:vAlign w:val="center"/>
          </w:tcPr>
          <w:p>
            <w:pPr>
              <w:jc w:val="center"/>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3</w:t>
            </w:r>
          </w:p>
        </w:tc>
        <w:tc>
          <w:tcPr>
            <w:tcW w:w="3220" w:type="dxa"/>
            <w:gridSpan w:val="2"/>
            <w:noWrap w:val="0"/>
            <w:vAlign w:val="center"/>
          </w:tcPr>
          <w:p>
            <w:pPr>
              <w:jc w:val="center"/>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表干时间（25℃）</w:t>
            </w:r>
          </w:p>
        </w:tc>
        <w:tc>
          <w:tcPr>
            <w:tcW w:w="4791" w:type="dxa"/>
            <w:noWrap w:val="0"/>
            <w:vAlign w:val="center"/>
          </w:tcPr>
          <w:p>
            <w:pPr>
              <w:jc w:val="center"/>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≤30min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0" w:type="dxa"/>
            <w:noWrap w:val="0"/>
            <w:vAlign w:val="center"/>
          </w:tcPr>
          <w:p>
            <w:pPr>
              <w:jc w:val="center"/>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4</w:t>
            </w:r>
          </w:p>
        </w:tc>
        <w:tc>
          <w:tcPr>
            <w:tcW w:w="3220" w:type="dxa"/>
            <w:gridSpan w:val="2"/>
            <w:noWrap w:val="0"/>
            <w:vAlign w:val="center"/>
          </w:tcPr>
          <w:p>
            <w:pPr>
              <w:jc w:val="center"/>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实干时间（25℃）</w:t>
            </w:r>
          </w:p>
        </w:tc>
        <w:tc>
          <w:tcPr>
            <w:tcW w:w="4791" w:type="dxa"/>
            <w:noWrap w:val="0"/>
            <w:vAlign w:val="center"/>
          </w:tcPr>
          <w:p>
            <w:pPr>
              <w:jc w:val="center"/>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≤24h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0" w:type="dxa"/>
            <w:noWrap w:val="0"/>
            <w:vAlign w:val="center"/>
          </w:tcPr>
          <w:p>
            <w:pPr>
              <w:jc w:val="center"/>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5</w:t>
            </w:r>
          </w:p>
        </w:tc>
        <w:tc>
          <w:tcPr>
            <w:tcW w:w="3220" w:type="dxa"/>
            <w:gridSpan w:val="2"/>
            <w:noWrap w:val="0"/>
            <w:vAlign w:val="center"/>
          </w:tcPr>
          <w:p>
            <w:pPr>
              <w:jc w:val="center"/>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拉伸强度</w:t>
            </w:r>
          </w:p>
        </w:tc>
        <w:tc>
          <w:tcPr>
            <w:tcW w:w="4791" w:type="dxa"/>
            <w:noWrap w:val="0"/>
            <w:vAlign w:val="center"/>
          </w:tcPr>
          <w:p>
            <w:pPr>
              <w:jc w:val="center"/>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≥3.0Mpa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0" w:type="dxa"/>
            <w:noWrap w:val="0"/>
            <w:vAlign w:val="center"/>
          </w:tcPr>
          <w:p>
            <w:pPr>
              <w:jc w:val="center"/>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6</w:t>
            </w:r>
          </w:p>
        </w:tc>
        <w:tc>
          <w:tcPr>
            <w:tcW w:w="3220" w:type="dxa"/>
            <w:gridSpan w:val="2"/>
            <w:noWrap w:val="0"/>
            <w:vAlign w:val="center"/>
          </w:tcPr>
          <w:p>
            <w:pPr>
              <w:jc w:val="center"/>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伸长率</w:t>
            </w:r>
          </w:p>
        </w:tc>
        <w:tc>
          <w:tcPr>
            <w:tcW w:w="4791" w:type="dxa"/>
            <w:noWrap w:val="0"/>
            <w:vAlign w:val="center"/>
          </w:tcPr>
          <w:p>
            <w:pPr>
              <w:jc w:val="center"/>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0" w:type="dxa"/>
            <w:noWrap w:val="0"/>
            <w:vAlign w:val="center"/>
          </w:tcPr>
          <w:p>
            <w:pPr>
              <w:jc w:val="center"/>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7</w:t>
            </w:r>
          </w:p>
        </w:tc>
        <w:tc>
          <w:tcPr>
            <w:tcW w:w="3220" w:type="dxa"/>
            <w:gridSpan w:val="2"/>
            <w:noWrap w:val="0"/>
            <w:vAlign w:val="center"/>
          </w:tcPr>
          <w:p>
            <w:pPr>
              <w:jc w:val="center"/>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邵氏硬度A</w:t>
            </w:r>
          </w:p>
        </w:tc>
        <w:tc>
          <w:tcPr>
            <w:tcW w:w="4791" w:type="dxa"/>
            <w:noWrap w:val="0"/>
            <w:vAlign w:val="center"/>
          </w:tcPr>
          <w:p>
            <w:pPr>
              <w:jc w:val="center"/>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0" w:type="dxa"/>
            <w:noWrap w:val="0"/>
            <w:vAlign w:val="center"/>
          </w:tcPr>
          <w:p>
            <w:pPr>
              <w:jc w:val="center"/>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8</w:t>
            </w:r>
          </w:p>
        </w:tc>
        <w:tc>
          <w:tcPr>
            <w:tcW w:w="3220" w:type="dxa"/>
            <w:gridSpan w:val="2"/>
            <w:noWrap w:val="0"/>
            <w:vAlign w:val="center"/>
          </w:tcPr>
          <w:p>
            <w:pPr>
              <w:jc w:val="center"/>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阻燃性</w:t>
            </w:r>
          </w:p>
        </w:tc>
        <w:tc>
          <w:tcPr>
            <w:tcW w:w="4791" w:type="dxa"/>
            <w:noWrap w:val="0"/>
            <w:vAlign w:val="center"/>
          </w:tcPr>
          <w:p>
            <w:pPr>
              <w:jc w:val="center"/>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FV-0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jc w:val="center"/>
        </w:trPr>
        <w:tc>
          <w:tcPr>
            <w:tcW w:w="700" w:type="dxa"/>
            <w:vMerge w:val="restart"/>
            <w:noWrap w:val="0"/>
            <w:vAlign w:val="center"/>
          </w:tcPr>
          <w:p>
            <w:pPr>
              <w:jc w:val="center"/>
              <w:rPr>
                <w:rFonts w:hint="eastAsia" w:ascii="仿宋" w:hAnsi="仿宋" w:eastAsia="仿宋" w:cs="仿宋"/>
                <w:color w:val="auto"/>
                <w:sz w:val="21"/>
                <w:szCs w:val="21"/>
                <w:vertAlign w:val="baseline"/>
                <w:lang w:val="en-US" w:eastAsia="zh-CN"/>
              </w:rPr>
            </w:pPr>
            <w:r>
              <w:rPr>
                <w:rFonts w:hint="eastAsia" w:ascii="仿宋" w:hAnsi="仿宋" w:eastAsia="仿宋" w:cs="仿宋"/>
                <w:color w:val="auto"/>
                <w:sz w:val="21"/>
                <w:szCs w:val="21"/>
                <w:vertAlign w:val="baseline"/>
                <w:lang w:val="en-US" w:eastAsia="zh-CN"/>
              </w:rPr>
              <w:t>*9</w:t>
            </w:r>
          </w:p>
        </w:tc>
        <w:tc>
          <w:tcPr>
            <w:tcW w:w="1380" w:type="dxa"/>
            <w:vMerge w:val="restart"/>
            <w:noWrap w:val="0"/>
            <w:vAlign w:val="center"/>
          </w:tcPr>
          <w:p>
            <w:pPr>
              <w:jc w:val="center"/>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空气箱老化（135℃，7d）</w:t>
            </w:r>
          </w:p>
        </w:tc>
        <w:tc>
          <w:tcPr>
            <w:tcW w:w="1840" w:type="dxa"/>
            <w:noWrap w:val="0"/>
            <w:vAlign w:val="center"/>
          </w:tcPr>
          <w:p>
            <w:pPr>
              <w:keepNext w:val="0"/>
              <w:keepLines w:val="0"/>
              <w:widowControl/>
              <w:suppressLineNumbers w:val="0"/>
              <w:jc w:val="center"/>
              <w:textAlignment w:val="center"/>
              <w:rPr>
                <w:rFonts w:hint="eastAsia" w:ascii="仿宋" w:hAnsi="仿宋" w:eastAsia="仿宋" w:cs="仿宋"/>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拉伸（抗张）强度变化率%</w:t>
            </w:r>
          </w:p>
        </w:tc>
        <w:tc>
          <w:tcPr>
            <w:tcW w:w="4791" w:type="dxa"/>
            <w:noWrap w:val="0"/>
            <w:vAlign w:val="center"/>
          </w:tcPr>
          <w:p>
            <w:pPr>
              <w:keepNext w:val="0"/>
              <w:keepLines w:val="0"/>
              <w:widowControl/>
              <w:suppressLineNumbers w:val="0"/>
              <w:jc w:val="center"/>
              <w:textAlignment w:val="center"/>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700" w:type="dxa"/>
            <w:vMerge w:val="continue"/>
            <w:noWrap w:val="0"/>
            <w:vAlign w:val="center"/>
          </w:tcPr>
          <w:p>
            <w:pPr>
              <w:jc w:val="center"/>
              <w:rPr>
                <w:rFonts w:hint="eastAsia" w:ascii="仿宋" w:hAnsi="仿宋" w:eastAsia="仿宋" w:cs="仿宋"/>
                <w:color w:val="auto"/>
                <w:sz w:val="21"/>
                <w:szCs w:val="21"/>
                <w:vertAlign w:val="baseline"/>
                <w:lang w:val="en-US" w:eastAsia="zh-CN"/>
              </w:rPr>
            </w:pPr>
          </w:p>
        </w:tc>
        <w:tc>
          <w:tcPr>
            <w:tcW w:w="1380" w:type="dxa"/>
            <w:vMerge w:val="continue"/>
            <w:noWrap w:val="0"/>
            <w:vAlign w:val="center"/>
          </w:tcPr>
          <w:p>
            <w:pPr>
              <w:jc w:val="center"/>
              <w:rPr>
                <w:rFonts w:hint="eastAsia" w:ascii="仿宋" w:hAnsi="仿宋" w:eastAsia="仿宋" w:cs="仿宋"/>
                <w:sz w:val="21"/>
                <w:szCs w:val="21"/>
                <w:vertAlign w:val="baseline"/>
                <w:lang w:val="en-US" w:eastAsia="zh-CN"/>
              </w:rPr>
            </w:pPr>
          </w:p>
        </w:tc>
        <w:tc>
          <w:tcPr>
            <w:tcW w:w="1840" w:type="dxa"/>
            <w:noWrap w:val="0"/>
            <w:vAlign w:val="center"/>
          </w:tcPr>
          <w:p>
            <w:pPr>
              <w:keepNext w:val="0"/>
              <w:keepLines w:val="0"/>
              <w:widowControl/>
              <w:suppressLineNumbers w:val="0"/>
              <w:jc w:val="center"/>
              <w:textAlignment w:val="center"/>
              <w:rPr>
                <w:rFonts w:hint="eastAsia" w:ascii="仿宋" w:hAnsi="仿宋" w:eastAsia="仿宋" w:cs="仿宋"/>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断裂伸长率变化率%</w:t>
            </w:r>
          </w:p>
        </w:tc>
        <w:tc>
          <w:tcPr>
            <w:tcW w:w="4791" w:type="dxa"/>
            <w:noWrap w:val="0"/>
            <w:vAlign w:val="center"/>
          </w:tcPr>
          <w:p>
            <w:pPr>
              <w:keepNext w:val="0"/>
              <w:keepLines w:val="0"/>
              <w:widowControl/>
              <w:suppressLineNumbers w:val="0"/>
              <w:jc w:val="center"/>
              <w:textAlignment w:val="center"/>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700" w:type="dxa"/>
            <w:vMerge w:val="restart"/>
            <w:noWrap w:val="0"/>
            <w:vAlign w:val="center"/>
          </w:tcPr>
          <w:p>
            <w:pPr>
              <w:jc w:val="center"/>
              <w:rPr>
                <w:rFonts w:hint="eastAsia" w:ascii="仿宋" w:hAnsi="仿宋" w:eastAsia="仿宋" w:cs="仿宋"/>
                <w:color w:val="auto"/>
                <w:sz w:val="21"/>
                <w:szCs w:val="21"/>
                <w:vertAlign w:val="baseline"/>
                <w:lang w:val="en-US" w:eastAsia="zh-CN"/>
              </w:rPr>
            </w:pPr>
            <w:r>
              <w:rPr>
                <w:rFonts w:hint="eastAsia" w:ascii="仿宋" w:hAnsi="仿宋" w:eastAsia="仿宋" w:cs="仿宋"/>
                <w:color w:val="auto"/>
                <w:sz w:val="21"/>
                <w:szCs w:val="21"/>
                <w:vertAlign w:val="baseline"/>
                <w:lang w:val="en-US" w:eastAsia="zh-CN"/>
              </w:rPr>
              <w:t>*10</w:t>
            </w:r>
          </w:p>
        </w:tc>
        <w:tc>
          <w:tcPr>
            <w:tcW w:w="1380" w:type="dxa"/>
            <w:vMerge w:val="restart"/>
            <w:noWrap w:val="0"/>
            <w:vAlign w:val="center"/>
          </w:tcPr>
          <w:p>
            <w:pPr>
              <w:jc w:val="center"/>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人工气候老化试验（1008h）</w:t>
            </w:r>
          </w:p>
        </w:tc>
        <w:tc>
          <w:tcPr>
            <w:tcW w:w="1840" w:type="dxa"/>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拉伸（抗张）强度变化率%</w:t>
            </w:r>
          </w:p>
        </w:tc>
        <w:tc>
          <w:tcPr>
            <w:tcW w:w="4791" w:type="dxa"/>
            <w:noWrap w:val="0"/>
            <w:vAlign w:val="center"/>
          </w:tcPr>
          <w:p>
            <w:pPr>
              <w:keepNext w:val="0"/>
              <w:keepLines w:val="0"/>
              <w:widowControl/>
              <w:suppressLineNumbers w:val="0"/>
              <w:jc w:val="center"/>
              <w:textAlignment w:val="center"/>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700" w:type="dxa"/>
            <w:vMerge w:val="continue"/>
            <w:noWrap w:val="0"/>
            <w:vAlign w:val="center"/>
          </w:tcPr>
          <w:p>
            <w:pPr>
              <w:jc w:val="center"/>
              <w:rPr>
                <w:rFonts w:hint="eastAsia" w:ascii="仿宋" w:hAnsi="仿宋" w:eastAsia="仿宋" w:cs="仿宋"/>
                <w:sz w:val="21"/>
                <w:szCs w:val="21"/>
                <w:vertAlign w:val="baseline"/>
                <w:lang w:val="en-US" w:eastAsia="zh-CN"/>
              </w:rPr>
            </w:pPr>
          </w:p>
        </w:tc>
        <w:tc>
          <w:tcPr>
            <w:tcW w:w="1380" w:type="dxa"/>
            <w:vMerge w:val="continue"/>
            <w:noWrap w:val="0"/>
            <w:vAlign w:val="center"/>
          </w:tcPr>
          <w:p>
            <w:pPr>
              <w:jc w:val="center"/>
              <w:rPr>
                <w:rFonts w:hint="eastAsia" w:ascii="仿宋" w:hAnsi="仿宋" w:eastAsia="仿宋" w:cs="仿宋"/>
                <w:sz w:val="21"/>
                <w:szCs w:val="21"/>
                <w:vertAlign w:val="baseline"/>
                <w:lang w:val="en-US" w:eastAsia="zh-CN"/>
              </w:rPr>
            </w:pPr>
          </w:p>
        </w:tc>
        <w:tc>
          <w:tcPr>
            <w:tcW w:w="1840" w:type="dxa"/>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断裂伸长率变化率%</w:t>
            </w:r>
          </w:p>
        </w:tc>
        <w:tc>
          <w:tcPr>
            <w:tcW w:w="4791" w:type="dxa"/>
            <w:noWrap w:val="0"/>
            <w:vAlign w:val="center"/>
          </w:tcPr>
          <w:p>
            <w:pPr>
              <w:keepNext w:val="0"/>
              <w:keepLines w:val="0"/>
              <w:widowControl/>
              <w:suppressLineNumbers w:val="0"/>
              <w:jc w:val="center"/>
              <w:textAlignment w:val="center"/>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±20</w:t>
            </w:r>
          </w:p>
        </w:tc>
      </w:tr>
    </w:tbl>
    <w:p>
      <w:pPr>
        <w:pStyle w:val="2"/>
        <w:rPr>
          <w:rFonts w:hint="default"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*为重点技术参数。</w:t>
      </w:r>
    </w:p>
    <w:p>
      <w:pPr>
        <w:spacing w:beforeLines="0" w:afterLines="0" w:line="360" w:lineRule="auto"/>
        <w:ind w:firstLine="480" w:firstLineChars="200"/>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施工工艺：</w:t>
      </w:r>
    </w:p>
    <w:p>
      <w:pPr>
        <w:spacing w:beforeLines="0" w:afterLines="0" w:line="360" w:lineRule="auto"/>
        <w:ind w:firstLine="480" w:firstLineChars="200"/>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通过喷涂机器将材料均匀地喷涂在需要修复的光缆表面，喷涂厚度在1-2mm，且材料不能滴落在地面或者树木表面，有效防止污染环境。材料室温固化，喷涂24小时后，材料完全固化，可在户外使用长达5年以上。</w:t>
      </w:r>
    </w:p>
    <w:p>
      <w:pPr>
        <w:spacing w:line="360" w:lineRule="auto"/>
        <w:rPr>
          <w:rFonts w:hint="eastAsia" w:ascii="仿宋" w:hAnsi="仿宋" w:eastAsia="仿宋" w:cs="仿宋"/>
          <w:b/>
          <w:bCs/>
          <w:sz w:val="24"/>
          <w:szCs w:val="24"/>
        </w:rPr>
      </w:pPr>
      <w:r>
        <w:rPr>
          <w:rFonts w:hint="eastAsia" w:ascii="仿宋" w:hAnsi="仿宋" w:eastAsia="仿宋" w:cs="仿宋"/>
          <w:b/>
          <w:bCs/>
          <w:sz w:val="24"/>
          <w:szCs w:val="24"/>
        </w:rPr>
        <w:t>四.服务要求</w:t>
      </w:r>
    </w:p>
    <w:p>
      <w:pPr>
        <w:widowControl/>
        <w:adjustRightInd w:val="0"/>
        <w:snapToGrid w:val="0"/>
        <w:spacing w:line="360" w:lineRule="auto"/>
        <w:jc w:val="left"/>
        <w:rPr>
          <w:rFonts w:hint="eastAsia" w:ascii="仿宋" w:hAnsi="仿宋" w:eastAsia="仿宋" w:cs="仿宋"/>
          <w:kern w:val="0"/>
          <w:sz w:val="24"/>
          <w:szCs w:val="24"/>
        </w:rPr>
      </w:pPr>
      <w:r>
        <w:rPr>
          <w:rFonts w:hint="eastAsia" w:ascii="仿宋" w:hAnsi="仿宋" w:eastAsia="仿宋" w:cs="仿宋"/>
          <w:b/>
          <w:bCs/>
          <w:kern w:val="0"/>
          <w:sz w:val="24"/>
          <w:szCs w:val="24"/>
        </w:rPr>
        <w:t>4.1 质量要求：</w:t>
      </w:r>
    </w:p>
    <w:p>
      <w:pPr>
        <w:widowControl/>
        <w:numPr>
          <w:ilvl w:val="0"/>
          <w:numId w:val="1"/>
        </w:numPr>
        <w:adjustRightInd w:val="0"/>
        <w:snapToGrid w:val="0"/>
        <w:spacing w:line="360" w:lineRule="auto"/>
        <w:jc w:val="left"/>
        <w:rPr>
          <w:rFonts w:hint="eastAsia" w:ascii="仿宋" w:hAnsi="仿宋" w:eastAsia="仿宋" w:cs="仿宋"/>
          <w:kern w:val="0"/>
          <w:sz w:val="24"/>
          <w:szCs w:val="24"/>
        </w:rPr>
      </w:pPr>
      <w:r>
        <w:rPr>
          <w:rFonts w:hint="eastAsia" w:ascii="仿宋" w:hAnsi="仿宋" w:eastAsia="仿宋" w:cs="仿宋"/>
          <w:kern w:val="0"/>
          <w:sz w:val="24"/>
          <w:szCs w:val="24"/>
        </w:rPr>
        <w:t>报价人需严格按照采购人要求实施质量管理。</w:t>
      </w:r>
    </w:p>
    <w:p>
      <w:pPr>
        <w:widowControl/>
        <w:numPr>
          <w:ilvl w:val="0"/>
          <w:numId w:val="1"/>
        </w:numPr>
        <w:adjustRightInd w:val="0"/>
        <w:snapToGrid w:val="0"/>
        <w:spacing w:line="360" w:lineRule="auto"/>
        <w:jc w:val="left"/>
        <w:rPr>
          <w:rFonts w:hint="eastAsia" w:ascii="仿宋" w:hAnsi="仿宋" w:eastAsia="仿宋" w:cs="仿宋"/>
          <w:kern w:val="0"/>
          <w:sz w:val="24"/>
          <w:szCs w:val="24"/>
        </w:rPr>
      </w:pPr>
      <w:r>
        <w:rPr>
          <w:rFonts w:hint="eastAsia" w:ascii="仿宋" w:hAnsi="仿宋" w:eastAsia="仿宋" w:cs="仿宋"/>
          <w:kern w:val="0"/>
          <w:sz w:val="24"/>
          <w:szCs w:val="24"/>
        </w:rPr>
        <w:t>报价人需要有独立的质量保证人员来配合采购人开展工作，从而保证工作过程和项目的质量。</w:t>
      </w:r>
    </w:p>
    <w:p>
      <w:pPr>
        <w:widowControl/>
        <w:numPr>
          <w:ilvl w:val="0"/>
          <w:numId w:val="1"/>
        </w:numPr>
        <w:adjustRightInd w:val="0"/>
        <w:snapToGrid w:val="0"/>
        <w:spacing w:line="360" w:lineRule="auto"/>
        <w:jc w:val="left"/>
        <w:rPr>
          <w:rFonts w:hint="eastAsia" w:ascii="仿宋" w:hAnsi="仿宋" w:eastAsia="仿宋" w:cs="仿宋"/>
          <w:kern w:val="0"/>
          <w:sz w:val="24"/>
          <w:szCs w:val="24"/>
        </w:rPr>
      </w:pPr>
      <w:r>
        <w:rPr>
          <w:rFonts w:hint="eastAsia" w:ascii="仿宋" w:hAnsi="仿宋" w:eastAsia="仿宋" w:cs="仿宋"/>
          <w:kern w:val="0"/>
          <w:sz w:val="24"/>
          <w:szCs w:val="24"/>
        </w:rPr>
        <w:t>报价人须配合采购人进行质量监测和关键点的质量评估。</w:t>
      </w:r>
    </w:p>
    <w:p>
      <w:pPr>
        <w:widowControl/>
        <w:numPr>
          <w:ilvl w:val="0"/>
          <w:numId w:val="1"/>
        </w:numPr>
        <w:adjustRightInd w:val="0"/>
        <w:snapToGrid w:val="0"/>
        <w:spacing w:line="360" w:lineRule="auto"/>
        <w:jc w:val="left"/>
        <w:rPr>
          <w:rFonts w:hint="eastAsia" w:ascii="仿宋" w:hAnsi="仿宋" w:eastAsia="仿宋" w:cs="仿宋"/>
          <w:kern w:val="0"/>
          <w:sz w:val="24"/>
          <w:szCs w:val="24"/>
        </w:rPr>
      </w:pPr>
      <w:r>
        <w:rPr>
          <w:rFonts w:hint="eastAsia" w:ascii="仿宋" w:hAnsi="仿宋" w:eastAsia="仿宋" w:cs="仿宋"/>
          <w:kern w:val="0"/>
          <w:sz w:val="24"/>
          <w:szCs w:val="24"/>
        </w:rPr>
        <w:t>报价人团队在项目实施过程中应给出具体的风险管控措施，识别项目风险。</w:t>
      </w:r>
    </w:p>
    <w:p>
      <w:pPr>
        <w:widowControl/>
        <w:adjustRightInd w:val="0"/>
        <w:snapToGrid w:val="0"/>
        <w:spacing w:line="360" w:lineRule="auto"/>
        <w:jc w:val="left"/>
        <w:rPr>
          <w:rFonts w:hint="eastAsia" w:ascii="仿宋" w:hAnsi="仿宋" w:eastAsia="仿宋" w:cs="仿宋"/>
          <w:b/>
          <w:bCs/>
          <w:kern w:val="0"/>
          <w:sz w:val="24"/>
          <w:szCs w:val="24"/>
        </w:rPr>
      </w:pPr>
      <w:r>
        <w:rPr>
          <w:rFonts w:hint="eastAsia" w:ascii="仿宋" w:hAnsi="仿宋" w:eastAsia="仿宋" w:cs="仿宋"/>
          <w:b/>
          <w:bCs/>
          <w:kern w:val="0"/>
          <w:sz w:val="24"/>
          <w:szCs w:val="24"/>
        </w:rPr>
        <w:t>4.2 进度要求：</w:t>
      </w:r>
    </w:p>
    <w:p>
      <w:pPr>
        <w:widowControl/>
        <w:numPr>
          <w:ilvl w:val="0"/>
          <w:numId w:val="2"/>
        </w:numPr>
        <w:adjustRightInd w:val="0"/>
        <w:snapToGrid w:val="0"/>
        <w:spacing w:line="360" w:lineRule="auto"/>
        <w:jc w:val="left"/>
        <w:rPr>
          <w:rFonts w:hint="eastAsia" w:ascii="仿宋" w:hAnsi="仿宋" w:eastAsia="仿宋" w:cs="仿宋"/>
          <w:kern w:val="0"/>
          <w:sz w:val="24"/>
          <w:szCs w:val="24"/>
        </w:rPr>
      </w:pPr>
      <w:r>
        <w:rPr>
          <w:rFonts w:hint="eastAsia" w:ascii="仿宋" w:hAnsi="仿宋" w:eastAsia="仿宋" w:cs="仿宋"/>
          <w:kern w:val="0"/>
          <w:sz w:val="24"/>
          <w:szCs w:val="24"/>
        </w:rPr>
        <w:t>报价人须严格按照</w:t>
      </w:r>
      <w:r>
        <w:rPr>
          <w:rFonts w:hint="eastAsia" w:ascii="仿宋" w:hAnsi="仿宋" w:eastAsia="仿宋" w:cs="仿宋"/>
          <w:sz w:val="24"/>
          <w:szCs w:val="24"/>
        </w:rPr>
        <w:t>项目</w:t>
      </w:r>
      <w:r>
        <w:rPr>
          <w:rFonts w:hint="eastAsia" w:ascii="仿宋" w:hAnsi="仿宋" w:eastAsia="仿宋" w:cs="仿宋"/>
          <w:kern w:val="0"/>
          <w:sz w:val="24"/>
          <w:szCs w:val="24"/>
        </w:rPr>
        <w:t>工期要求开展相关工作并提供详细进度计划表。</w:t>
      </w:r>
    </w:p>
    <w:p>
      <w:pPr>
        <w:widowControl/>
        <w:numPr>
          <w:ilvl w:val="0"/>
          <w:numId w:val="2"/>
        </w:numPr>
        <w:adjustRightInd w:val="0"/>
        <w:snapToGrid w:val="0"/>
        <w:spacing w:line="360" w:lineRule="auto"/>
        <w:jc w:val="left"/>
        <w:rPr>
          <w:rFonts w:hint="eastAsia" w:ascii="仿宋" w:hAnsi="仿宋" w:eastAsia="仿宋" w:cs="仿宋"/>
          <w:kern w:val="0"/>
          <w:sz w:val="24"/>
          <w:szCs w:val="24"/>
        </w:rPr>
      </w:pPr>
      <w:r>
        <w:rPr>
          <w:rFonts w:hint="eastAsia" w:ascii="仿宋" w:hAnsi="仿宋" w:eastAsia="仿宋" w:cs="仿宋"/>
          <w:kern w:val="0"/>
          <w:sz w:val="24"/>
          <w:szCs w:val="24"/>
        </w:rPr>
        <w:t>报价人须严格按照项目里程碑开展工作。采购人将根据里程碑和里程碑产出物审核报价人工作。</w:t>
      </w:r>
    </w:p>
    <w:p>
      <w:pPr>
        <w:widowControl/>
        <w:numPr>
          <w:ilvl w:val="0"/>
          <w:numId w:val="2"/>
        </w:numPr>
        <w:adjustRightInd w:val="0"/>
        <w:snapToGrid w:val="0"/>
        <w:spacing w:line="360" w:lineRule="auto"/>
        <w:jc w:val="left"/>
        <w:rPr>
          <w:rFonts w:hint="eastAsia" w:ascii="仿宋" w:hAnsi="仿宋" w:eastAsia="仿宋" w:cs="仿宋"/>
          <w:kern w:val="0"/>
          <w:sz w:val="24"/>
          <w:szCs w:val="24"/>
        </w:rPr>
      </w:pPr>
      <w:r>
        <w:rPr>
          <w:rFonts w:hint="eastAsia" w:ascii="仿宋" w:hAnsi="仿宋" w:eastAsia="仿宋" w:cs="仿宋"/>
          <w:kern w:val="0"/>
          <w:sz w:val="24"/>
          <w:szCs w:val="24"/>
        </w:rPr>
        <w:t>若由于报价人自身原因导致项目进度滞后于项目里程碑计划，采购人可追究报价人责任，每逾期一日，应向采购人支付总中标金额的</w:t>
      </w:r>
      <w:r>
        <w:rPr>
          <w:rFonts w:hint="eastAsia" w:ascii="仿宋" w:hAnsi="仿宋" w:eastAsia="仿宋" w:cs="仿宋"/>
          <w:kern w:val="0"/>
          <w:sz w:val="24"/>
          <w:szCs w:val="24"/>
          <w:u w:val="single"/>
        </w:rPr>
        <w:t xml:space="preserve"> 0.5 </w:t>
      </w:r>
      <w:r>
        <w:rPr>
          <w:rFonts w:hint="eastAsia" w:ascii="仿宋" w:hAnsi="仿宋" w:eastAsia="仿宋" w:cs="仿宋"/>
          <w:kern w:val="0"/>
          <w:sz w:val="24"/>
          <w:szCs w:val="24"/>
        </w:rPr>
        <w:t>‰违约金。</w:t>
      </w:r>
    </w:p>
    <w:p>
      <w:pPr>
        <w:widowControl/>
        <w:adjustRightInd w:val="0"/>
        <w:snapToGrid w:val="0"/>
        <w:spacing w:line="360" w:lineRule="auto"/>
        <w:jc w:val="left"/>
        <w:rPr>
          <w:rFonts w:hint="eastAsia" w:ascii="仿宋" w:hAnsi="仿宋" w:eastAsia="仿宋" w:cs="仿宋"/>
          <w:b/>
          <w:bCs/>
          <w:kern w:val="0"/>
          <w:sz w:val="24"/>
          <w:szCs w:val="24"/>
          <w:lang w:eastAsia="zh-CN"/>
        </w:rPr>
      </w:pPr>
      <w:r>
        <w:rPr>
          <w:rFonts w:hint="eastAsia" w:ascii="仿宋" w:hAnsi="仿宋" w:eastAsia="仿宋" w:cs="仿宋"/>
          <w:b/>
          <w:bCs/>
          <w:kern w:val="0"/>
          <w:sz w:val="24"/>
          <w:szCs w:val="24"/>
          <w:lang w:val="en-US" w:eastAsia="zh-CN"/>
        </w:rPr>
        <w:t>4.3</w:t>
      </w:r>
      <w:r>
        <w:rPr>
          <w:rFonts w:hint="eastAsia" w:ascii="仿宋" w:hAnsi="仿宋" w:eastAsia="仿宋" w:cs="仿宋"/>
          <w:b/>
          <w:bCs/>
          <w:kern w:val="0"/>
          <w:sz w:val="24"/>
          <w:szCs w:val="24"/>
        </w:rPr>
        <w:t>.知识产权事项</w:t>
      </w:r>
      <w:r>
        <w:rPr>
          <w:rFonts w:hint="eastAsia" w:ascii="仿宋" w:hAnsi="仿宋" w:eastAsia="仿宋" w:cs="仿宋"/>
          <w:b/>
          <w:bCs/>
          <w:kern w:val="0"/>
          <w:sz w:val="24"/>
          <w:szCs w:val="24"/>
          <w:lang w:eastAsia="zh-CN"/>
        </w:rPr>
        <w:t>：</w:t>
      </w:r>
    </w:p>
    <w:p>
      <w:pPr>
        <w:widowControl/>
        <w:numPr>
          <w:ilvl w:val="0"/>
          <w:numId w:val="3"/>
        </w:numPr>
        <w:adjustRightInd w:val="0"/>
        <w:snapToGrid w:val="0"/>
        <w:spacing w:line="360" w:lineRule="auto"/>
        <w:ind w:left="425" w:leftChars="0" w:hanging="425" w:firstLineChars="0"/>
        <w:jc w:val="left"/>
        <w:rPr>
          <w:rFonts w:hint="eastAsia" w:ascii="仿宋" w:hAnsi="仿宋" w:eastAsia="仿宋" w:cs="仿宋"/>
          <w:kern w:val="0"/>
          <w:sz w:val="24"/>
          <w:szCs w:val="24"/>
        </w:rPr>
      </w:pPr>
      <w:r>
        <w:rPr>
          <w:rFonts w:hint="eastAsia" w:ascii="仿宋" w:hAnsi="仿宋" w:eastAsia="仿宋" w:cs="仿宋"/>
          <w:kern w:val="0"/>
          <w:sz w:val="24"/>
          <w:szCs w:val="24"/>
        </w:rPr>
        <w:t>报价人利用采购人提供的技术资料和工作条件所完成的技术成果及所有相关权利，归采购人所有。</w:t>
      </w:r>
    </w:p>
    <w:p>
      <w:pPr>
        <w:widowControl/>
        <w:numPr>
          <w:ilvl w:val="0"/>
          <w:numId w:val="3"/>
        </w:numPr>
        <w:adjustRightInd w:val="0"/>
        <w:snapToGrid w:val="0"/>
        <w:spacing w:line="360" w:lineRule="auto"/>
        <w:ind w:left="425" w:leftChars="0" w:hanging="425" w:firstLineChars="0"/>
        <w:jc w:val="left"/>
        <w:rPr>
          <w:rFonts w:hint="eastAsia" w:ascii="仿宋" w:hAnsi="仿宋" w:eastAsia="仿宋" w:cs="仿宋"/>
          <w:kern w:val="0"/>
          <w:sz w:val="24"/>
          <w:szCs w:val="24"/>
        </w:rPr>
      </w:pPr>
      <w:r>
        <w:rPr>
          <w:rFonts w:hint="eastAsia" w:ascii="仿宋" w:hAnsi="仿宋" w:eastAsia="仿宋" w:cs="仿宋"/>
          <w:kern w:val="0"/>
          <w:sz w:val="24"/>
          <w:szCs w:val="24"/>
        </w:rPr>
        <w:t>采购人利用报价人提交的技术服务工作成果所完成的新的技术成果及所有相关权利，归采购人所有。</w:t>
      </w:r>
    </w:p>
    <w:p>
      <w:pPr>
        <w:widowControl/>
        <w:adjustRightInd w:val="0"/>
        <w:snapToGrid w:val="0"/>
        <w:spacing w:line="360" w:lineRule="auto"/>
        <w:jc w:val="left"/>
        <w:rPr>
          <w:rFonts w:hint="eastAsia" w:ascii="仿宋" w:hAnsi="仿宋" w:eastAsia="仿宋" w:cs="仿宋"/>
          <w:b/>
          <w:bCs/>
          <w:kern w:val="0"/>
          <w:sz w:val="24"/>
          <w:szCs w:val="24"/>
        </w:rPr>
      </w:pPr>
      <w:r>
        <w:rPr>
          <w:rFonts w:hint="eastAsia" w:ascii="仿宋" w:hAnsi="仿宋" w:eastAsia="仿宋" w:cs="仿宋"/>
          <w:b/>
          <w:bCs/>
          <w:kern w:val="0"/>
          <w:sz w:val="24"/>
          <w:szCs w:val="24"/>
        </w:rPr>
        <w:t>4.</w:t>
      </w:r>
      <w:r>
        <w:rPr>
          <w:rFonts w:hint="eastAsia" w:ascii="仿宋" w:hAnsi="仿宋" w:eastAsia="仿宋" w:cs="仿宋"/>
          <w:b/>
          <w:bCs/>
          <w:kern w:val="0"/>
          <w:sz w:val="24"/>
          <w:szCs w:val="24"/>
          <w:lang w:val="en-US" w:eastAsia="zh-CN"/>
        </w:rPr>
        <w:t>4</w:t>
      </w:r>
      <w:r>
        <w:rPr>
          <w:rFonts w:hint="eastAsia" w:ascii="仿宋" w:hAnsi="仿宋" w:eastAsia="仿宋" w:cs="仿宋"/>
          <w:b/>
          <w:bCs/>
          <w:kern w:val="0"/>
          <w:sz w:val="24"/>
          <w:szCs w:val="24"/>
        </w:rPr>
        <w:t>保密义务：</w:t>
      </w:r>
    </w:p>
    <w:p>
      <w:pPr>
        <w:keepNext w:val="0"/>
        <w:keepLines w:val="0"/>
        <w:pageBreakBefore w:val="0"/>
        <w:widowControl/>
        <w:numPr>
          <w:numId w:val="0"/>
        </w:numPr>
        <w:kinsoku/>
        <w:wordWrap/>
        <w:overflowPunct/>
        <w:topLinePunct w:val="0"/>
        <w:autoSpaceDE/>
        <w:autoSpaceDN/>
        <w:bidi w:val="0"/>
        <w:adjustRightInd w:val="0"/>
        <w:snapToGrid w:val="0"/>
        <w:spacing w:line="360" w:lineRule="auto"/>
        <w:ind w:leftChars="0" w:firstLine="480" w:firstLineChars="200"/>
        <w:jc w:val="left"/>
        <w:textAlignment w:val="auto"/>
        <w:rPr>
          <w:rFonts w:hint="eastAsia" w:ascii="仿宋" w:hAnsi="仿宋" w:eastAsia="仿宋" w:cs="仿宋"/>
          <w:kern w:val="0"/>
          <w:sz w:val="24"/>
          <w:szCs w:val="24"/>
          <w:lang w:val="zh-CN"/>
        </w:rPr>
      </w:pPr>
      <w:r>
        <w:rPr>
          <w:rFonts w:hint="eastAsia" w:ascii="仿宋" w:hAnsi="仿宋" w:eastAsia="仿宋" w:cs="仿宋"/>
          <w:kern w:val="0"/>
          <w:sz w:val="24"/>
          <w:szCs w:val="24"/>
        </w:rPr>
        <w:t>报价人</w:t>
      </w:r>
      <w:r>
        <w:rPr>
          <w:rFonts w:hint="eastAsia" w:ascii="仿宋" w:hAnsi="仿宋" w:eastAsia="仿宋" w:cs="仿宋"/>
          <w:kern w:val="0"/>
          <w:sz w:val="24"/>
          <w:szCs w:val="24"/>
          <w:lang w:val="zh-CN"/>
        </w:rPr>
        <w:t>应遵守如下保密义务：</w:t>
      </w:r>
    </w:p>
    <w:p>
      <w:pPr>
        <w:keepNext w:val="0"/>
        <w:keepLines w:val="0"/>
        <w:pageBreakBefore w:val="0"/>
        <w:widowControl/>
        <w:numPr>
          <w:numId w:val="0"/>
        </w:numPr>
        <w:kinsoku/>
        <w:wordWrap/>
        <w:overflowPunct/>
        <w:topLinePunct w:val="0"/>
        <w:autoSpaceDE/>
        <w:autoSpaceDN/>
        <w:bidi w:val="0"/>
        <w:adjustRightInd w:val="0"/>
        <w:snapToGrid w:val="0"/>
        <w:spacing w:line="360" w:lineRule="auto"/>
        <w:ind w:leftChars="0" w:firstLine="480" w:firstLineChars="200"/>
        <w:jc w:val="left"/>
        <w:textAlignment w:val="auto"/>
        <w:rPr>
          <w:rFonts w:hint="eastAsia" w:ascii="仿宋" w:hAnsi="仿宋" w:eastAsia="仿宋" w:cs="仿宋"/>
          <w:kern w:val="0"/>
          <w:sz w:val="24"/>
          <w:szCs w:val="24"/>
          <w:lang w:val="zh-CN"/>
        </w:rPr>
      </w:pPr>
      <w:r>
        <w:rPr>
          <w:rFonts w:hint="eastAsia" w:ascii="仿宋" w:hAnsi="仿宋" w:eastAsia="仿宋" w:cs="仿宋"/>
          <w:kern w:val="0"/>
          <w:sz w:val="24"/>
          <w:szCs w:val="24"/>
          <w:lang w:val="zh-CN"/>
        </w:rPr>
        <w:t>（</w:t>
      </w:r>
      <w:r>
        <w:rPr>
          <w:rFonts w:hint="eastAsia" w:ascii="仿宋" w:hAnsi="仿宋" w:eastAsia="仿宋" w:cs="仿宋"/>
          <w:kern w:val="0"/>
          <w:sz w:val="24"/>
          <w:szCs w:val="24"/>
          <w:lang w:val="en-US" w:eastAsia="zh-CN"/>
        </w:rPr>
        <w:t>1</w:t>
      </w:r>
      <w:r>
        <w:rPr>
          <w:rFonts w:hint="eastAsia" w:ascii="仿宋" w:hAnsi="仿宋" w:eastAsia="仿宋" w:cs="仿宋"/>
          <w:kern w:val="0"/>
          <w:sz w:val="24"/>
          <w:szCs w:val="24"/>
          <w:lang w:val="zh-CN"/>
        </w:rPr>
        <w:t>） 保密内容：包括但不限于因履行本合同而知悉</w:t>
      </w:r>
      <w:r>
        <w:rPr>
          <w:rFonts w:hint="eastAsia" w:ascii="仿宋" w:hAnsi="仿宋" w:eastAsia="仿宋" w:cs="仿宋"/>
          <w:kern w:val="0"/>
          <w:sz w:val="24"/>
          <w:szCs w:val="24"/>
          <w:lang w:val="en-US" w:eastAsia="zh-CN"/>
        </w:rPr>
        <w:t>的甲</w:t>
      </w:r>
      <w:r>
        <w:rPr>
          <w:rFonts w:hint="eastAsia" w:ascii="仿宋" w:hAnsi="仿宋" w:eastAsia="仿宋" w:cs="仿宋"/>
          <w:kern w:val="0"/>
          <w:sz w:val="24"/>
          <w:szCs w:val="24"/>
          <w:lang w:val="zh-CN"/>
        </w:rPr>
        <w:t>方商业秘密、</w:t>
      </w:r>
      <w:r>
        <w:rPr>
          <w:rFonts w:hint="eastAsia" w:ascii="仿宋" w:hAnsi="仿宋" w:eastAsia="仿宋" w:cs="仿宋"/>
          <w:kern w:val="0"/>
          <w:sz w:val="24"/>
          <w:szCs w:val="24"/>
          <w:lang w:val="en-US" w:eastAsia="zh-CN"/>
        </w:rPr>
        <w:t>工作秘密、敏感信息</w:t>
      </w:r>
      <w:r>
        <w:rPr>
          <w:rFonts w:hint="eastAsia" w:ascii="仿宋" w:hAnsi="仿宋" w:eastAsia="仿宋" w:cs="仿宋"/>
          <w:kern w:val="0"/>
          <w:sz w:val="24"/>
          <w:szCs w:val="24"/>
          <w:lang w:val="zh-CN"/>
        </w:rPr>
        <w:t>及其他非公开的技术和经营信息</w:t>
      </w:r>
      <w:r>
        <w:rPr>
          <w:rFonts w:hint="eastAsia" w:ascii="仿宋" w:hAnsi="仿宋" w:eastAsia="仿宋" w:cs="仿宋"/>
          <w:kern w:val="0"/>
          <w:sz w:val="24"/>
          <w:szCs w:val="24"/>
          <w:lang w:val="en-US" w:eastAsia="zh-CN"/>
        </w:rPr>
        <w:t>等</w:t>
      </w:r>
      <w:r>
        <w:rPr>
          <w:rFonts w:hint="eastAsia" w:ascii="仿宋" w:hAnsi="仿宋" w:eastAsia="仿宋" w:cs="仿宋"/>
          <w:kern w:val="0"/>
          <w:sz w:val="24"/>
          <w:szCs w:val="24"/>
          <w:lang w:val="zh-CN"/>
        </w:rPr>
        <w:t>。</w:t>
      </w:r>
    </w:p>
    <w:p>
      <w:pPr>
        <w:keepNext w:val="0"/>
        <w:keepLines w:val="0"/>
        <w:pageBreakBefore w:val="0"/>
        <w:widowControl/>
        <w:numPr>
          <w:numId w:val="0"/>
        </w:numPr>
        <w:kinsoku/>
        <w:wordWrap/>
        <w:overflowPunct/>
        <w:topLinePunct w:val="0"/>
        <w:autoSpaceDE/>
        <w:autoSpaceDN/>
        <w:bidi w:val="0"/>
        <w:adjustRightInd w:val="0"/>
        <w:snapToGrid w:val="0"/>
        <w:spacing w:line="360" w:lineRule="auto"/>
        <w:ind w:leftChars="0" w:firstLine="480" w:firstLineChars="200"/>
        <w:jc w:val="left"/>
        <w:textAlignment w:val="auto"/>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商业秘密是指在生产和经营活动中产生的不为公众知悉，影响公司安全、经济利益，并经公司采取保密措施的经营信息和技术信息。</w:t>
      </w:r>
    </w:p>
    <w:p>
      <w:pPr>
        <w:keepNext w:val="0"/>
        <w:keepLines w:val="0"/>
        <w:pageBreakBefore w:val="0"/>
        <w:widowControl/>
        <w:numPr>
          <w:numId w:val="0"/>
        </w:numPr>
        <w:kinsoku/>
        <w:wordWrap/>
        <w:overflowPunct/>
        <w:topLinePunct w:val="0"/>
        <w:autoSpaceDE/>
        <w:autoSpaceDN/>
        <w:bidi w:val="0"/>
        <w:adjustRightInd w:val="0"/>
        <w:snapToGrid w:val="0"/>
        <w:spacing w:line="360" w:lineRule="auto"/>
        <w:ind w:leftChars="0" w:firstLine="480" w:firstLineChars="200"/>
        <w:jc w:val="left"/>
        <w:textAlignment w:val="auto"/>
        <w:rPr>
          <w:rFonts w:hint="eastAsia" w:ascii="仿宋" w:hAnsi="仿宋" w:eastAsia="仿宋" w:cs="仿宋"/>
          <w:kern w:val="0"/>
          <w:sz w:val="24"/>
          <w:szCs w:val="24"/>
          <w:lang w:val="en-US" w:eastAsia="zh-CN"/>
        </w:rPr>
      </w:pPr>
      <w:r>
        <w:rPr>
          <w:rFonts w:hint="default" w:ascii="仿宋" w:hAnsi="仿宋" w:eastAsia="仿宋" w:cs="仿宋"/>
          <w:kern w:val="0"/>
          <w:sz w:val="24"/>
          <w:szCs w:val="24"/>
          <w:lang w:val="en-US" w:eastAsia="zh-CN"/>
        </w:rPr>
        <w:t>工作秘密是指泄露后会对</w:t>
      </w:r>
      <w:r>
        <w:rPr>
          <w:rFonts w:hint="eastAsia" w:ascii="仿宋" w:hAnsi="仿宋" w:eastAsia="仿宋" w:cs="仿宋"/>
          <w:kern w:val="0"/>
          <w:sz w:val="24"/>
          <w:szCs w:val="24"/>
          <w:lang w:val="en-US" w:eastAsia="zh-CN"/>
        </w:rPr>
        <w:t>甲方</w:t>
      </w:r>
      <w:r>
        <w:rPr>
          <w:rFonts w:hint="default" w:ascii="仿宋" w:hAnsi="仿宋" w:eastAsia="仿宋" w:cs="仿宋"/>
          <w:kern w:val="0"/>
          <w:sz w:val="24"/>
          <w:szCs w:val="24"/>
          <w:lang w:val="en-US" w:eastAsia="zh-CN"/>
        </w:rPr>
        <w:t>工作带来被动和损害的内部敏感信息</w:t>
      </w:r>
      <w:r>
        <w:rPr>
          <w:rFonts w:hint="eastAsia" w:ascii="仿宋" w:hAnsi="仿宋" w:eastAsia="仿宋" w:cs="仿宋"/>
          <w:kern w:val="0"/>
          <w:sz w:val="24"/>
          <w:szCs w:val="24"/>
          <w:lang w:val="en-US" w:eastAsia="zh-CN"/>
        </w:rPr>
        <w:t>，包括但不限于有关工作内部方案、讨论记录、过程稿、征求意见等。</w:t>
      </w:r>
    </w:p>
    <w:p>
      <w:pPr>
        <w:keepNext w:val="0"/>
        <w:keepLines w:val="0"/>
        <w:pageBreakBefore w:val="0"/>
        <w:widowControl/>
        <w:numPr>
          <w:numId w:val="0"/>
        </w:numPr>
        <w:kinsoku/>
        <w:wordWrap/>
        <w:overflowPunct/>
        <w:topLinePunct w:val="0"/>
        <w:autoSpaceDE/>
        <w:autoSpaceDN/>
        <w:bidi w:val="0"/>
        <w:adjustRightInd w:val="0"/>
        <w:snapToGrid w:val="0"/>
        <w:spacing w:line="360" w:lineRule="auto"/>
        <w:ind w:leftChars="0" w:firstLine="480" w:firstLineChars="200"/>
        <w:jc w:val="left"/>
        <w:textAlignment w:val="auto"/>
        <w:rPr>
          <w:rFonts w:hint="eastAsia" w:ascii="仿宋" w:hAnsi="仿宋" w:eastAsia="仿宋" w:cs="仿宋"/>
          <w:kern w:val="0"/>
          <w:sz w:val="24"/>
          <w:szCs w:val="24"/>
          <w:lang w:val="zh-CN"/>
        </w:rPr>
      </w:pPr>
      <w:r>
        <w:rPr>
          <w:rFonts w:hint="eastAsia" w:ascii="仿宋" w:hAnsi="仿宋" w:eastAsia="仿宋" w:cs="仿宋"/>
          <w:kern w:val="0"/>
          <w:sz w:val="24"/>
          <w:szCs w:val="24"/>
          <w:lang w:val="en-US" w:eastAsia="zh-CN"/>
        </w:rPr>
        <w:t>敏感信息内容包括但不限于：甲方员工个人信息、公司运行管理数据、业务生产敏感数据、公司重要工作文件等。</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Chars="0" w:firstLine="480" w:firstLineChars="200"/>
        <w:jc w:val="left"/>
        <w:textAlignment w:val="auto"/>
        <w:rPr>
          <w:rFonts w:hint="eastAsia" w:ascii="仿宋" w:hAnsi="仿宋" w:eastAsia="仿宋" w:cs="仿宋"/>
          <w:kern w:val="0"/>
          <w:sz w:val="24"/>
          <w:szCs w:val="24"/>
          <w:lang w:val="zh-CN"/>
        </w:rPr>
      </w:pPr>
      <w:r>
        <w:rPr>
          <w:rFonts w:hint="eastAsia" w:ascii="仿宋" w:hAnsi="仿宋" w:eastAsia="仿宋" w:cs="仿宋"/>
          <w:kern w:val="0"/>
          <w:sz w:val="24"/>
          <w:szCs w:val="24"/>
          <w:lang w:val="zh-CN"/>
        </w:rPr>
        <w:t>（</w:t>
      </w:r>
      <w:r>
        <w:rPr>
          <w:rFonts w:hint="eastAsia" w:ascii="仿宋" w:hAnsi="仿宋" w:eastAsia="仿宋" w:cs="仿宋"/>
          <w:kern w:val="0"/>
          <w:sz w:val="24"/>
          <w:szCs w:val="24"/>
          <w:lang w:val="en-US" w:eastAsia="zh-CN"/>
        </w:rPr>
        <w:t>2</w:t>
      </w:r>
      <w:r>
        <w:rPr>
          <w:rFonts w:hint="eastAsia" w:ascii="仿宋" w:hAnsi="仿宋" w:eastAsia="仿宋" w:cs="仿宋"/>
          <w:kern w:val="0"/>
          <w:sz w:val="24"/>
          <w:szCs w:val="24"/>
          <w:lang w:val="zh-CN"/>
        </w:rPr>
        <w:t>）涉密人员范围：参与实施本合同的</w:t>
      </w:r>
      <w:r>
        <w:rPr>
          <w:rFonts w:hint="eastAsia" w:ascii="仿宋" w:hAnsi="仿宋" w:eastAsia="仿宋" w:cs="仿宋"/>
          <w:kern w:val="0"/>
          <w:sz w:val="24"/>
          <w:szCs w:val="24"/>
          <w:lang w:val="en-US" w:eastAsia="zh-CN"/>
        </w:rPr>
        <w:t>乙</w:t>
      </w:r>
      <w:r>
        <w:rPr>
          <w:rFonts w:hint="eastAsia" w:ascii="仿宋" w:hAnsi="仿宋" w:eastAsia="仿宋" w:cs="仿宋"/>
          <w:kern w:val="0"/>
          <w:sz w:val="24"/>
          <w:szCs w:val="24"/>
          <w:lang w:val="zh-CN"/>
        </w:rPr>
        <w:t>方全体人员。</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Chars="0" w:firstLine="480" w:firstLineChars="200"/>
        <w:jc w:val="left"/>
        <w:textAlignment w:val="auto"/>
        <w:rPr>
          <w:rFonts w:hint="eastAsia" w:ascii="仿宋" w:hAnsi="仿宋" w:eastAsia="仿宋" w:cs="仿宋"/>
          <w:kern w:val="0"/>
          <w:sz w:val="24"/>
          <w:szCs w:val="24"/>
          <w:lang w:val="zh-CN"/>
        </w:rPr>
      </w:pPr>
      <w:r>
        <w:rPr>
          <w:rFonts w:hint="eastAsia" w:ascii="仿宋" w:hAnsi="仿宋" w:eastAsia="仿宋" w:cs="仿宋"/>
          <w:kern w:val="0"/>
          <w:sz w:val="24"/>
          <w:szCs w:val="24"/>
          <w:lang w:val="zh-CN"/>
        </w:rPr>
        <w:t>（</w:t>
      </w:r>
      <w:r>
        <w:rPr>
          <w:rFonts w:hint="eastAsia" w:ascii="仿宋" w:hAnsi="仿宋" w:eastAsia="仿宋" w:cs="仿宋"/>
          <w:kern w:val="0"/>
          <w:sz w:val="24"/>
          <w:szCs w:val="24"/>
          <w:lang w:val="en-US" w:eastAsia="zh-CN"/>
        </w:rPr>
        <w:t>3</w:t>
      </w:r>
      <w:r>
        <w:rPr>
          <w:rFonts w:hint="eastAsia" w:ascii="仿宋" w:hAnsi="仿宋" w:eastAsia="仿宋" w:cs="仿宋"/>
          <w:kern w:val="0"/>
          <w:sz w:val="24"/>
          <w:szCs w:val="24"/>
          <w:lang w:val="zh-CN"/>
        </w:rPr>
        <w:t>）保密期限：合同签订后至</w:t>
      </w:r>
      <w:r>
        <w:rPr>
          <w:rFonts w:hint="eastAsia" w:ascii="仿宋" w:hAnsi="仿宋" w:eastAsia="仿宋" w:cs="仿宋"/>
          <w:kern w:val="0"/>
          <w:sz w:val="24"/>
          <w:szCs w:val="24"/>
          <w:lang w:val="en-US" w:eastAsia="zh-CN"/>
        </w:rPr>
        <w:t>甲</w:t>
      </w:r>
      <w:r>
        <w:rPr>
          <w:rFonts w:hint="eastAsia" w:ascii="仿宋" w:hAnsi="仿宋" w:eastAsia="仿宋" w:cs="仿宋"/>
          <w:kern w:val="0"/>
          <w:sz w:val="24"/>
          <w:szCs w:val="24"/>
          <w:lang w:val="zh-CN"/>
        </w:rPr>
        <w:t>方书面声明放弃该保密权利之日止。</w:t>
      </w:r>
    </w:p>
    <w:p>
      <w:pPr>
        <w:pStyle w:val="2"/>
        <w:rPr>
          <w:rFonts w:hint="eastAsia" w:ascii="仿宋" w:hAnsi="仿宋" w:eastAsia="仿宋" w:cs="仿宋"/>
          <w:b/>
          <w:bCs/>
          <w:kern w:val="0"/>
          <w:sz w:val="24"/>
          <w:szCs w:val="24"/>
        </w:rPr>
      </w:pPr>
    </w:p>
    <w:p>
      <w:pPr>
        <w:widowControl/>
        <w:adjustRightInd w:val="0"/>
        <w:snapToGrid w:val="0"/>
        <w:spacing w:line="360" w:lineRule="auto"/>
        <w:jc w:val="left"/>
        <w:rPr>
          <w:rFonts w:hint="eastAsia" w:ascii="仿宋" w:hAnsi="仿宋" w:eastAsia="仿宋" w:cs="仿宋"/>
          <w:kern w:val="0"/>
          <w:sz w:val="24"/>
          <w:szCs w:val="24"/>
        </w:rPr>
      </w:pPr>
      <w:r>
        <w:rPr>
          <w:rFonts w:hint="eastAsia" w:ascii="仿宋" w:hAnsi="仿宋" w:eastAsia="仿宋" w:cs="仿宋"/>
          <w:b/>
          <w:bCs/>
          <w:kern w:val="0"/>
          <w:sz w:val="24"/>
          <w:szCs w:val="24"/>
        </w:rPr>
        <w:t>4.</w:t>
      </w:r>
      <w:r>
        <w:rPr>
          <w:rFonts w:hint="eastAsia" w:ascii="仿宋" w:hAnsi="仿宋" w:eastAsia="仿宋" w:cs="仿宋"/>
          <w:b/>
          <w:bCs/>
          <w:kern w:val="0"/>
          <w:sz w:val="24"/>
          <w:szCs w:val="24"/>
          <w:lang w:val="en-US" w:eastAsia="zh-CN"/>
        </w:rPr>
        <w:t>5</w:t>
      </w:r>
      <w:r>
        <w:rPr>
          <w:rFonts w:hint="eastAsia" w:ascii="仿宋" w:hAnsi="仿宋" w:eastAsia="仿宋" w:cs="仿宋"/>
          <w:b/>
          <w:bCs/>
          <w:kern w:val="0"/>
          <w:sz w:val="24"/>
          <w:szCs w:val="24"/>
        </w:rPr>
        <w:t xml:space="preserve"> 标的物交付时间：</w:t>
      </w:r>
    </w:p>
    <w:p>
      <w:pPr>
        <w:widowControl/>
        <w:numPr>
          <w:ilvl w:val="0"/>
          <w:numId w:val="4"/>
        </w:numPr>
        <w:adjustRightInd w:val="0"/>
        <w:snapToGrid w:val="0"/>
        <w:spacing w:line="360" w:lineRule="auto"/>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服务期限：</w:t>
      </w:r>
      <w:r>
        <w:rPr>
          <w:rFonts w:hint="eastAsia" w:ascii="仿宋" w:hAnsi="仿宋" w:eastAsia="仿宋" w:cs="仿宋"/>
          <w:kern w:val="0"/>
          <w:sz w:val="24"/>
          <w:szCs w:val="24"/>
          <w:lang w:val="en-US" w:eastAsia="zh-CN"/>
        </w:rPr>
        <w:t>自</w:t>
      </w:r>
      <w:r>
        <w:rPr>
          <w:rFonts w:hint="eastAsia" w:ascii="仿宋" w:hAnsi="仿宋" w:eastAsia="仿宋" w:cs="仿宋"/>
          <w:kern w:val="0"/>
          <w:sz w:val="24"/>
          <w:szCs w:val="24"/>
        </w:rPr>
        <w:t>中标通知书发布之日起</w:t>
      </w:r>
      <w:r>
        <w:rPr>
          <w:rFonts w:hint="eastAsia" w:ascii="仿宋" w:hAnsi="仿宋" w:eastAsia="仿宋" w:cs="仿宋"/>
          <w:color w:val="auto"/>
          <w:kern w:val="0"/>
          <w:sz w:val="24"/>
          <w:szCs w:val="24"/>
          <w:lang w:eastAsia="zh-CN"/>
        </w:rPr>
        <w:t>至</w:t>
      </w:r>
      <w:r>
        <w:rPr>
          <w:rFonts w:hint="eastAsia" w:ascii="仿宋" w:hAnsi="仿宋" w:eastAsia="仿宋" w:cs="仿宋"/>
          <w:color w:val="auto"/>
          <w:kern w:val="0"/>
          <w:sz w:val="24"/>
          <w:szCs w:val="24"/>
        </w:rPr>
        <w:t>202</w:t>
      </w:r>
      <w:r>
        <w:rPr>
          <w:rFonts w:hint="eastAsia" w:ascii="仿宋" w:hAnsi="仿宋" w:eastAsia="仿宋" w:cs="仿宋"/>
          <w:color w:val="auto"/>
          <w:kern w:val="0"/>
          <w:sz w:val="24"/>
          <w:szCs w:val="24"/>
          <w:lang w:val="en-US" w:eastAsia="zh-CN"/>
        </w:rPr>
        <w:t>6</w:t>
      </w:r>
      <w:r>
        <w:rPr>
          <w:rFonts w:hint="eastAsia" w:ascii="仿宋" w:hAnsi="仿宋" w:eastAsia="仿宋" w:cs="仿宋"/>
          <w:color w:val="auto"/>
          <w:kern w:val="0"/>
          <w:sz w:val="24"/>
          <w:szCs w:val="24"/>
        </w:rPr>
        <w:t>年</w:t>
      </w:r>
      <w:r>
        <w:rPr>
          <w:rFonts w:hint="eastAsia" w:ascii="仿宋" w:hAnsi="仿宋" w:eastAsia="仿宋" w:cs="仿宋"/>
          <w:color w:val="auto"/>
          <w:kern w:val="0"/>
          <w:sz w:val="24"/>
          <w:szCs w:val="24"/>
          <w:lang w:val="en-US" w:eastAsia="zh-CN"/>
        </w:rPr>
        <w:t>12</w:t>
      </w:r>
      <w:r>
        <w:rPr>
          <w:rFonts w:hint="eastAsia" w:ascii="仿宋" w:hAnsi="仿宋" w:eastAsia="仿宋" w:cs="仿宋"/>
          <w:color w:val="auto"/>
          <w:kern w:val="0"/>
          <w:sz w:val="24"/>
          <w:szCs w:val="24"/>
        </w:rPr>
        <w:t>月</w:t>
      </w:r>
      <w:r>
        <w:rPr>
          <w:rFonts w:hint="eastAsia" w:ascii="仿宋" w:hAnsi="仿宋" w:eastAsia="仿宋" w:cs="仿宋"/>
          <w:color w:val="auto"/>
          <w:kern w:val="0"/>
          <w:sz w:val="24"/>
          <w:szCs w:val="24"/>
          <w:lang w:val="en-US" w:eastAsia="zh-CN"/>
        </w:rPr>
        <w:t>20日</w:t>
      </w:r>
      <w:r>
        <w:rPr>
          <w:rFonts w:hint="eastAsia" w:ascii="仿宋" w:hAnsi="仿宋" w:eastAsia="仿宋" w:cs="仿宋"/>
          <w:color w:val="auto"/>
          <w:kern w:val="0"/>
          <w:sz w:val="24"/>
          <w:szCs w:val="24"/>
        </w:rPr>
        <w:t>。</w:t>
      </w:r>
    </w:p>
    <w:p>
      <w:pPr>
        <w:widowControl/>
        <w:numPr>
          <w:ilvl w:val="0"/>
          <w:numId w:val="4"/>
        </w:numPr>
        <w:adjustRightInd w:val="0"/>
        <w:snapToGrid w:val="0"/>
        <w:spacing w:line="360" w:lineRule="auto"/>
        <w:jc w:val="left"/>
        <w:rPr>
          <w:rFonts w:hint="eastAsia" w:ascii="仿宋" w:hAnsi="仿宋" w:eastAsia="仿宋" w:cs="仿宋"/>
          <w:kern w:val="0"/>
          <w:sz w:val="24"/>
          <w:szCs w:val="24"/>
        </w:rPr>
      </w:pPr>
      <w:r>
        <w:rPr>
          <w:rFonts w:hint="eastAsia" w:ascii="仿宋" w:hAnsi="仿宋" w:eastAsia="仿宋" w:cs="仿宋"/>
          <w:kern w:val="0"/>
          <w:sz w:val="24"/>
          <w:szCs w:val="24"/>
        </w:rPr>
        <w:t>如中标人逾期提供交付物，取消中标人中标资格，并依法追究其法律责任。</w:t>
      </w:r>
    </w:p>
    <w:p>
      <w:pPr>
        <w:spacing w:line="360" w:lineRule="auto"/>
        <w:rPr>
          <w:rFonts w:hint="eastAsia" w:ascii="仿宋" w:hAnsi="仿宋" w:eastAsia="仿宋" w:cs="仿宋"/>
          <w:b/>
          <w:bCs/>
          <w:kern w:val="0"/>
          <w:sz w:val="24"/>
          <w:szCs w:val="24"/>
        </w:rPr>
      </w:pPr>
      <w:r>
        <w:rPr>
          <w:rFonts w:hint="eastAsia" w:ascii="仿宋" w:hAnsi="仿宋" w:eastAsia="仿宋" w:cs="仿宋"/>
          <w:b/>
          <w:bCs/>
          <w:kern w:val="0"/>
          <w:sz w:val="24"/>
          <w:szCs w:val="24"/>
        </w:rPr>
        <w:t>4.</w:t>
      </w:r>
      <w:r>
        <w:rPr>
          <w:rFonts w:hint="eastAsia" w:ascii="仿宋" w:hAnsi="仿宋" w:eastAsia="仿宋" w:cs="仿宋"/>
          <w:b/>
          <w:bCs/>
          <w:kern w:val="0"/>
          <w:sz w:val="24"/>
          <w:szCs w:val="24"/>
          <w:lang w:val="en-US" w:eastAsia="zh-CN"/>
        </w:rPr>
        <w:t>6</w:t>
      </w:r>
      <w:r>
        <w:rPr>
          <w:rFonts w:hint="eastAsia" w:ascii="仿宋" w:hAnsi="仿宋" w:eastAsia="仿宋" w:cs="仿宋"/>
          <w:b/>
          <w:bCs/>
          <w:kern w:val="0"/>
          <w:sz w:val="24"/>
          <w:szCs w:val="24"/>
        </w:rPr>
        <w:t xml:space="preserve"> 验收地点：</w:t>
      </w:r>
    </w:p>
    <w:p>
      <w:pPr>
        <w:widowControl/>
        <w:adjustRightInd w:val="0"/>
        <w:snapToGrid w:val="0"/>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 xml:space="preserve">采购人指定地点。 </w:t>
      </w:r>
    </w:p>
    <w:p>
      <w:pPr>
        <w:widowControl/>
        <w:adjustRightInd w:val="0"/>
        <w:snapToGrid w:val="0"/>
        <w:spacing w:line="360" w:lineRule="auto"/>
        <w:jc w:val="left"/>
        <w:rPr>
          <w:rFonts w:hint="eastAsia" w:ascii="仿宋" w:hAnsi="仿宋" w:eastAsia="仿宋" w:cs="仿宋"/>
          <w:b/>
          <w:bCs/>
          <w:kern w:val="0"/>
          <w:sz w:val="24"/>
          <w:szCs w:val="24"/>
        </w:rPr>
      </w:pPr>
      <w:r>
        <w:rPr>
          <w:rFonts w:hint="eastAsia" w:ascii="仿宋" w:hAnsi="仿宋" w:eastAsia="仿宋" w:cs="仿宋"/>
          <w:b/>
          <w:bCs/>
          <w:kern w:val="0"/>
          <w:sz w:val="24"/>
          <w:szCs w:val="24"/>
        </w:rPr>
        <w:t>4.</w:t>
      </w:r>
      <w:r>
        <w:rPr>
          <w:rFonts w:hint="eastAsia" w:ascii="仿宋" w:hAnsi="仿宋" w:eastAsia="仿宋" w:cs="仿宋"/>
          <w:b/>
          <w:bCs/>
          <w:kern w:val="0"/>
          <w:sz w:val="24"/>
          <w:szCs w:val="24"/>
          <w:lang w:val="en-US" w:eastAsia="zh-CN"/>
        </w:rPr>
        <w:t>7</w:t>
      </w:r>
      <w:r>
        <w:rPr>
          <w:rFonts w:hint="eastAsia" w:ascii="仿宋" w:hAnsi="仿宋" w:eastAsia="仿宋" w:cs="仿宋"/>
          <w:b/>
          <w:bCs/>
          <w:kern w:val="0"/>
          <w:sz w:val="24"/>
          <w:szCs w:val="24"/>
        </w:rPr>
        <w:t xml:space="preserve"> 售后服务承诺：</w:t>
      </w:r>
    </w:p>
    <w:p>
      <w:pPr>
        <w:widowControl/>
        <w:numPr>
          <w:ilvl w:val="0"/>
          <w:numId w:val="5"/>
        </w:numPr>
        <w:adjustRightInd w:val="0"/>
        <w:snapToGrid w:val="0"/>
        <w:spacing w:line="360" w:lineRule="auto"/>
        <w:jc w:val="left"/>
        <w:rPr>
          <w:rFonts w:hint="eastAsia" w:ascii="仿宋" w:hAnsi="仿宋" w:eastAsia="仿宋" w:cs="仿宋"/>
          <w:kern w:val="0"/>
          <w:sz w:val="24"/>
          <w:szCs w:val="24"/>
        </w:rPr>
      </w:pPr>
      <w:r>
        <w:rPr>
          <w:rFonts w:hint="eastAsia" w:ascii="仿宋" w:hAnsi="仿宋" w:eastAsia="仿宋" w:cs="仿宋"/>
          <w:kern w:val="0"/>
          <w:sz w:val="24"/>
          <w:szCs w:val="24"/>
        </w:rPr>
        <w:t>报价人在接到采购人工作安排通知后的</w:t>
      </w:r>
      <w:r>
        <w:rPr>
          <w:rFonts w:hint="eastAsia" w:ascii="仿宋" w:hAnsi="仿宋" w:eastAsia="仿宋" w:cs="仿宋"/>
          <w:kern w:val="0"/>
          <w:sz w:val="24"/>
          <w:szCs w:val="24"/>
          <w:u w:val="single"/>
        </w:rPr>
        <w:t xml:space="preserve"> 24 </w:t>
      </w:r>
      <w:r>
        <w:rPr>
          <w:rFonts w:hint="eastAsia" w:ascii="仿宋" w:hAnsi="仿宋" w:eastAsia="仿宋" w:cs="仿宋"/>
          <w:kern w:val="0"/>
          <w:sz w:val="24"/>
          <w:szCs w:val="24"/>
        </w:rPr>
        <w:t>小时内答复并处理问题。</w:t>
      </w:r>
    </w:p>
    <w:p>
      <w:pPr>
        <w:widowControl/>
        <w:numPr>
          <w:ilvl w:val="0"/>
          <w:numId w:val="5"/>
        </w:numPr>
        <w:adjustRightInd w:val="0"/>
        <w:snapToGrid w:val="0"/>
        <w:spacing w:line="360" w:lineRule="auto"/>
        <w:jc w:val="left"/>
        <w:rPr>
          <w:rFonts w:hint="eastAsia" w:ascii="仿宋" w:hAnsi="仿宋" w:eastAsia="仿宋" w:cs="仿宋"/>
          <w:kern w:val="0"/>
          <w:sz w:val="24"/>
          <w:szCs w:val="24"/>
        </w:rPr>
      </w:pPr>
      <w:r>
        <w:rPr>
          <w:rFonts w:hint="eastAsia" w:ascii="仿宋" w:hAnsi="仿宋" w:eastAsia="仿宋" w:cs="仿宋"/>
          <w:kern w:val="0"/>
          <w:sz w:val="24"/>
          <w:szCs w:val="24"/>
        </w:rPr>
        <w:t>报价人应及时提供与本技术规范书有关的服务。</w:t>
      </w:r>
    </w:p>
    <w:p>
      <w:pPr>
        <w:spacing w:line="360" w:lineRule="auto"/>
        <w:rPr>
          <w:rFonts w:hint="eastAsia" w:ascii="仿宋" w:hAnsi="仿宋" w:eastAsia="仿宋" w:cs="仿宋"/>
          <w:b/>
          <w:bCs/>
          <w:sz w:val="24"/>
          <w:szCs w:val="24"/>
        </w:rPr>
      </w:pPr>
      <w:r>
        <w:rPr>
          <w:rFonts w:hint="eastAsia" w:ascii="仿宋" w:hAnsi="仿宋" w:eastAsia="仿宋" w:cs="仿宋"/>
          <w:b/>
          <w:bCs/>
          <w:sz w:val="24"/>
          <w:szCs w:val="24"/>
        </w:rPr>
        <w:t>4.</w:t>
      </w:r>
      <w:r>
        <w:rPr>
          <w:rFonts w:hint="eastAsia" w:ascii="仿宋" w:hAnsi="仿宋" w:eastAsia="仿宋" w:cs="仿宋"/>
          <w:b/>
          <w:bCs/>
          <w:sz w:val="24"/>
          <w:szCs w:val="24"/>
          <w:lang w:val="en-US" w:eastAsia="zh-CN"/>
        </w:rPr>
        <w:t>8</w:t>
      </w:r>
      <w:r>
        <w:rPr>
          <w:rFonts w:hint="eastAsia" w:ascii="仿宋" w:hAnsi="仿宋" w:eastAsia="仿宋" w:cs="仿宋"/>
          <w:b/>
          <w:bCs/>
          <w:sz w:val="24"/>
          <w:szCs w:val="24"/>
        </w:rPr>
        <w:t xml:space="preserve"> 交付成果、验收</w:t>
      </w:r>
    </w:p>
    <w:p>
      <w:pPr>
        <w:widowControl/>
        <w:adjustRightInd w:val="0"/>
        <w:snapToGrid w:val="0"/>
        <w:spacing w:line="360" w:lineRule="auto"/>
        <w:ind w:firstLine="480" w:firstLineChars="200"/>
        <w:jc w:val="left"/>
        <w:rPr>
          <w:sz w:val="24"/>
          <w:szCs w:val="24"/>
        </w:rPr>
      </w:pPr>
      <w:r>
        <w:rPr>
          <w:rFonts w:hint="eastAsia" w:ascii="仿宋" w:hAnsi="仿宋" w:eastAsia="仿宋" w:cs="仿宋"/>
          <w:sz w:val="24"/>
          <w:szCs w:val="24"/>
        </w:rPr>
        <w:t>报价人按采购人要求完成项目即达到验收条件，</w:t>
      </w:r>
      <w:r>
        <w:rPr>
          <w:rFonts w:hint="eastAsia" w:ascii="仿宋" w:hAnsi="仿宋" w:eastAsia="仿宋" w:cs="仿宋"/>
          <w:kern w:val="0"/>
          <w:sz w:val="24"/>
          <w:szCs w:val="24"/>
        </w:rPr>
        <w:t>项目验收为技术规范书所要求的交付物提交给采购人完成。</w:t>
      </w:r>
    </w:p>
    <w:p>
      <w:pPr>
        <w:widowControl/>
        <w:adjustRightInd w:val="0"/>
        <w:snapToGrid w:val="0"/>
        <w:spacing w:line="360" w:lineRule="auto"/>
        <w:jc w:val="left"/>
        <w:rPr>
          <w:rFonts w:hint="eastAsia"/>
          <w:sz w:val="24"/>
          <w:szCs w:val="24"/>
        </w:rPr>
      </w:pPr>
      <w:r>
        <w:rPr>
          <w:rFonts w:hint="eastAsia" w:ascii="仿宋" w:hAnsi="仿宋" w:eastAsia="仿宋" w:cs="仿宋"/>
          <w:b/>
          <w:bCs/>
          <w:kern w:val="0"/>
          <w:sz w:val="24"/>
          <w:szCs w:val="24"/>
        </w:rPr>
        <w:t>4.</w:t>
      </w:r>
      <w:r>
        <w:rPr>
          <w:rFonts w:hint="eastAsia" w:ascii="仿宋" w:hAnsi="仿宋" w:eastAsia="仿宋" w:cs="仿宋"/>
          <w:b/>
          <w:bCs/>
          <w:kern w:val="0"/>
          <w:sz w:val="24"/>
          <w:szCs w:val="24"/>
          <w:lang w:val="en-US" w:eastAsia="zh-CN"/>
        </w:rPr>
        <w:t>9</w:t>
      </w:r>
      <w:r>
        <w:rPr>
          <w:rFonts w:hint="eastAsia" w:ascii="仿宋" w:hAnsi="仿宋" w:eastAsia="仿宋" w:cs="仿宋"/>
          <w:b/>
          <w:bCs/>
          <w:kern w:val="0"/>
          <w:sz w:val="24"/>
          <w:szCs w:val="24"/>
        </w:rPr>
        <w:t xml:space="preserve"> 采购清册及权重</w:t>
      </w:r>
    </w:p>
    <w:p>
      <w:pPr>
        <w:widowControl/>
        <w:adjustRightInd w:val="0"/>
        <w:snapToGrid w:val="0"/>
        <w:spacing w:line="360" w:lineRule="auto"/>
        <w:ind w:firstLine="482" w:firstLineChars="200"/>
        <w:jc w:val="center"/>
        <w:rPr>
          <w:rFonts w:hint="eastAsia" w:ascii="仿宋" w:hAnsi="仿宋" w:eastAsia="仿宋" w:cs="仿宋"/>
          <w:b/>
          <w:bCs/>
          <w:sz w:val="24"/>
          <w:szCs w:val="24"/>
        </w:rPr>
      </w:pPr>
      <w:r>
        <w:rPr>
          <w:rFonts w:hint="eastAsia" w:ascii="仿宋" w:hAnsi="仿宋" w:eastAsia="仿宋" w:cs="仿宋"/>
          <w:b/>
          <w:bCs/>
          <w:kern w:val="0"/>
          <w:sz w:val="24"/>
          <w:szCs w:val="24"/>
        </w:rPr>
        <w:t>服务采购清册</w:t>
      </w:r>
    </w:p>
    <w:tbl>
      <w:tblPr>
        <w:tblStyle w:val="15"/>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36" w:type="dxa"/>
          <w:bottom w:w="0" w:type="dxa"/>
          <w:right w:w="36" w:type="dxa"/>
        </w:tblCellMar>
      </w:tblPr>
      <w:tblGrid>
        <w:gridCol w:w="630"/>
        <w:gridCol w:w="1512"/>
        <w:gridCol w:w="948"/>
        <w:gridCol w:w="876"/>
        <w:gridCol w:w="936"/>
        <w:gridCol w:w="1812"/>
        <w:gridCol w:w="18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882" w:hRule="exact"/>
          <w:jc w:val="center"/>
        </w:trPr>
        <w:tc>
          <w:tcPr>
            <w:tcW w:w="630" w:type="dxa"/>
            <w:vAlign w:val="center"/>
          </w:tcPr>
          <w:p>
            <w:pPr>
              <w:autoSpaceDE w:val="0"/>
              <w:autoSpaceDN w:val="0"/>
              <w:adjustRightInd w:val="0"/>
              <w:spacing w:line="360" w:lineRule="auto"/>
              <w:jc w:val="center"/>
              <w:textAlignment w:val="baseline"/>
              <w:rPr>
                <w:rFonts w:hint="eastAsia" w:ascii="仿宋" w:hAnsi="仿宋" w:eastAsia="仿宋" w:cs="仿宋"/>
                <w:kern w:val="0"/>
                <w:sz w:val="21"/>
                <w:szCs w:val="21"/>
              </w:rPr>
            </w:pPr>
            <w:r>
              <w:rPr>
                <w:rFonts w:hint="eastAsia" w:ascii="仿宋" w:hAnsi="仿宋" w:eastAsia="仿宋" w:cs="仿宋"/>
                <w:kern w:val="0"/>
                <w:sz w:val="21"/>
                <w:szCs w:val="21"/>
              </w:rPr>
              <w:t>序号</w:t>
            </w:r>
          </w:p>
        </w:tc>
        <w:tc>
          <w:tcPr>
            <w:tcW w:w="1512" w:type="dxa"/>
            <w:vAlign w:val="center"/>
          </w:tcPr>
          <w:p>
            <w:pPr>
              <w:autoSpaceDE w:val="0"/>
              <w:autoSpaceDN w:val="0"/>
              <w:adjustRightInd w:val="0"/>
              <w:spacing w:line="360" w:lineRule="auto"/>
              <w:jc w:val="center"/>
              <w:textAlignment w:val="baseline"/>
              <w:rPr>
                <w:rFonts w:hint="eastAsia" w:ascii="仿宋" w:hAnsi="仿宋" w:eastAsia="仿宋" w:cs="仿宋"/>
                <w:kern w:val="0"/>
                <w:sz w:val="21"/>
                <w:szCs w:val="21"/>
              </w:rPr>
            </w:pPr>
            <w:r>
              <w:rPr>
                <w:rFonts w:hint="eastAsia" w:ascii="仿宋" w:hAnsi="仿宋" w:eastAsia="仿宋" w:cs="仿宋"/>
                <w:kern w:val="0"/>
                <w:sz w:val="21"/>
                <w:szCs w:val="21"/>
              </w:rPr>
              <w:t>名称</w:t>
            </w:r>
          </w:p>
        </w:tc>
        <w:tc>
          <w:tcPr>
            <w:tcW w:w="948" w:type="dxa"/>
            <w:vAlign w:val="center"/>
          </w:tcPr>
          <w:p>
            <w:pPr>
              <w:autoSpaceDE w:val="0"/>
              <w:autoSpaceDN w:val="0"/>
              <w:adjustRightInd w:val="0"/>
              <w:spacing w:line="360" w:lineRule="auto"/>
              <w:jc w:val="center"/>
              <w:textAlignment w:val="baseline"/>
              <w:rPr>
                <w:rFonts w:hint="default" w:ascii="仿宋" w:hAnsi="仿宋" w:eastAsia="仿宋" w:cs="仿宋"/>
                <w:kern w:val="0"/>
                <w:sz w:val="21"/>
                <w:szCs w:val="21"/>
                <w:lang w:val="en-US" w:eastAsia="zh-CN"/>
              </w:rPr>
            </w:pPr>
            <w:r>
              <w:rPr>
                <w:rFonts w:hint="eastAsia" w:ascii="仿宋" w:hAnsi="仿宋" w:eastAsia="仿宋" w:cs="仿宋"/>
                <w:kern w:val="0"/>
                <w:sz w:val="21"/>
                <w:szCs w:val="21"/>
                <w:lang w:val="en-US" w:eastAsia="zh-CN"/>
              </w:rPr>
              <w:t>服务要求</w:t>
            </w:r>
          </w:p>
        </w:tc>
        <w:tc>
          <w:tcPr>
            <w:tcW w:w="876" w:type="dxa"/>
            <w:vAlign w:val="center"/>
          </w:tcPr>
          <w:p>
            <w:pPr>
              <w:autoSpaceDE w:val="0"/>
              <w:autoSpaceDN w:val="0"/>
              <w:adjustRightInd w:val="0"/>
              <w:spacing w:line="360" w:lineRule="auto"/>
              <w:jc w:val="center"/>
              <w:textAlignment w:val="baseline"/>
              <w:rPr>
                <w:rFonts w:hint="eastAsia" w:ascii="仿宋" w:hAnsi="仿宋" w:eastAsia="仿宋" w:cs="仿宋"/>
                <w:kern w:val="0"/>
                <w:sz w:val="21"/>
                <w:szCs w:val="21"/>
              </w:rPr>
            </w:pPr>
            <w:r>
              <w:rPr>
                <w:rFonts w:hint="eastAsia" w:ascii="仿宋" w:hAnsi="仿宋" w:eastAsia="仿宋" w:cs="仿宋"/>
                <w:kern w:val="0"/>
                <w:sz w:val="21"/>
                <w:szCs w:val="21"/>
              </w:rPr>
              <w:t>数量</w:t>
            </w:r>
          </w:p>
        </w:tc>
        <w:tc>
          <w:tcPr>
            <w:tcW w:w="936" w:type="dxa"/>
            <w:vAlign w:val="center"/>
          </w:tcPr>
          <w:p>
            <w:pPr>
              <w:autoSpaceDE w:val="0"/>
              <w:autoSpaceDN w:val="0"/>
              <w:adjustRightInd w:val="0"/>
              <w:spacing w:line="360" w:lineRule="auto"/>
              <w:jc w:val="center"/>
              <w:textAlignment w:val="baseline"/>
              <w:rPr>
                <w:rFonts w:hint="eastAsia" w:ascii="仿宋" w:hAnsi="仿宋" w:eastAsia="仿宋" w:cs="仿宋"/>
                <w:kern w:val="0"/>
                <w:sz w:val="21"/>
                <w:szCs w:val="21"/>
              </w:rPr>
            </w:pPr>
            <w:r>
              <w:rPr>
                <w:rFonts w:hint="eastAsia" w:ascii="仿宋" w:hAnsi="仿宋" w:eastAsia="仿宋" w:cs="仿宋"/>
                <w:kern w:val="0"/>
                <w:sz w:val="21"/>
                <w:szCs w:val="21"/>
              </w:rPr>
              <w:t>单位</w:t>
            </w:r>
          </w:p>
        </w:tc>
        <w:tc>
          <w:tcPr>
            <w:tcW w:w="1812" w:type="dxa"/>
            <w:vAlign w:val="center"/>
          </w:tcPr>
          <w:p>
            <w:pPr>
              <w:autoSpaceDE w:val="0"/>
              <w:autoSpaceDN w:val="0"/>
              <w:adjustRightInd w:val="0"/>
              <w:spacing w:line="360" w:lineRule="auto"/>
              <w:jc w:val="center"/>
              <w:textAlignment w:val="baseline"/>
              <w:rPr>
                <w:rFonts w:hint="eastAsia" w:ascii="仿宋" w:hAnsi="仿宋" w:eastAsia="仿宋" w:cs="仿宋"/>
                <w:kern w:val="0"/>
                <w:sz w:val="21"/>
                <w:szCs w:val="21"/>
              </w:rPr>
            </w:pPr>
            <w:r>
              <w:rPr>
                <w:rFonts w:hint="eastAsia" w:ascii="仿宋" w:hAnsi="仿宋" w:eastAsia="仿宋" w:cs="仿宋"/>
                <w:kern w:val="0"/>
                <w:sz w:val="21"/>
                <w:szCs w:val="21"/>
              </w:rPr>
              <w:t>最高限价（</w:t>
            </w:r>
            <w:r>
              <w:rPr>
                <w:rFonts w:hint="eastAsia" w:ascii="仿宋" w:hAnsi="仿宋" w:eastAsia="仿宋" w:cs="仿宋"/>
                <w:kern w:val="0"/>
                <w:sz w:val="21"/>
                <w:szCs w:val="21"/>
                <w:lang w:val="en-US" w:eastAsia="zh-CN"/>
              </w:rPr>
              <w:t>万</w:t>
            </w:r>
            <w:r>
              <w:rPr>
                <w:rFonts w:hint="eastAsia" w:ascii="仿宋" w:hAnsi="仿宋" w:eastAsia="仿宋" w:cs="仿宋"/>
                <w:kern w:val="0"/>
                <w:sz w:val="21"/>
                <w:szCs w:val="21"/>
              </w:rPr>
              <w:t>元）</w:t>
            </w:r>
          </w:p>
        </w:tc>
        <w:tc>
          <w:tcPr>
            <w:tcW w:w="1806" w:type="dxa"/>
            <w:vAlign w:val="center"/>
          </w:tcPr>
          <w:p>
            <w:pPr>
              <w:autoSpaceDE w:val="0"/>
              <w:autoSpaceDN w:val="0"/>
              <w:adjustRightInd w:val="0"/>
              <w:spacing w:line="360" w:lineRule="auto"/>
              <w:jc w:val="center"/>
              <w:textAlignment w:val="baseline"/>
              <w:rPr>
                <w:rFonts w:hint="eastAsia" w:ascii="仿宋" w:hAnsi="仿宋" w:eastAsia="仿宋" w:cs="仿宋"/>
                <w:kern w:val="0"/>
                <w:sz w:val="21"/>
                <w:szCs w:val="21"/>
                <w:lang w:val="en-US" w:eastAsia="zh-CN"/>
              </w:rPr>
            </w:pPr>
            <w:r>
              <w:rPr>
                <w:rFonts w:hint="eastAsia" w:ascii="仿宋" w:hAnsi="仿宋" w:eastAsia="仿宋" w:cs="仿宋"/>
                <w:kern w:val="0"/>
                <w:sz w:val="21"/>
                <w:szCs w:val="21"/>
                <w:lang w:val="en-US" w:eastAsia="zh-CN"/>
              </w:rPr>
              <w:t>交付与</w:t>
            </w:r>
            <w:r>
              <w:rPr>
                <w:rFonts w:hint="eastAsia" w:ascii="仿宋" w:hAnsi="仿宋" w:eastAsia="仿宋" w:cs="仿宋"/>
                <w:kern w:val="0"/>
                <w:sz w:val="21"/>
                <w:szCs w:val="21"/>
              </w:rPr>
              <w:t>备注</w:t>
            </w:r>
            <w:r>
              <w:rPr>
                <w:rFonts w:hint="eastAsia" w:ascii="仿宋" w:hAnsi="仿宋" w:eastAsia="仿宋" w:cs="仿宋"/>
                <w:kern w:val="0"/>
                <w:sz w:val="21"/>
                <w:szCs w:val="21"/>
                <w:lang w:val="en-US" w:eastAsia="zh-CN"/>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jc w:val="center"/>
        </w:trPr>
        <w:tc>
          <w:tcPr>
            <w:tcW w:w="630" w:type="dxa"/>
            <w:vAlign w:val="center"/>
          </w:tcPr>
          <w:p>
            <w:pPr>
              <w:numPr>
                <w:ilvl w:val="0"/>
                <w:numId w:val="6"/>
              </w:numPr>
              <w:autoSpaceDE w:val="0"/>
              <w:autoSpaceDN w:val="0"/>
              <w:adjustRightInd w:val="0"/>
              <w:spacing w:line="360" w:lineRule="auto"/>
              <w:jc w:val="center"/>
              <w:textAlignment w:val="baseline"/>
              <w:rPr>
                <w:rFonts w:hint="eastAsia" w:ascii="仿宋" w:hAnsi="仿宋" w:eastAsia="仿宋" w:cs="仿宋"/>
                <w:kern w:val="0"/>
                <w:sz w:val="21"/>
                <w:szCs w:val="21"/>
              </w:rPr>
            </w:pPr>
          </w:p>
        </w:tc>
        <w:tc>
          <w:tcPr>
            <w:tcW w:w="1512" w:type="dxa"/>
            <w:vAlign w:val="center"/>
          </w:tcPr>
          <w:p>
            <w:pPr>
              <w:autoSpaceDE w:val="0"/>
              <w:autoSpaceDN w:val="0"/>
              <w:adjustRightInd w:val="0"/>
              <w:spacing w:line="360" w:lineRule="auto"/>
              <w:jc w:val="center"/>
              <w:textAlignment w:val="baseline"/>
              <w:rPr>
                <w:rFonts w:hint="eastAsia" w:ascii="仿宋" w:hAnsi="仿宋" w:eastAsia="仿宋" w:cs="仿宋"/>
                <w:kern w:val="0"/>
                <w:sz w:val="21"/>
                <w:szCs w:val="21"/>
              </w:rPr>
            </w:pPr>
            <w:r>
              <w:rPr>
                <w:rFonts w:hint="eastAsia" w:ascii="仿宋" w:hAnsi="仿宋" w:eastAsia="仿宋" w:cs="仿宋"/>
                <w:kern w:val="0"/>
                <w:sz w:val="21"/>
                <w:szCs w:val="21"/>
                <w:lang w:val="en-US" w:eastAsia="zh-CN"/>
              </w:rPr>
              <w:t>一种新型防松鼠啃咬的光缆修复材料的研究与开发</w:t>
            </w:r>
          </w:p>
        </w:tc>
        <w:tc>
          <w:tcPr>
            <w:tcW w:w="948" w:type="dxa"/>
            <w:vAlign w:val="center"/>
          </w:tcPr>
          <w:p>
            <w:pPr>
              <w:autoSpaceDE w:val="0"/>
              <w:autoSpaceDN w:val="0"/>
              <w:adjustRightInd w:val="0"/>
              <w:spacing w:line="360" w:lineRule="auto"/>
              <w:jc w:val="center"/>
              <w:textAlignment w:val="baseline"/>
              <w:rPr>
                <w:rFonts w:hint="eastAsia" w:ascii="仿宋" w:hAnsi="仿宋" w:eastAsia="仿宋" w:cs="仿宋"/>
                <w:sz w:val="21"/>
                <w:szCs w:val="21"/>
              </w:rPr>
            </w:pPr>
            <w:r>
              <w:rPr>
                <w:rFonts w:hint="eastAsia" w:ascii="仿宋" w:hAnsi="仿宋" w:eastAsia="仿宋" w:cs="仿宋"/>
                <w:sz w:val="21"/>
                <w:szCs w:val="21"/>
              </w:rPr>
              <w:t>完成材料配方研发、性能验证、工艺优化全流程研究开发工作</w:t>
            </w:r>
          </w:p>
        </w:tc>
        <w:tc>
          <w:tcPr>
            <w:tcW w:w="876" w:type="dxa"/>
            <w:vAlign w:val="center"/>
          </w:tcPr>
          <w:p>
            <w:pPr>
              <w:autoSpaceDE w:val="0"/>
              <w:autoSpaceDN w:val="0"/>
              <w:adjustRightInd w:val="0"/>
              <w:spacing w:line="360" w:lineRule="auto"/>
              <w:jc w:val="center"/>
              <w:textAlignment w:val="baseline"/>
              <w:rPr>
                <w:rFonts w:hint="default" w:ascii="仿宋" w:hAnsi="仿宋" w:eastAsia="仿宋" w:cs="仿宋"/>
                <w:kern w:val="0"/>
                <w:sz w:val="21"/>
                <w:szCs w:val="21"/>
                <w:lang w:val="en-US" w:eastAsia="zh-CN"/>
              </w:rPr>
            </w:pPr>
            <w:r>
              <w:rPr>
                <w:rFonts w:hint="eastAsia" w:ascii="仿宋" w:hAnsi="仿宋" w:eastAsia="仿宋" w:cs="仿宋"/>
                <w:kern w:val="0"/>
                <w:sz w:val="21"/>
                <w:szCs w:val="21"/>
                <w:lang w:val="en-US" w:eastAsia="zh-CN"/>
              </w:rPr>
              <w:t>5</w:t>
            </w:r>
          </w:p>
        </w:tc>
        <w:tc>
          <w:tcPr>
            <w:tcW w:w="936" w:type="dxa"/>
            <w:vAlign w:val="center"/>
          </w:tcPr>
          <w:p>
            <w:pPr>
              <w:autoSpaceDE w:val="0"/>
              <w:autoSpaceDN w:val="0"/>
              <w:adjustRightInd w:val="0"/>
              <w:spacing w:line="360" w:lineRule="auto"/>
              <w:jc w:val="center"/>
              <w:textAlignment w:val="baseline"/>
              <w:rPr>
                <w:rFonts w:hint="eastAsia" w:ascii="仿宋" w:hAnsi="仿宋" w:eastAsia="仿宋" w:cs="仿宋"/>
                <w:kern w:val="0"/>
                <w:sz w:val="21"/>
                <w:szCs w:val="21"/>
                <w:lang w:val="en-US" w:eastAsia="zh-CN"/>
              </w:rPr>
            </w:pPr>
            <w:r>
              <w:rPr>
                <w:rFonts w:hint="eastAsia" w:ascii="仿宋" w:hAnsi="仿宋" w:eastAsia="仿宋" w:cs="仿宋"/>
                <w:kern w:val="0"/>
                <w:sz w:val="21"/>
                <w:szCs w:val="21"/>
                <w:lang w:val="en-US" w:eastAsia="zh-CN"/>
              </w:rPr>
              <w:t>Kg</w:t>
            </w:r>
          </w:p>
        </w:tc>
        <w:tc>
          <w:tcPr>
            <w:tcW w:w="1812" w:type="dxa"/>
            <w:vAlign w:val="center"/>
          </w:tcPr>
          <w:p>
            <w:pPr>
              <w:autoSpaceDE w:val="0"/>
              <w:autoSpaceDN w:val="0"/>
              <w:adjustRightInd w:val="0"/>
              <w:spacing w:line="360" w:lineRule="auto"/>
              <w:jc w:val="center"/>
              <w:textAlignment w:val="baseline"/>
              <w:rPr>
                <w:rFonts w:hint="default" w:ascii="仿宋" w:hAnsi="仿宋" w:eastAsia="仿宋" w:cs="仿宋"/>
                <w:kern w:val="0"/>
                <w:sz w:val="21"/>
                <w:szCs w:val="21"/>
                <w:lang w:val="en-US" w:eastAsia="zh-CN"/>
              </w:rPr>
            </w:pPr>
            <w:r>
              <w:rPr>
                <w:rFonts w:hint="eastAsia" w:ascii="仿宋" w:hAnsi="仿宋" w:eastAsia="仿宋" w:cs="仿宋"/>
                <w:kern w:val="0"/>
                <w:sz w:val="21"/>
                <w:szCs w:val="21"/>
                <w:lang w:val="en-US" w:eastAsia="zh-CN"/>
              </w:rPr>
              <w:t>4.2</w:t>
            </w:r>
          </w:p>
        </w:tc>
        <w:tc>
          <w:tcPr>
            <w:tcW w:w="1806" w:type="dxa"/>
            <w:vAlign w:val="center"/>
          </w:tcPr>
          <w:p>
            <w:pPr>
              <w:autoSpaceDE w:val="0"/>
              <w:autoSpaceDN w:val="0"/>
              <w:adjustRightInd w:val="0"/>
              <w:spacing w:line="360" w:lineRule="auto"/>
              <w:jc w:val="center"/>
              <w:textAlignment w:val="baseline"/>
              <w:rPr>
                <w:rFonts w:hint="default" w:ascii="仿宋" w:hAnsi="仿宋" w:eastAsia="仿宋" w:cs="仿宋"/>
                <w:kern w:val="0"/>
                <w:sz w:val="21"/>
                <w:szCs w:val="21"/>
                <w:lang w:val="en-US" w:eastAsia="zh-CN"/>
              </w:rPr>
            </w:pPr>
            <w:r>
              <w:rPr>
                <w:rFonts w:hint="eastAsia" w:ascii="仿宋" w:hAnsi="仿宋" w:eastAsia="仿宋" w:cs="仿宋"/>
                <w:kern w:val="0"/>
                <w:sz w:val="21"/>
                <w:szCs w:val="21"/>
                <w:lang w:val="en-US" w:eastAsia="zh-CN"/>
              </w:rPr>
              <w:t>1. 交付内容包含：符合规格要求的修复材料样品5Kg（</w:t>
            </w:r>
            <w:r>
              <w:rPr>
                <w:rFonts w:hint="eastAsia" w:ascii="仿宋" w:hAnsi="仿宋" w:eastAsia="仿宋" w:cs="仿宋"/>
                <w:b w:val="0"/>
                <w:bCs/>
                <w:i w:val="0"/>
                <w:color w:val="auto"/>
                <w:sz w:val="21"/>
                <w:szCs w:val="21"/>
                <w:highlight w:val="none"/>
                <w:u w:val="none"/>
                <w:lang w:val="en-US" w:eastAsia="zh-CN"/>
              </w:rPr>
              <w:t>含现场试验段喷涂</w:t>
            </w:r>
            <w:r>
              <w:rPr>
                <w:rFonts w:hint="eastAsia" w:ascii="仿宋" w:hAnsi="仿宋" w:eastAsia="仿宋" w:cs="仿宋"/>
                <w:kern w:val="0"/>
                <w:sz w:val="21"/>
                <w:szCs w:val="21"/>
                <w:lang w:val="en-US" w:eastAsia="zh-CN"/>
              </w:rPr>
              <w:t>）、完整的技术研究报告（含配方说明、性能检测报告、工艺方案、现场应用指南、创新型研究院报告等全套资料）；2. 包含项目全周期技术咨询、现场配合、验收答疑等配套服务；3. 本限价为总价包干价，已包含研发、样品制备、检测、报告编制、售后服务等本项目全部相关费用</w:t>
            </w:r>
          </w:p>
        </w:tc>
      </w:tr>
    </w:tbl>
    <w:p>
      <w:pPr>
        <w:widowControl/>
        <w:adjustRightInd w:val="0"/>
        <w:snapToGrid w:val="0"/>
        <w:spacing w:line="360" w:lineRule="auto"/>
        <w:jc w:val="left"/>
        <w:rPr>
          <w:rFonts w:hint="eastAsia" w:ascii="仿宋" w:hAnsi="仿宋" w:eastAsia="仿宋" w:cs="仿宋"/>
          <w:b/>
          <w:bCs/>
          <w:kern w:val="0"/>
          <w:sz w:val="24"/>
          <w:szCs w:val="24"/>
        </w:rPr>
      </w:pPr>
    </w:p>
    <w:p>
      <w:pPr>
        <w:widowControl/>
        <w:adjustRightInd w:val="0"/>
        <w:snapToGrid w:val="0"/>
        <w:spacing w:line="360" w:lineRule="auto"/>
        <w:jc w:val="left"/>
        <w:rPr>
          <w:rFonts w:hint="eastAsia" w:ascii="仿宋" w:hAnsi="仿宋" w:eastAsia="仿宋" w:cs="仿宋"/>
          <w:b/>
          <w:bCs/>
          <w:kern w:val="0"/>
          <w:sz w:val="24"/>
          <w:szCs w:val="24"/>
        </w:rPr>
      </w:pPr>
      <w:r>
        <w:rPr>
          <w:rFonts w:hint="eastAsia" w:ascii="仿宋" w:hAnsi="仿宋" w:eastAsia="仿宋" w:cs="仿宋"/>
          <w:b/>
          <w:bCs/>
          <w:kern w:val="0"/>
          <w:sz w:val="24"/>
          <w:szCs w:val="24"/>
        </w:rPr>
        <w:t>五.管理人员为本项目的负责人。</w:t>
      </w:r>
    </w:p>
    <w:p>
      <w:pPr>
        <w:numPr>
          <w:numId w:val="0"/>
        </w:numPr>
        <w:ind w:leftChars="0"/>
        <w:rPr>
          <w:sz w:val="24"/>
          <w:szCs w:val="24"/>
        </w:rPr>
      </w:pPr>
      <w:bookmarkStart w:id="1" w:name="_GoBack"/>
      <w:bookmarkEnd w:id="1"/>
    </w:p>
    <w:sectPr>
      <w:footerReference r:id="rId3" w:type="default"/>
      <w:pgSz w:w="11906" w:h="16838"/>
      <w:pgMar w:top="1440" w:right="1800" w:bottom="1440" w:left="1800"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1" w:fontKey="{99CC6A51-3EC7-4994-B0A7-4BDAF59DE19E}"/>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t xml:space="preserve">第 </w:t>
                          </w:r>
                          <w:r>
                            <w:fldChar w:fldCharType="begin"/>
                          </w:r>
                          <w:r>
                            <w:instrText xml:space="preserve"> PAGE  \* MERGEFORMAT </w:instrText>
                          </w:r>
                          <w:r>
                            <w:fldChar w:fldCharType="separate"/>
                          </w:r>
                          <w:r>
                            <w:t>- 4 -</w:t>
                          </w:r>
                          <w:r>
                            <w:fldChar w:fldCharType="end"/>
                          </w:r>
                          <w:r>
                            <w:t xml:space="preserve"> 页 共 </w:t>
                          </w:r>
                          <w:r>
                            <w:rPr>
                              <w:rFonts w:hint="eastAsia"/>
                              <w:lang w:val="en-US" w:eastAsia="zh-CN"/>
                            </w:rPr>
                            <w:t>4</w:t>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pStyle w:val="10"/>
                    </w:pPr>
                    <w:r>
                      <w:t xml:space="preserve">第 </w:t>
                    </w:r>
                    <w:r>
                      <w:fldChar w:fldCharType="begin"/>
                    </w:r>
                    <w:r>
                      <w:instrText xml:space="preserve"> PAGE  \* MERGEFORMAT </w:instrText>
                    </w:r>
                    <w:r>
                      <w:fldChar w:fldCharType="separate"/>
                    </w:r>
                    <w:r>
                      <w:t>- 4 -</w:t>
                    </w:r>
                    <w:r>
                      <w:fldChar w:fldCharType="end"/>
                    </w:r>
                    <w:r>
                      <w:t xml:space="preserve"> 页 共 </w:t>
                    </w:r>
                    <w:r>
                      <w:rPr>
                        <w:rFonts w:hint="eastAsia"/>
                        <w:lang w:val="en-US" w:eastAsia="zh-CN"/>
                      </w:rPr>
                      <w:t>4</w:t>
                    </w:r>
                    <w:r>
                      <w:t xml:space="preserve"> 页</w:t>
                    </w:r>
                  </w:p>
                </w:txbxContent>
              </v:textbox>
            </v:shape>
          </w:pict>
        </mc:Fallback>
      </mc:AlternateContent>
    </w:r>
    <w:r>
      <w:rPr>
        <w:rFonts w:hint="eastAsia"/>
      </w:rPr>
      <w:tab/>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99E399"/>
    <w:multiLevelType w:val="singleLevel"/>
    <w:tmpl w:val="9399E399"/>
    <w:lvl w:ilvl="0" w:tentative="0">
      <w:start w:val="1"/>
      <w:numFmt w:val="decimal"/>
      <w:lvlText w:val="(%1)"/>
      <w:lvlJc w:val="left"/>
      <w:pPr>
        <w:ind w:left="425" w:hanging="425"/>
      </w:pPr>
      <w:rPr>
        <w:rFonts w:hint="default"/>
      </w:rPr>
    </w:lvl>
  </w:abstractNum>
  <w:abstractNum w:abstractNumId="1">
    <w:nsid w:val="A13E48A6"/>
    <w:multiLevelType w:val="singleLevel"/>
    <w:tmpl w:val="A13E48A6"/>
    <w:lvl w:ilvl="0" w:tentative="0">
      <w:start w:val="1"/>
      <w:numFmt w:val="decimal"/>
      <w:lvlText w:val="(%1)"/>
      <w:lvlJc w:val="left"/>
      <w:pPr>
        <w:ind w:left="425" w:hanging="425"/>
      </w:pPr>
      <w:rPr>
        <w:rFonts w:hint="default"/>
      </w:rPr>
    </w:lvl>
  </w:abstractNum>
  <w:abstractNum w:abstractNumId="2">
    <w:nsid w:val="A908C841"/>
    <w:multiLevelType w:val="singleLevel"/>
    <w:tmpl w:val="A908C841"/>
    <w:lvl w:ilvl="0" w:tentative="0">
      <w:start w:val="1"/>
      <w:numFmt w:val="decimal"/>
      <w:lvlText w:val="(%1)"/>
      <w:lvlJc w:val="left"/>
      <w:pPr>
        <w:ind w:left="425" w:hanging="425"/>
      </w:pPr>
      <w:rPr>
        <w:rFonts w:hint="default"/>
      </w:rPr>
    </w:lvl>
  </w:abstractNum>
  <w:abstractNum w:abstractNumId="3">
    <w:nsid w:val="E574A3D7"/>
    <w:multiLevelType w:val="singleLevel"/>
    <w:tmpl w:val="E574A3D7"/>
    <w:lvl w:ilvl="0" w:tentative="0">
      <w:start w:val="1"/>
      <w:numFmt w:val="decimal"/>
      <w:lvlText w:val="%1."/>
      <w:lvlJc w:val="left"/>
      <w:pPr>
        <w:ind w:left="425" w:hanging="425"/>
      </w:pPr>
      <w:rPr>
        <w:rFonts w:hint="default"/>
      </w:rPr>
    </w:lvl>
  </w:abstractNum>
  <w:abstractNum w:abstractNumId="4">
    <w:nsid w:val="0C4555FD"/>
    <w:multiLevelType w:val="singleLevel"/>
    <w:tmpl w:val="0C4555FD"/>
    <w:lvl w:ilvl="0" w:tentative="0">
      <w:start w:val="1"/>
      <w:numFmt w:val="decimal"/>
      <w:lvlText w:val="(%1)"/>
      <w:lvlJc w:val="left"/>
      <w:pPr>
        <w:ind w:left="425" w:hanging="425"/>
      </w:pPr>
      <w:rPr>
        <w:rFonts w:hint="default"/>
      </w:rPr>
    </w:lvl>
  </w:abstractNum>
  <w:abstractNum w:abstractNumId="5">
    <w:nsid w:val="71A527FC"/>
    <w:multiLevelType w:val="singleLevel"/>
    <w:tmpl w:val="71A527FC"/>
    <w:lvl w:ilvl="0" w:tentative="0">
      <w:start w:val="1"/>
      <w:numFmt w:val="decimal"/>
      <w:lvlText w:val="(%1)"/>
      <w:lvlJc w:val="left"/>
      <w:pPr>
        <w:ind w:left="425" w:hanging="425"/>
      </w:pPr>
      <w:rPr>
        <w:rFonts w:hint="default"/>
      </w:rPr>
    </w:lvl>
  </w:abstractNum>
  <w:num w:numId="1">
    <w:abstractNumId w:val="4"/>
  </w:num>
  <w:num w:numId="2">
    <w:abstractNumId w:val="2"/>
  </w:num>
  <w:num w:numId="3">
    <w:abstractNumId w:val="5"/>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I4YTA3NTg2YjE0NmQ2Yjk1YmYyMTU4YjI3NmJlYzUifQ=="/>
    <w:docVar w:name="KSO_WPS_MARK_KEY" w:val="01300cc6-ef2f-40a9-b8f0-fb4b4405e6d2"/>
  </w:docVars>
  <w:rsids>
    <w:rsidRoot w:val="0B496AB8"/>
    <w:rsid w:val="000F01D9"/>
    <w:rsid w:val="000F47DF"/>
    <w:rsid w:val="001E6462"/>
    <w:rsid w:val="0036392B"/>
    <w:rsid w:val="003F2E9B"/>
    <w:rsid w:val="0040315F"/>
    <w:rsid w:val="004760CC"/>
    <w:rsid w:val="004943C6"/>
    <w:rsid w:val="00500745"/>
    <w:rsid w:val="00564B1E"/>
    <w:rsid w:val="005A4D59"/>
    <w:rsid w:val="005A76CD"/>
    <w:rsid w:val="005D47A3"/>
    <w:rsid w:val="005F45F4"/>
    <w:rsid w:val="00684BA2"/>
    <w:rsid w:val="00687CB5"/>
    <w:rsid w:val="00766636"/>
    <w:rsid w:val="007730ED"/>
    <w:rsid w:val="00780252"/>
    <w:rsid w:val="007A5908"/>
    <w:rsid w:val="007D34CC"/>
    <w:rsid w:val="008C7A68"/>
    <w:rsid w:val="009519AA"/>
    <w:rsid w:val="009D6C96"/>
    <w:rsid w:val="00A818F6"/>
    <w:rsid w:val="00AE49B0"/>
    <w:rsid w:val="00B253FD"/>
    <w:rsid w:val="00BD4BDF"/>
    <w:rsid w:val="00D05BF8"/>
    <w:rsid w:val="00DD3C47"/>
    <w:rsid w:val="00DE783B"/>
    <w:rsid w:val="00DF4AA0"/>
    <w:rsid w:val="00DF5AB0"/>
    <w:rsid w:val="00E64DC3"/>
    <w:rsid w:val="00E7204D"/>
    <w:rsid w:val="00E803AB"/>
    <w:rsid w:val="01F059D1"/>
    <w:rsid w:val="02123F53"/>
    <w:rsid w:val="037F1D87"/>
    <w:rsid w:val="042325A8"/>
    <w:rsid w:val="04C81265"/>
    <w:rsid w:val="04FD78BD"/>
    <w:rsid w:val="0553391C"/>
    <w:rsid w:val="069C5030"/>
    <w:rsid w:val="072A2FCD"/>
    <w:rsid w:val="07811144"/>
    <w:rsid w:val="07DD4A61"/>
    <w:rsid w:val="07F32A16"/>
    <w:rsid w:val="083B1F11"/>
    <w:rsid w:val="085C6BC2"/>
    <w:rsid w:val="087E2573"/>
    <w:rsid w:val="08A50D30"/>
    <w:rsid w:val="08A53B3F"/>
    <w:rsid w:val="096229AB"/>
    <w:rsid w:val="09B94E39"/>
    <w:rsid w:val="09E32030"/>
    <w:rsid w:val="0B496AB8"/>
    <w:rsid w:val="0C5F0057"/>
    <w:rsid w:val="0DA51436"/>
    <w:rsid w:val="0E54720D"/>
    <w:rsid w:val="0EBD33B9"/>
    <w:rsid w:val="0F4D15C5"/>
    <w:rsid w:val="10060CE1"/>
    <w:rsid w:val="11A05924"/>
    <w:rsid w:val="12326D28"/>
    <w:rsid w:val="13E833B7"/>
    <w:rsid w:val="14590EDE"/>
    <w:rsid w:val="150C1E94"/>
    <w:rsid w:val="155E115F"/>
    <w:rsid w:val="15853D9C"/>
    <w:rsid w:val="15AC7C51"/>
    <w:rsid w:val="16416786"/>
    <w:rsid w:val="16723CC9"/>
    <w:rsid w:val="17692FF8"/>
    <w:rsid w:val="17964283"/>
    <w:rsid w:val="184A2154"/>
    <w:rsid w:val="18687698"/>
    <w:rsid w:val="197C175F"/>
    <w:rsid w:val="1A58299E"/>
    <w:rsid w:val="1C7C7028"/>
    <w:rsid w:val="1D8B5A09"/>
    <w:rsid w:val="1F1115F1"/>
    <w:rsid w:val="1FCB1B55"/>
    <w:rsid w:val="20C03FCA"/>
    <w:rsid w:val="21E140A1"/>
    <w:rsid w:val="21E36C76"/>
    <w:rsid w:val="21E872A6"/>
    <w:rsid w:val="22AB3347"/>
    <w:rsid w:val="22F9768B"/>
    <w:rsid w:val="23225886"/>
    <w:rsid w:val="2386460C"/>
    <w:rsid w:val="23AB3753"/>
    <w:rsid w:val="24D348AC"/>
    <w:rsid w:val="24F536AF"/>
    <w:rsid w:val="253D18A5"/>
    <w:rsid w:val="2585331D"/>
    <w:rsid w:val="26CF1691"/>
    <w:rsid w:val="270D7567"/>
    <w:rsid w:val="27436777"/>
    <w:rsid w:val="27636CAC"/>
    <w:rsid w:val="27A47ADE"/>
    <w:rsid w:val="27DA2611"/>
    <w:rsid w:val="27E65666"/>
    <w:rsid w:val="28BB32F7"/>
    <w:rsid w:val="296F7BFC"/>
    <w:rsid w:val="2A9F0F94"/>
    <w:rsid w:val="2BE85216"/>
    <w:rsid w:val="2DC4361D"/>
    <w:rsid w:val="2E88639D"/>
    <w:rsid w:val="2FB611C3"/>
    <w:rsid w:val="302B55BD"/>
    <w:rsid w:val="30AA6524"/>
    <w:rsid w:val="331E5CA7"/>
    <w:rsid w:val="33247B60"/>
    <w:rsid w:val="341F3B92"/>
    <w:rsid w:val="34290560"/>
    <w:rsid w:val="350A1211"/>
    <w:rsid w:val="351F7640"/>
    <w:rsid w:val="35C6687B"/>
    <w:rsid w:val="362E38F2"/>
    <w:rsid w:val="365E6C24"/>
    <w:rsid w:val="36640C9D"/>
    <w:rsid w:val="36825278"/>
    <w:rsid w:val="36844301"/>
    <w:rsid w:val="37B759F1"/>
    <w:rsid w:val="383529C2"/>
    <w:rsid w:val="38E84D15"/>
    <w:rsid w:val="39DA3E3D"/>
    <w:rsid w:val="3AA47E97"/>
    <w:rsid w:val="3C367E66"/>
    <w:rsid w:val="3CC34A0E"/>
    <w:rsid w:val="3CF40011"/>
    <w:rsid w:val="3D70388E"/>
    <w:rsid w:val="3DC45517"/>
    <w:rsid w:val="3EA36FB8"/>
    <w:rsid w:val="3ECD47FA"/>
    <w:rsid w:val="3F945576"/>
    <w:rsid w:val="3F954ACC"/>
    <w:rsid w:val="404B0529"/>
    <w:rsid w:val="409C408B"/>
    <w:rsid w:val="40FE08AC"/>
    <w:rsid w:val="41474FAB"/>
    <w:rsid w:val="41CC723D"/>
    <w:rsid w:val="423E1A74"/>
    <w:rsid w:val="42EC1F00"/>
    <w:rsid w:val="42FE3875"/>
    <w:rsid w:val="43FD5B2D"/>
    <w:rsid w:val="44256EDB"/>
    <w:rsid w:val="44354C47"/>
    <w:rsid w:val="453C3AEF"/>
    <w:rsid w:val="460625D2"/>
    <w:rsid w:val="469211D3"/>
    <w:rsid w:val="47804667"/>
    <w:rsid w:val="47C56D56"/>
    <w:rsid w:val="47D46A8D"/>
    <w:rsid w:val="48465890"/>
    <w:rsid w:val="490779DE"/>
    <w:rsid w:val="4AE93EEB"/>
    <w:rsid w:val="4B013CF1"/>
    <w:rsid w:val="4BFB3968"/>
    <w:rsid w:val="4C034A63"/>
    <w:rsid w:val="4C1A2475"/>
    <w:rsid w:val="4C711F79"/>
    <w:rsid w:val="4D5E2AFB"/>
    <w:rsid w:val="4D65200F"/>
    <w:rsid w:val="4DCA41B4"/>
    <w:rsid w:val="4DD43DBE"/>
    <w:rsid w:val="4F085632"/>
    <w:rsid w:val="4F521086"/>
    <w:rsid w:val="4F5F2349"/>
    <w:rsid w:val="4F67373F"/>
    <w:rsid w:val="4FB87457"/>
    <w:rsid w:val="4FFE4653"/>
    <w:rsid w:val="51B2537C"/>
    <w:rsid w:val="51E62F85"/>
    <w:rsid w:val="52611B9C"/>
    <w:rsid w:val="52D2676F"/>
    <w:rsid w:val="53B425FE"/>
    <w:rsid w:val="53E546F0"/>
    <w:rsid w:val="54216091"/>
    <w:rsid w:val="56021E2A"/>
    <w:rsid w:val="56AE6BB1"/>
    <w:rsid w:val="584E7351"/>
    <w:rsid w:val="591729B9"/>
    <w:rsid w:val="594A6206"/>
    <w:rsid w:val="59E66889"/>
    <w:rsid w:val="59FD1C19"/>
    <w:rsid w:val="5A2369E2"/>
    <w:rsid w:val="5A5C6842"/>
    <w:rsid w:val="5ABD2D80"/>
    <w:rsid w:val="5C4437EE"/>
    <w:rsid w:val="5C862204"/>
    <w:rsid w:val="5CA327E2"/>
    <w:rsid w:val="5D0964D7"/>
    <w:rsid w:val="5DE40802"/>
    <w:rsid w:val="5E19466D"/>
    <w:rsid w:val="5E6802D2"/>
    <w:rsid w:val="5EF304CD"/>
    <w:rsid w:val="5F2E70E2"/>
    <w:rsid w:val="5FC11526"/>
    <w:rsid w:val="600D1276"/>
    <w:rsid w:val="600F3CAA"/>
    <w:rsid w:val="60231E43"/>
    <w:rsid w:val="6057749B"/>
    <w:rsid w:val="60DB54F6"/>
    <w:rsid w:val="614149A0"/>
    <w:rsid w:val="61AE7A4D"/>
    <w:rsid w:val="61C832F9"/>
    <w:rsid w:val="62D6562F"/>
    <w:rsid w:val="63696264"/>
    <w:rsid w:val="63E34892"/>
    <w:rsid w:val="65331F9D"/>
    <w:rsid w:val="656F0478"/>
    <w:rsid w:val="667B252D"/>
    <w:rsid w:val="66C17E25"/>
    <w:rsid w:val="66C40DA9"/>
    <w:rsid w:val="6712276E"/>
    <w:rsid w:val="67226D85"/>
    <w:rsid w:val="685B2144"/>
    <w:rsid w:val="686477A2"/>
    <w:rsid w:val="68E951CF"/>
    <w:rsid w:val="692A07F0"/>
    <w:rsid w:val="6A3774AE"/>
    <w:rsid w:val="6A3D6A20"/>
    <w:rsid w:val="6A6073AA"/>
    <w:rsid w:val="6A90057A"/>
    <w:rsid w:val="6B076958"/>
    <w:rsid w:val="6B7C4AA2"/>
    <w:rsid w:val="6BA25424"/>
    <w:rsid w:val="6BCF6090"/>
    <w:rsid w:val="6BD6020E"/>
    <w:rsid w:val="6C367E96"/>
    <w:rsid w:val="6C814A92"/>
    <w:rsid w:val="6CEF50C6"/>
    <w:rsid w:val="6D5E2F0E"/>
    <w:rsid w:val="6D7F7280"/>
    <w:rsid w:val="6DDC0A89"/>
    <w:rsid w:val="6E32225B"/>
    <w:rsid w:val="6E5A4C86"/>
    <w:rsid w:val="6E804558"/>
    <w:rsid w:val="6F223AF6"/>
    <w:rsid w:val="7005337A"/>
    <w:rsid w:val="702673BD"/>
    <w:rsid w:val="706978FC"/>
    <w:rsid w:val="710032F2"/>
    <w:rsid w:val="71512718"/>
    <w:rsid w:val="716A6CE5"/>
    <w:rsid w:val="723118C4"/>
    <w:rsid w:val="72581325"/>
    <w:rsid w:val="725A72D6"/>
    <w:rsid w:val="72BA1405"/>
    <w:rsid w:val="72E728E3"/>
    <w:rsid w:val="73897365"/>
    <w:rsid w:val="73B260DF"/>
    <w:rsid w:val="73E6218B"/>
    <w:rsid w:val="7409326A"/>
    <w:rsid w:val="74CD2319"/>
    <w:rsid w:val="75784746"/>
    <w:rsid w:val="758B64FA"/>
    <w:rsid w:val="75B46B29"/>
    <w:rsid w:val="75BB144B"/>
    <w:rsid w:val="765B22E2"/>
    <w:rsid w:val="766A4FD3"/>
    <w:rsid w:val="76CE7275"/>
    <w:rsid w:val="76F94263"/>
    <w:rsid w:val="78292797"/>
    <w:rsid w:val="78F162D2"/>
    <w:rsid w:val="795A0414"/>
    <w:rsid w:val="79FE7F34"/>
    <w:rsid w:val="7A9A229C"/>
    <w:rsid w:val="7AC65BFC"/>
    <w:rsid w:val="7B897CC5"/>
    <w:rsid w:val="7C5D7B71"/>
    <w:rsid w:val="7C8D3E35"/>
    <w:rsid w:val="7E967B3C"/>
    <w:rsid w:val="7F004096"/>
    <w:rsid w:val="7F2E7899"/>
    <w:rsid w:val="FF4FF4D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1"/>
    <w:basedOn w:val="1"/>
    <w:next w:val="1"/>
    <w:qFormat/>
    <w:uiPriority w:val="0"/>
    <w:pPr>
      <w:pageBreakBefore/>
      <w:spacing w:line="576" w:lineRule="auto"/>
      <w:jc w:val="center"/>
      <w:outlineLvl w:val="0"/>
    </w:pPr>
    <w:rPr>
      <w:rFonts w:ascii="Times New Roman" w:hAnsi="Times New Roman"/>
      <w:b/>
      <w:kern w:val="44"/>
      <w:sz w:val="28"/>
    </w:rPr>
  </w:style>
  <w:style w:type="paragraph" w:styleId="5">
    <w:name w:val="heading 2"/>
    <w:basedOn w:val="1"/>
    <w:next w:val="1"/>
    <w:link w:val="20"/>
    <w:unhideWhenUsed/>
    <w:qFormat/>
    <w:uiPriority w:val="0"/>
    <w:pPr>
      <w:keepNext/>
      <w:keepLines/>
      <w:snapToGrid w:val="0"/>
      <w:spacing w:line="560" w:lineRule="exact"/>
      <w:ind w:firstLine="800"/>
      <w:jc w:val="left"/>
      <w:outlineLvl w:val="1"/>
    </w:pPr>
    <w:rPr>
      <w:rFonts w:ascii="Arial" w:hAnsi="Arial" w:eastAsia="仿宋"/>
      <w:sz w:val="32"/>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uiPriority w:val="0"/>
    <w:pPr>
      <w:spacing w:before="240" w:after="60"/>
      <w:jc w:val="center"/>
      <w:outlineLvl w:val="0"/>
    </w:pPr>
    <w:rPr>
      <w:rFonts w:ascii="Arial" w:hAnsi="Arial"/>
      <w:b/>
      <w:sz w:val="32"/>
    </w:rPr>
  </w:style>
  <w:style w:type="paragraph" w:styleId="6">
    <w:name w:val="annotation text"/>
    <w:basedOn w:val="1"/>
    <w:qFormat/>
    <w:uiPriority w:val="0"/>
    <w:pPr>
      <w:jc w:val="left"/>
    </w:pPr>
  </w:style>
  <w:style w:type="paragraph" w:styleId="7">
    <w:name w:val="Body Text Indent"/>
    <w:basedOn w:val="1"/>
    <w:next w:val="1"/>
    <w:qFormat/>
    <w:uiPriority w:val="0"/>
    <w:pPr>
      <w:spacing w:after="120"/>
      <w:ind w:left="420"/>
    </w:pPr>
  </w:style>
  <w:style w:type="paragraph" w:styleId="8">
    <w:name w:val="toc 3"/>
    <w:basedOn w:val="1"/>
    <w:next w:val="1"/>
    <w:qFormat/>
    <w:uiPriority w:val="0"/>
    <w:pPr>
      <w:ind w:left="840" w:leftChars="400"/>
    </w:pPr>
  </w:style>
  <w:style w:type="paragraph" w:styleId="9">
    <w:name w:val="Balloon Text"/>
    <w:basedOn w:val="1"/>
    <w:link w:val="23"/>
    <w:qFormat/>
    <w:uiPriority w:val="0"/>
    <w:rPr>
      <w:sz w:val="18"/>
      <w:szCs w:val="18"/>
    </w:rPr>
  </w:style>
  <w:style w:type="paragraph" w:styleId="10">
    <w:name w:val="footer"/>
    <w:basedOn w:val="1"/>
    <w:qFormat/>
    <w:uiPriority w:val="0"/>
    <w:pPr>
      <w:tabs>
        <w:tab w:val="center" w:pos="4153"/>
        <w:tab w:val="right" w:pos="8306"/>
      </w:tabs>
      <w:snapToGrid w:val="0"/>
      <w:jc w:val="left"/>
    </w:pPr>
    <w:rPr>
      <w:kern w:val="0"/>
      <w:sz w:val="18"/>
      <w:szCs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2">
    <w:name w:val="Body Text 2"/>
    <w:basedOn w:val="1"/>
    <w:qFormat/>
    <w:uiPriority w:val="0"/>
    <w:pPr>
      <w:spacing w:after="120" w:line="480" w:lineRule="auto"/>
    </w:pPr>
  </w:style>
  <w:style w:type="paragraph" w:styleId="13">
    <w:name w:val="Body Text First Indent 2"/>
    <w:basedOn w:val="7"/>
    <w:next w:val="14"/>
    <w:qFormat/>
    <w:uiPriority w:val="0"/>
    <w:pPr>
      <w:ind w:left="200" w:leftChars="200" w:firstLine="420" w:firstLineChars="200"/>
    </w:pPr>
  </w:style>
  <w:style w:type="paragraph" w:customStyle="1" w:styleId="14">
    <w:name w:val="正文内容"/>
    <w:basedOn w:val="1"/>
    <w:qFormat/>
    <w:uiPriority w:val="0"/>
    <w:pPr>
      <w:ind w:firstLine="200" w:firstLineChars="200"/>
      <w:jc w:val="left"/>
    </w:pPr>
    <w:rPr>
      <w:rFonts w:ascii="Times New Roman" w:hAnsi="Times New Roman" w:eastAsia="仿宋_GB2312"/>
      <w:sz w:val="24"/>
    </w:rPr>
  </w:style>
  <w:style w:type="table" w:styleId="16">
    <w:name w:val="Table Grid"/>
    <w:basedOn w:val="1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qFormat/>
    <w:uiPriority w:val="0"/>
    <w:rPr>
      <w:b/>
    </w:rPr>
  </w:style>
  <w:style w:type="character" w:styleId="19">
    <w:name w:val="annotation reference"/>
    <w:basedOn w:val="17"/>
    <w:qFormat/>
    <w:uiPriority w:val="0"/>
    <w:rPr>
      <w:sz w:val="21"/>
      <w:szCs w:val="21"/>
    </w:rPr>
  </w:style>
  <w:style w:type="character" w:customStyle="1" w:styleId="20">
    <w:name w:val="标题 2 字符"/>
    <w:basedOn w:val="17"/>
    <w:link w:val="5"/>
    <w:qFormat/>
    <w:uiPriority w:val="0"/>
    <w:rPr>
      <w:rFonts w:ascii="Cambria" w:hAnsi="Cambria" w:eastAsia="宋体" w:cs="Times New Roman"/>
      <w:b/>
      <w:bCs/>
      <w:kern w:val="2"/>
      <w:sz w:val="32"/>
      <w:szCs w:val="32"/>
    </w:rPr>
  </w:style>
  <w:style w:type="paragraph" w:customStyle="1" w:styleId="21">
    <w:name w:val="GEDI正文样式"/>
    <w:basedOn w:val="1"/>
    <w:qFormat/>
    <w:uiPriority w:val="0"/>
    <w:pPr>
      <w:adjustRightInd w:val="0"/>
      <w:snapToGrid w:val="0"/>
      <w:spacing w:line="480" w:lineRule="atLeast"/>
      <w:ind w:firstLine="480" w:firstLineChars="200"/>
    </w:pPr>
    <w:rPr>
      <w:szCs w:val="24"/>
    </w:rPr>
  </w:style>
  <w:style w:type="paragraph" w:customStyle="1" w:styleId="22">
    <w:name w:val="正文文本缩进1"/>
    <w:basedOn w:val="1"/>
    <w:qFormat/>
    <w:uiPriority w:val="0"/>
    <w:pPr>
      <w:spacing w:line="300" w:lineRule="auto"/>
      <w:ind w:firstLine="480"/>
    </w:pPr>
    <w:rPr>
      <w:rFonts w:ascii="宋体" w:hAnsi="宋体"/>
      <w:kern w:val="0"/>
      <w:sz w:val="24"/>
      <w:szCs w:val="24"/>
    </w:rPr>
  </w:style>
  <w:style w:type="character" w:customStyle="1" w:styleId="23">
    <w:name w:val="批注框文本 字符"/>
    <w:basedOn w:val="17"/>
    <w:link w:val="9"/>
    <w:qFormat/>
    <w:uiPriority w:val="0"/>
    <w:rPr>
      <w:rFonts w:ascii="Calibri" w:hAnsi="Calibri"/>
      <w:kern w:val="2"/>
      <w:sz w:val="18"/>
      <w:szCs w:val="18"/>
    </w:rPr>
  </w:style>
  <w:style w:type="paragraph" w:customStyle="1" w:styleId="24">
    <w:name w:val="p0"/>
    <w:basedOn w:val="1"/>
    <w:qFormat/>
    <w:uiPriority w:val="0"/>
    <w:pPr>
      <w:widowControl/>
    </w:pPr>
    <w:rPr>
      <w:rFonts w:ascii="Times New Roman" w:hAnsi="Times New Roman"/>
      <w:kern w:val="0"/>
      <w:szCs w:val="21"/>
    </w:rPr>
  </w:style>
  <w:style w:type="paragraph" w:customStyle="1" w:styleId="25">
    <w:name w:val="正文 A"/>
    <w:qFormat/>
    <w:uiPriority w:val="0"/>
    <w:pPr>
      <w:widowControl w:val="0"/>
      <w:jc w:val="both"/>
    </w:pPr>
    <w:rPr>
      <w:rFonts w:ascii="Arial Unicode MS" w:hAnsi="Arial Unicode MS" w:eastAsia="Arial Unicode MS" w:cs="Arial Unicode MS"/>
      <w:color w:val="000000"/>
      <w:sz w:val="22"/>
      <w:szCs w:val="22"/>
      <w:u w:color="000000"/>
      <w:lang w:val="zh-TW" w:eastAsia="zh-TW"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dw</Company>
  <Pages>4</Pages>
  <Words>4080</Words>
  <Characters>4264</Characters>
  <Lines>37</Lines>
  <Paragraphs>10</Paragraphs>
  <TotalTime>2</TotalTime>
  <ScaleCrop>false</ScaleCrop>
  <LinksUpToDate>false</LinksUpToDate>
  <CharactersWithSpaces>5009</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2019-03-11T09:45:00Z</dcterms:created>
  <dc:creator>杨雯雁</dc:creator>
  <cp:lastModifiedBy>李学妨</cp:lastModifiedBy>
  <cp:lastPrinted>2025-09-04T15:12:00Z</cp:lastPrinted>
  <dcterms:modified xsi:type="dcterms:W3CDTF">2026-04-23T06:21:00Z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6654778F7C31469CB3DD900708F907A8_13</vt:lpwstr>
  </property>
  <property fmtid="{D5CDD505-2E9C-101B-9397-08002B2CF9AE}" pid="4" name="KSOTemplateDocerSaveRecord">
    <vt:lpwstr>eyJoZGlkIjoiZmRkYTQwZTkzNmExNGVmZGRmMGRkNGZjMGZiM2FmODUiLCJ1c2VySWQiOiIyODQyNjc4MDcifQ==</vt:lpwstr>
  </property>
</Properties>
</file>