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77E157">
      <w:pPr>
        <w:jc w:val="center"/>
        <w:rPr>
          <w:rFonts w:hint="default" w:eastAsia="微软雅黑"/>
          <w:lang w:val="en-US" w:eastAsia="zh-CN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贵州黔能企业有限责任公司2026年纳雍35kV曙光二期扩建工程OPPC耐张线夹零星采购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技术要求附件</w:t>
      </w:r>
    </w:p>
    <w:p w14:paraId="6A6F9BE1">
      <w:pPr>
        <w:rPr>
          <w:rFonts w:hint="eastAsia"/>
          <w:lang w:eastAsia="zh-CN"/>
        </w:rPr>
      </w:pPr>
      <w:r>
        <w:rPr>
          <w:rFonts w:hint="eastAsia"/>
        </w:rPr>
        <w:t>120/25,OPPC耐张线夹</w:t>
      </w:r>
      <w:r>
        <w:rPr>
          <w:rFonts w:hint="eastAsia"/>
          <w:lang w:eastAsia="zh-CN"/>
        </w:rPr>
        <w:t>：</w:t>
      </w:r>
    </w:p>
    <w:p w14:paraId="5DD0D3BF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材质：</w:t>
      </w:r>
      <w:bookmarkStart w:id="0" w:name="_GoBack"/>
      <w:bookmarkEnd w:id="0"/>
      <w:r>
        <w:rPr>
          <w:rFonts w:hint="eastAsia"/>
          <w:lang w:eastAsia="zh-CN"/>
        </w:rPr>
        <w:t>铝，加金刚砂</w:t>
      </w:r>
    </w:p>
    <w:p w14:paraId="34F2E6C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图片：</w:t>
      </w:r>
      <w:r>
        <w:rPr>
          <w:rFonts w:hint="default"/>
          <w:lang w:val="en-US" w:eastAsia="zh-CN"/>
        </w:rPr>
        <w:drawing>
          <wp:inline distT="0" distB="0" distL="114300" distR="114300">
            <wp:extent cx="3048000" cy="3048000"/>
            <wp:effectExtent l="0" t="0" r="0" b="0"/>
            <wp:docPr id="1" name="图片 1" descr="OPPC光缆耐张线夹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OPPC光缆耐张线夹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40214F"/>
    <w:rsid w:val="3D40214F"/>
    <w:rsid w:val="4EA304D3"/>
    <w:rsid w:val="7073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2026-04-29T08:42:00Z</dcterms:created>
  <dc:creator>李禹宏</dc:creator>
  <cp:lastModifiedBy>李禹宏</cp:lastModifiedBy>
  <dcterms:modified xsi:type="dcterms:W3CDTF">2026-04-29T09:23:22Z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7ED13667F3434B909FD53769DE56204F_13</vt:lpwstr>
  </property>
</Properties>
</file>