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7"/>
        <w:numPr>
          <w:ilvl w:val="1"/>
          <w:numId w:val="0"/>
        </w:numPr>
        <w:autoSpaceDE w:val="0"/>
        <w:autoSpaceDN w:val="0"/>
        <w:rPr>
          <w:rFonts w:ascii="Times New Roman"/>
        </w:rPr>
      </w:pPr>
      <w:bookmarkStart w:id="0" w:name="_Toc415486390"/>
      <w:bookmarkStart w:id="1" w:name="_Toc416267173"/>
    </w:p>
    <w:p>
      <w:pPr>
        <w:pStyle w:val="27"/>
        <w:numPr>
          <w:ilvl w:val="1"/>
          <w:numId w:val="0"/>
        </w:numPr>
        <w:autoSpaceDE w:val="0"/>
        <w:autoSpaceDN w:val="0"/>
        <w:rPr>
          <w:rFonts w:ascii="Times New Roman"/>
        </w:rPr>
      </w:pPr>
    </w:p>
    <w:p>
      <w:pPr>
        <w:pStyle w:val="27"/>
        <w:numPr>
          <w:ilvl w:val="1"/>
          <w:numId w:val="0"/>
        </w:numPr>
        <w:autoSpaceDE w:val="0"/>
        <w:autoSpaceDN w:val="0"/>
        <w:rPr>
          <w:rFonts w:ascii="Times New Roman"/>
        </w:rPr>
      </w:pPr>
    </w:p>
    <w:p>
      <w:pPr>
        <w:pStyle w:val="27"/>
        <w:numPr>
          <w:ilvl w:val="1"/>
          <w:numId w:val="0"/>
        </w:numPr>
        <w:autoSpaceDE w:val="0"/>
        <w:autoSpaceDN w:val="0"/>
        <w:rPr>
          <w:rFonts w:ascii="Times New Roman"/>
        </w:rPr>
      </w:pPr>
    </w:p>
    <w:p>
      <w:pPr>
        <w:pStyle w:val="27"/>
        <w:numPr>
          <w:ilvl w:val="1"/>
          <w:numId w:val="0"/>
        </w:numPr>
        <w:autoSpaceDE w:val="0"/>
        <w:autoSpaceDN w:val="0"/>
        <w:rPr>
          <w:rFonts w:ascii="Times New Roman"/>
        </w:rPr>
      </w:pPr>
    </w:p>
    <w:p>
      <w:pPr>
        <w:pStyle w:val="27"/>
        <w:numPr>
          <w:ilvl w:val="1"/>
          <w:numId w:val="0"/>
        </w:numPr>
        <w:autoSpaceDE w:val="0"/>
        <w:autoSpaceDN w:val="0"/>
        <w:rPr>
          <w:rFonts w:ascii="Times New Roman"/>
        </w:rPr>
      </w:pPr>
    </w:p>
    <w:p>
      <w:pPr>
        <w:pStyle w:val="27"/>
        <w:numPr>
          <w:ilvl w:val="1"/>
          <w:numId w:val="0"/>
        </w:numPr>
        <w:autoSpaceDE w:val="0"/>
        <w:autoSpaceDN w:val="0"/>
        <w:rPr>
          <w:rFonts w:ascii="Times New Roman"/>
        </w:rPr>
      </w:pPr>
    </w:p>
    <w:p>
      <w:pPr>
        <w:pStyle w:val="27"/>
        <w:numPr>
          <w:ilvl w:val="1"/>
          <w:numId w:val="0"/>
        </w:numPr>
        <w:autoSpaceDE w:val="0"/>
        <w:autoSpaceDN w:val="0"/>
        <w:rPr>
          <w:rFonts w:ascii="Times New Roman"/>
        </w:rPr>
      </w:pPr>
    </w:p>
    <w:p>
      <w:pPr>
        <w:spacing w:before="240" w:beforeLines="100" w:after="600" w:afterLines="250"/>
        <w:jc w:val="center"/>
        <w:rPr>
          <w:sz w:val="52"/>
        </w:rPr>
      </w:pPr>
    </w:p>
    <w:p>
      <w:pPr>
        <w:spacing w:before="240" w:beforeLines="100" w:after="600" w:afterLines="250"/>
        <w:jc w:val="center"/>
        <w:rPr>
          <w:rFonts w:hint="eastAsia"/>
          <w:b/>
          <w:sz w:val="52"/>
          <w:lang w:val="en-US" w:eastAsia="zh-CN"/>
        </w:rPr>
      </w:pPr>
      <w:r>
        <w:rPr>
          <w:rFonts w:hint="eastAsia"/>
          <w:b/>
          <w:sz w:val="52"/>
          <w:lang w:val="en-US" w:eastAsia="zh-CN"/>
        </w:rPr>
        <w:t>10kW汽油发电机</w:t>
      </w:r>
    </w:p>
    <w:p>
      <w:pPr>
        <w:spacing w:before="240" w:beforeLines="100" w:after="600" w:afterLines="250"/>
        <w:jc w:val="center"/>
        <w:rPr>
          <w:b/>
          <w:sz w:val="52"/>
        </w:rPr>
      </w:pPr>
      <w:r>
        <w:rPr>
          <w:b/>
          <w:sz w:val="52"/>
        </w:rPr>
        <w:t>技术</w:t>
      </w:r>
      <w:r>
        <w:rPr>
          <w:rFonts w:hint="eastAsia"/>
          <w:b/>
          <w:sz w:val="52"/>
        </w:rPr>
        <w:t>规范书</w:t>
      </w:r>
    </w:p>
    <w:p>
      <w:pPr>
        <w:spacing w:before="480" w:beforeLines="200"/>
        <w:ind w:firstLine="2862" w:firstLineChars="795"/>
        <w:jc w:val="left"/>
        <w:rPr>
          <w:sz w:val="36"/>
        </w:rPr>
      </w:pPr>
    </w:p>
    <w:p>
      <w:pPr>
        <w:spacing w:before="480" w:beforeLines="200"/>
        <w:jc w:val="left"/>
        <w:rPr>
          <w:spacing w:val="20"/>
          <w:w w:val="135"/>
          <w:sz w:val="30"/>
        </w:rPr>
      </w:pPr>
    </w:p>
    <w:p>
      <w:pPr>
        <w:spacing w:before="480" w:beforeLines="200"/>
        <w:jc w:val="left"/>
        <w:rPr>
          <w:spacing w:val="20"/>
          <w:w w:val="135"/>
          <w:sz w:val="30"/>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spacing w:val="0"/>
          <w:w w:val="100"/>
          <w:kern w:val="0"/>
          <w:sz w:val="32"/>
          <w:szCs w:val="32"/>
        </w:rPr>
      </w:pPr>
      <w:r>
        <w:rPr>
          <w:rFonts w:hint="eastAsia" w:ascii="黑体" w:hAnsi="黑体" w:eastAsia="黑体" w:cs="黑体"/>
          <w:b/>
          <w:spacing w:val="0"/>
          <w:w w:val="100"/>
          <w:kern w:val="0"/>
          <w:sz w:val="32"/>
          <w:szCs w:val="32"/>
        </w:rPr>
        <w:t>南方电网绿能科技（广东）有限公司</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黑体" w:eastAsia="黑体"/>
          <w:b/>
          <w:spacing w:val="20"/>
          <w:w w:val="135"/>
          <w:sz w:val="30"/>
        </w:rPr>
      </w:pPr>
      <w:r>
        <w:rPr>
          <w:rFonts w:hint="eastAsia" w:ascii="黑体" w:hAnsi="黑体" w:eastAsia="黑体" w:cs="黑体"/>
          <w:b/>
          <w:spacing w:val="0"/>
          <w:w w:val="100"/>
          <w:kern w:val="0"/>
          <w:sz w:val="32"/>
          <w:szCs w:val="32"/>
        </w:rPr>
        <w:t>2026年0</w:t>
      </w:r>
      <w:r>
        <w:rPr>
          <w:rFonts w:hint="eastAsia" w:ascii="黑体" w:hAnsi="黑体" w:eastAsia="黑体" w:cs="黑体"/>
          <w:b/>
          <w:spacing w:val="0"/>
          <w:w w:val="100"/>
          <w:kern w:val="0"/>
          <w:sz w:val="32"/>
          <w:szCs w:val="32"/>
          <w:lang w:val="en-US" w:eastAsia="zh-CN"/>
        </w:rPr>
        <w:t>3</w:t>
      </w:r>
      <w:r>
        <w:rPr>
          <w:rFonts w:hint="eastAsia" w:ascii="黑体" w:hAnsi="黑体" w:eastAsia="黑体" w:cs="黑体"/>
          <w:b/>
          <w:spacing w:val="0"/>
          <w:w w:val="100"/>
          <w:kern w:val="0"/>
          <w:sz w:val="32"/>
          <w:szCs w:val="32"/>
        </w:rPr>
        <w:t>月</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Arial" w:hAnsi="Arial"/>
          <w:bCs/>
          <w:sz w:val="44"/>
          <w:szCs w:val="44"/>
        </w:rPr>
      </w:pPr>
      <w:r>
        <w:rPr>
          <w:rFonts w:ascii="仿宋_GB2312" w:eastAsia="仿宋_GB2312"/>
          <w:color w:val="000000"/>
        </w:rPr>
        <w:br w:type="page"/>
      </w:r>
      <w:r>
        <w:rPr>
          <w:rFonts w:hint="eastAsia" w:ascii="方正小标宋_GBK" w:hAnsi="方正小标宋_GBK" w:eastAsia="方正小标宋_GBK" w:cs="方正小标宋_GBK"/>
          <w:bCs/>
          <w:sz w:val="44"/>
          <w:szCs w:val="44"/>
        </w:rPr>
        <w:t>知识产权声明</w:t>
      </w:r>
    </w:p>
    <w:p>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ascii="Arial" w:hAnsi="Arial"/>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南方电网公司拥有本作品的知识产权，未经南方电网公司书面许可，任何单位和个人不得擅自</w:t>
      </w:r>
      <w:r>
        <w:rPr>
          <w:rFonts w:hint="eastAsia" w:ascii="仿宋_GB2312" w:hAnsi="仿宋_GB2312" w:eastAsia="仿宋_GB2312" w:cs="仿宋_GB2312"/>
          <w:color w:val="333333"/>
          <w:sz w:val="32"/>
          <w:szCs w:val="32"/>
        </w:rPr>
        <w:t>使用（包括但不限于复制、发行、转载、通过信息网络传播等）</w:t>
      </w:r>
      <w:r>
        <w:rPr>
          <w:rFonts w:hint="eastAsia" w:ascii="仿宋_GB2312" w:hAnsi="仿宋_GB2312" w:eastAsia="仿宋_GB2312" w:cs="仿宋_GB2312"/>
          <w:sz w:val="32"/>
          <w:szCs w:val="32"/>
        </w:rPr>
        <w:t>，否则，南方电网公司将依法追究法律责任。</w:t>
      </w:r>
    </w:p>
    <w:p>
      <w:pPr>
        <w:keepNext w:val="0"/>
        <w:keepLines w:val="0"/>
        <w:pageBreakBefore w:val="0"/>
        <w:widowControl w:val="0"/>
        <w:kinsoku/>
        <w:wordWrap/>
        <w:overflowPunct/>
        <w:topLinePunct w:val="0"/>
        <w:autoSpaceDE/>
        <w:autoSpaceDN/>
        <w:bidi w:val="0"/>
        <w:adjustRightInd/>
        <w:snapToGrid/>
        <w:spacing w:line="560" w:lineRule="exact"/>
        <w:ind w:left="0"/>
        <w:textAlignment w:val="auto"/>
        <w:rPr>
          <w:rFonts w:ascii="Arial" w:hAnsi="Arial"/>
          <w:sz w:val="28"/>
          <w:szCs w:val="28"/>
        </w:rPr>
      </w:pPr>
    </w:p>
    <w:p>
      <w:pPr>
        <w:keepNext w:val="0"/>
        <w:keepLines w:val="0"/>
        <w:pageBreakBefore w:val="0"/>
        <w:widowControl w:val="0"/>
        <w:kinsoku/>
        <w:wordWrap/>
        <w:overflowPunct/>
        <w:topLinePunct w:val="0"/>
        <w:autoSpaceDE/>
        <w:autoSpaceDN/>
        <w:bidi w:val="0"/>
        <w:adjustRightInd/>
        <w:snapToGrid/>
        <w:spacing w:line="560" w:lineRule="exact"/>
        <w:ind w:left="0" w:firstLine="560"/>
        <w:textAlignment w:val="auto"/>
        <w:rPr>
          <w:rFonts w:ascii="Arial" w:hAnsi="Arial"/>
          <w:sz w:val="28"/>
          <w:szCs w:val="28"/>
        </w:rPr>
      </w:pPr>
    </w:p>
    <w:p>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ascii="Trebuchet MS" w:hAnsi="Trebuchet MS" w:cs="Trebuchet MS"/>
          <w:sz w:val="44"/>
          <w:szCs w:val="44"/>
        </w:rPr>
      </w:pPr>
      <w:r>
        <w:rPr>
          <w:rFonts w:ascii="Trebuchet MS" w:hAnsi="Trebuchet MS" w:cs="Trebuchet MS"/>
          <w:sz w:val="44"/>
          <w:szCs w:val="44"/>
        </w:rPr>
        <w:t>Intellectual Property Rights Statement</w:t>
      </w:r>
    </w:p>
    <w:p>
      <w:pPr>
        <w:keepNext w:val="0"/>
        <w:keepLines w:val="0"/>
        <w:pageBreakBefore w:val="0"/>
        <w:widowControl w:val="0"/>
        <w:kinsoku/>
        <w:wordWrap/>
        <w:overflowPunct/>
        <w:topLinePunct w:val="0"/>
        <w:autoSpaceDE/>
        <w:autoSpaceDN/>
        <w:bidi w:val="0"/>
        <w:adjustRightInd/>
        <w:snapToGrid/>
        <w:spacing w:line="560" w:lineRule="exact"/>
        <w:ind w:left="0" w:firstLine="640"/>
        <w:textAlignment w:val="auto"/>
        <w:rPr>
          <w:rFonts w:ascii="Arial" w:hAnsi="Arial"/>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firstLine="640"/>
        <w:textAlignment w:val="auto"/>
        <w:rPr>
          <w:sz w:val="32"/>
          <w:szCs w:val="32"/>
        </w:rPr>
      </w:pPr>
      <w:r>
        <w:rPr>
          <w:sz w:val="32"/>
          <w:szCs w:val="32"/>
        </w:rPr>
        <w:t>China Southern Power Grid is the owner of the intellectual property rights of this work. Any person or organization shall not utilize (including but not limited to reproduce</w:t>
      </w:r>
      <w:r>
        <w:rPr>
          <w:rFonts w:hint="eastAsia"/>
          <w:sz w:val="32"/>
          <w:szCs w:val="32"/>
          <w:lang w:eastAsia="zh-CN"/>
        </w:rPr>
        <w:t>，</w:t>
      </w:r>
      <w:r>
        <w:rPr>
          <w:sz w:val="32"/>
          <w:szCs w:val="32"/>
        </w:rPr>
        <w:t>distribute</w:t>
      </w:r>
      <w:r>
        <w:rPr>
          <w:rFonts w:hint="eastAsia"/>
          <w:sz w:val="32"/>
          <w:szCs w:val="32"/>
          <w:lang w:eastAsia="zh-CN"/>
        </w:rPr>
        <w:t>，</w:t>
      </w:r>
      <w:r>
        <w:rPr>
          <w:sz w:val="32"/>
          <w:szCs w:val="32"/>
        </w:rPr>
        <w:t>transmit or disseminate through the internet) without the prior written permission of the owner and will be held legally responsible otherwise by China Southern Power Grid.</w:t>
      </w:r>
    </w:p>
    <w:p>
      <w:pPr>
        <w:widowControl/>
        <w:jc w:val="left"/>
        <w:rPr>
          <w:rFonts w:ascii="仿宋_GB2312" w:eastAsia="仿宋_GB2312"/>
          <w:color w:val="000000"/>
        </w:rPr>
      </w:pPr>
    </w:p>
    <w:p>
      <w:pPr>
        <w:rPr>
          <w:rFonts w:hint="eastAsia" w:eastAsia="黑体"/>
          <w:sz w:val="32"/>
          <w:szCs w:val="28"/>
          <w:lang w:val="en-US" w:eastAsia="zh-CN"/>
        </w:rPr>
      </w:pPr>
      <w:r>
        <w:rPr>
          <w:rFonts w:hint="eastAsia" w:eastAsia="黑体"/>
          <w:sz w:val="32"/>
          <w:szCs w:val="28"/>
          <w:lang w:val="en-US" w:eastAsia="zh-CN"/>
        </w:rPr>
        <w:br w:type="page"/>
      </w:r>
    </w:p>
    <w:p>
      <w:pPr>
        <w:spacing w:line="360" w:lineRule="auto"/>
        <w:jc w:val="center"/>
        <w:rPr>
          <w:rFonts w:ascii="黑体" w:eastAsia="黑体"/>
          <w:sz w:val="36"/>
          <w:szCs w:val="36"/>
        </w:rPr>
      </w:pPr>
      <w:r>
        <w:rPr>
          <w:rFonts w:hint="eastAsia" w:ascii="黑体" w:eastAsia="黑体"/>
          <w:sz w:val="36"/>
          <w:szCs w:val="36"/>
        </w:rPr>
        <w:t>目</w:t>
      </w:r>
      <w:bookmarkStart w:id="2" w:name="BKML"/>
      <w:bookmarkEnd w:id="2"/>
      <w:r>
        <w:rPr>
          <w:rFonts w:hint="eastAsia" w:ascii="黑体" w:eastAsia="黑体"/>
          <w:sz w:val="36"/>
          <w:szCs w:val="36"/>
        </w:rPr>
        <w:t xml:space="preserve"> </w:t>
      </w:r>
      <w:r>
        <w:rPr>
          <w:rFonts w:hint="eastAsia" w:ascii="黑体" w:eastAsia="黑体"/>
          <w:sz w:val="36"/>
          <w:szCs w:val="36"/>
          <w:lang w:val="en-US" w:eastAsia="zh-CN"/>
        </w:rPr>
        <w:t xml:space="preserve"> </w:t>
      </w:r>
      <w:r>
        <w:rPr>
          <w:rFonts w:hint="eastAsia" w:ascii="黑体" w:eastAsia="黑体"/>
          <w:sz w:val="36"/>
          <w:szCs w:val="36"/>
        </w:rPr>
        <w:t>录</w:t>
      </w:r>
    </w:p>
    <w:p>
      <w:pPr>
        <w:pStyle w:val="32"/>
        <w:keepNext w:val="0"/>
        <w:keepLines w:val="0"/>
        <w:pageBreakBefore w:val="0"/>
        <w:tabs>
          <w:tab w:val="right" w:leader="dot" w:pos="9354"/>
          <w:tab w:val="clear" w:pos="9241"/>
        </w:tabs>
        <w:kinsoku/>
        <w:wordWrap/>
        <w:overflowPunct/>
        <w:topLinePunct w:val="0"/>
        <w:bidi w:val="0"/>
        <w:adjustRightInd/>
        <w:snapToGrid/>
        <w:spacing w:line="360" w:lineRule="auto"/>
        <w:textAlignment w:val="auto"/>
        <w:rPr>
          <w:sz w:val="24"/>
          <w:szCs w:val="24"/>
        </w:rPr>
      </w:pPr>
      <w:r>
        <w:rPr>
          <w:sz w:val="24"/>
          <w:szCs w:val="24"/>
        </w:rPr>
        <w:fldChar w:fldCharType="begin"/>
      </w:r>
      <w:r>
        <w:rPr>
          <w:sz w:val="24"/>
          <w:szCs w:val="24"/>
        </w:rPr>
        <w:instrText xml:space="preserve"> TOC \o "1-2" \h \z \u </w:instrText>
      </w:r>
      <w:r>
        <w:rPr>
          <w:sz w:val="24"/>
          <w:szCs w:val="24"/>
        </w:rPr>
        <w:fldChar w:fldCharType="separate"/>
      </w:r>
      <w:r>
        <w:rPr>
          <w:sz w:val="24"/>
          <w:szCs w:val="24"/>
        </w:rPr>
        <w:fldChar w:fldCharType="begin"/>
      </w:r>
      <w:r>
        <w:rPr>
          <w:sz w:val="24"/>
          <w:szCs w:val="24"/>
        </w:rPr>
        <w:instrText xml:space="preserve"> HYPERLINK \l _Toc11680 </w:instrText>
      </w:r>
      <w:r>
        <w:rPr>
          <w:sz w:val="24"/>
          <w:szCs w:val="24"/>
        </w:rPr>
        <w:fldChar w:fldCharType="separate"/>
      </w:r>
      <w:r>
        <w:rPr>
          <w:rFonts w:hint="default" w:ascii="Times New Roman" w:hAnsi="Times New Roman" w:eastAsia="黑体" w:cs="Times New Roman"/>
          <w:i w:val="0"/>
          <w:sz w:val="24"/>
          <w:szCs w:val="24"/>
        </w:rPr>
        <w:t xml:space="preserve">1 </w:t>
      </w:r>
      <w:r>
        <w:rPr>
          <w:rFonts w:ascii="Times New Roman"/>
          <w:sz w:val="24"/>
          <w:szCs w:val="24"/>
        </w:rPr>
        <w:t>范围</w:t>
      </w:r>
      <w:r>
        <w:rPr>
          <w:sz w:val="24"/>
          <w:szCs w:val="24"/>
        </w:rPr>
        <w:tab/>
      </w:r>
      <w:r>
        <w:rPr>
          <w:sz w:val="24"/>
          <w:szCs w:val="24"/>
        </w:rPr>
        <w:fldChar w:fldCharType="begin"/>
      </w:r>
      <w:r>
        <w:rPr>
          <w:sz w:val="24"/>
          <w:szCs w:val="24"/>
        </w:rPr>
        <w:instrText xml:space="preserve"> PAGEREF _Toc11680 \h </w:instrText>
      </w:r>
      <w:r>
        <w:rPr>
          <w:sz w:val="24"/>
          <w:szCs w:val="24"/>
        </w:rPr>
        <w:fldChar w:fldCharType="separate"/>
      </w:r>
      <w:r>
        <w:rPr>
          <w:sz w:val="24"/>
          <w:szCs w:val="24"/>
        </w:rPr>
        <w:t>1</w:t>
      </w:r>
      <w:r>
        <w:rPr>
          <w:sz w:val="24"/>
          <w:szCs w:val="24"/>
        </w:rPr>
        <w:fldChar w:fldCharType="end"/>
      </w:r>
      <w:r>
        <w:rPr>
          <w:sz w:val="24"/>
          <w:szCs w:val="24"/>
        </w:rPr>
        <w:fldChar w:fldCharType="end"/>
      </w:r>
    </w:p>
    <w:p>
      <w:pPr>
        <w:pStyle w:val="32"/>
        <w:keepNext w:val="0"/>
        <w:keepLines w:val="0"/>
        <w:pageBreakBefore w:val="0"/>
        <w:tabs>
          <w:tab w:val="right" w:leader="dot" w:pos="9354"/>
          <w:tab w:val="clear" w:pos="9241"/>
        </w:tabs>
        <w:kinsoku/>
        <w:wordWrap/>
        <w:overflowPunct/>
        <w:topLinePunct w:val="0"/>
        <w:bidi w:val="0"/>
        <w:adjustRightInd/>
        <w:snapToGrid/>
        <w:spacing w:line="360" w:lineRule="auto"/>
        <w:textAlignment w:val="auto"/>
        <w:rPr>
          <w:sz w:val="24"/>
          <w:szCs w:val="24"/>
        </w:rPr>
      </w:pPr>
      <w:r>
        <w:rPr>
          <w:sz w:val="24"/>
          <w:szCs w:val="24"/>
        </w:rPr>
        <w:fldChar w:fldCharType="begin"/>
      </w:r>
      <w:r>
        <w:rPr>
          <w:sz w:val="24"/>
          <w:szCs w:val="24"/>
        </w:rPr>
        <w:instrText xml:space="preserve"> HYPERLINK \l _Toc15145 </w:instrText>
      </w:r>
      <w:r>
        <w:rPr>
          <w:sz w:val="24"/>
          <w:szCs w:val="24"/>
        </w:rPr>
        <w:fldChar w:fldCharType="separate"/>
      </w:r>
      <w:r>
        <w:rPr>
          <w:rFonts w:hint="default" w:ascii="Times New Roman" w:hAnsi="Times New Roman" w:eastAsia="黑体" w:cs="Times New Roman"/>
          <w:i w:val="0"/>
          <w:sz w:val="24"/>
          <w:szCs w:val="24"/>
        </w:rPr>
        <w:t xml:space="preserve">2 </w:t>
      </w:r>
      <w:r>
        <w:rPr>
          <w:rFonts w:ascii="Times New Roman"/>
          <w:sz w:val="24"/>
          <w:szCs w:val="24"/>
        </w:rPr>
        <w:t>规范性引用文件</w:t>
      </w:r>
      <w:r>
        <w:rPr>
          <w:sz w:val="24"/>
          <w:szCs w:val="24"/>
        </w:rPr>
        <w:tab/>
      </w:r>
      <w:r>
        <w:rPr>
          <w:sz w:val="24"/>
          <w:szCs w:val="24"/>
        </w:rPr>
        <w:fldChar w:fldCharType="begin"/>
      </w:r>
      <w:r>
        <w:rPr>
          <w:sz w:val="24"/>
          <w:szCs w:val="24"/>
        </w:rPr>
        <w:instrText xml:space="preserve"> PAGEREF _Toc15145 \h </w:instrText>
      </w:r>
      <w:r>
        <w:rPr>
          <w:sz w:val="24"/>
          <w:szCs w:val="24"/>
        </w:rPr>
        <w:fldChar w:fldCharType="separate"/>
      </w:r>
      <w:r>
        <w:rPr>
          <w:sz w:val="24"/>
          <w:szCs w:val="24"/>
        </w:rPr>
        <w:t>1</w:t>
      </w:r>
      <w:r>
        <w:rPr>
          <w:sz w:val="24"/>
          <w:szCs w:val="24"/>
        </w:rPr>
        <w:fldChar w:fldCharType="end"/>
      </w:r>
      <w:r>
        <w:rPr>
          <w:sz w:val="24"/>
          <w:szCs w:val="24"/>
        </w:rPr>
        <w:fldChar w:fldCharType="end"/>
      </w:r>
    </w:p>
    <w:p>
      <w:pPr>
        <w:pStyle w:val="32"/>
        <w:keepNext w:val="0"/>
        <w:keepLines w:val="0"/>
        <w:pageBreakBefore w:val="0"/>
        <w:tabs>
          <w:tab w:val="right" w:leader="dot" w:pos="9354"/>
          <w:tab w:val="clear" w:pos="9241"/>
        </w:tabs>
        <w:kinsoku/>
        <w:wordWrap/>
        <w:overflowPunct/>
        <w:topLinePunct w:val="0"/>
        <w:bidi w:val="0"/>
        <w:adjustRightInd/>
        <w:snapToGrid/>
        <w:spacing w:line="360" w:lineRule="auto"/>
        <w:textAlignment w:val="auto"/>
        <w:rPr>
          <w:sz w:val="24"/>
          <w:szCs w:val="24"/>
        </w:rPr>
      </w:pPr>
      <w:r>
        <w:rPr>
          <w:sz w:val="24"/>
          <w:szCs w:val="24"/>
        </w:rPr>
        <w:fldChar w:fldCharType="begin"/>
      </w:r>
      <w:r>
        <w:rPr>
          <w:sz w:val="24"/>
          <w:szCs w:val="24"/>
        </w:rPr>
        <w:instrText xml:space="preserve"> HYPERLINK \l _Toc12671 </w:instrText>
      </w:r>
      <w:r>
        <w:rPr>
          <w:sz w:val="24"/>
          <w:szCs w:val="24"/>
        </w:rPr>
        <w:fldChar w:fldCharType="separate"/>
      </w:r>
      <w:r>
        <w:rPr>
          <w:rFonts w:hint="default" w:ascii="Times New Roman" w:hAnsi="Times New Roman" w:eastAsia="黑体" w:cs="Times New Roman"/>
          <w:i w:val="0"/>
          <w:sz w:val="24"/>
          <w:szCs w:val="24"/>
        </w:rPr>
        <w:t xml:space="preserve">3 </w:t>
      </w:r>
      <w:r>
        <w:rPr>
          <w:rFonts w:ascii="Times New Roman"/>
          <w:sz w:val="24"/>
          <w:szCs w:val="24"/>
        </w:rPr>
        <w:t>系统组成</w:t>
      </w:r>
      <w:r>
        <w:rPr>
          <w:sz w:val="24"/>
          <w:szCs w:val="24"/>
        </w:rPr>
        <w:tab/>
      </w:r>
      <w:r>
        <w:rPr>
          <w:sz w:val="24"/>
          <w:szCs w:val="24"/>
        </w:rPr>
        <w:fldChar w:fldCharType="begin"/>
      </w:r>
      <w:r>
        <w:rPr>
          <w:sz w:val="24"/>
          <w:szCs w:val="24"/>
        </w:rPr>
        <w:instrText xml:space="preserve"> PAGEREF _Toc12671 \h </w:instrText>
      </w:r>
      <w:r>
        <w:rPr>
          <w:sz w:val="24"/>
          <w:szCs w:val="24"/>
        </w:rPr>
        <w:fldChar w:fldCharType="separate"/>
      </w:r>
      <w:r>
        <w:rPr>
          <w:sz w:val="24"/>
          <w:szCs w:val="24"/>
        </w:rPr>
        <w:t>1</w:t>
      </w:r>
      <w:r>
        <w:rPr>
          <w:sz w:val="24"/>
          <w:szCs w:val="24"/>
        </w:rPr>
        <w:fldChar w:fldCharType="end"/>
      </w:r>
      <w:r>
        <w:rPr>
          <w:sz w:val="24"/>
          <w:szCs w:val="24"/>
        </w:rPr>
        <w:fldChar w:fldCharType="end"/>
      </w:r>
    </w:p>
    <w:p>
      <w:pPr>
        <w:pStyle w:val="32"/>
        <w:keepNext w:val="0"/>
        <w:keepLines w:val="0"/>
        <w:pageBreakBefore w:val="0"/>
        <w:tabs>
          <w:tab w:val="right" w:leader="dot" w:pos="9354"/>
          <w:tab w:val="clear" w:pos="9241"/>
        </w:tabs>
        <w:kinsoku/>
        <w:wordWrap/>
        <w:overflowPunct/>
        <w:topLinePunct w:val="0"/>
        <w:bidi w:val="0"/>
        <w:adjustRightInd/>
        <w:snapToGrid/>
        <w:spacing w:line="360" w:lineRule="auto"/>
        <w:textAlignment w:val="auto"/>
        <w:rPr>
          <w:sz w:val="24"/>
          <w:szCs w:val="24"/>
        </w:rPr>
      </w:pPr>
      <w:r>
        <w:rPr>
          <w:sz w:val="24"/>
          <w:szCs w:val="24"/>
        </w:rPr>
        <w:fldChar w:fldCharType="begin"/>
      </w:r>
      <w:r>
        <w:rPr>
          <w:sz w:val="24"/>
          <w:szCs w:val="24"/>
        </w:rPr>
        <w:instrText xml:space="preserve"> HYPERLINK \l _Toc23448 </w:instrText>
      </w:r>
      <w:r>
        <w:rPr>
          <w:sz w:val="24"/>
          <w:szCs w:val="24"/>
        </w:rPr>
        <w:fldChar w:fldCharType="separate"/>
      </w:r>
      <w:r>
        <w:rPr>
          <w:rFonts w:hint="default" w:ascii="Times New Roman" w:hAnsi="Times New Roman" w:eastAsia="黑体" w:cs="Times New Roman"/>
          <w:i w:val="0"/>
          <w:sz w:val="24"/>
          <w:szCs w:val="24"/>
        </w:rPr>
        <w:t xml:space="preserve">4 </w:t>
      </w:r>
      <w:r>
        <w:rPr>
          <w:rFonts w:ascii="Times New Roman"/>
          <w:sz w:val="24"/>
          <w:szCs w:val="24"/>
        </w:rPr>
        <w:t>技术要求</w:t>
      </w:r>
      <w:r>
        <w:rPr>
          <w:sz w:val="24"/>
          <w:szCs w:val="24"/>
        </w:rPr>
        <w:tab/>
      </w:r>
      <w:r>
        <w:rPr>
          <w:sz w:val="24"/>
          <w:szCs w:val="24"/>
        </w:rPr>
        <w:fldChar w:fldCharType="begin"/>
      </w:r>
      <w:r>
        <w:rPr>
          <w:sz w:val="24"/>
          <w:szCs w:val="24"/>
        </w:rPr>
        <w:instrText xml:space="preserve"> PAGEREF _Toc23448 \h </w:instrText>
      </w:r>
      <w:r>
        <w:rPr>
          <w:sz w:val="24"/>
          <w:szCs w:val="24"/>
        </w:rPr>
        <w:fldChar w:fldCharType="separate"/>
      </w:r>
      <w:r>
        <w:rPr>
          <w:sz w:val="24"/>
          <w:szCs w:val="24"/>
        </w:rPr>
        <w:t>1</w:t>
      </w:r>
      <w:r>
        <w:rPr>
          <w:sz w:val="24"/>
          <w:szCs w:val="24"/>
        </w:rPr>
        <w:fldChar w:fldCharType="end"/>
      </w:r>
      <w:r>
        <w:rPr>
          <w:sz w:val="24"/>
          <w:szCs w:val="24"/>
        </w:rPr>
        <w:fldChar w:fldCharType="end"/>
      </w:r>
    </w:p>
    <w:p>
      <w:pPr>
        <w:pStyle w:val="32"/>
        <w:keepNext w:val="0"/>
        <w:keepLines w:val="0"/>
        <w:pageBreakBefore w:val="0"/>
        <w:tabs>
          <w:tab w:val="right" w:leader="dot" w:pos="9354"/>
          <w:tab w:val="clear" w:pos="9241"/>
        </w:tabs>
        <w:kinsoku/>
        <w:wordWrap/>
        <w:overflowPunct/>
        <w:topLinePunct w:val="0"/>
        <w:bidi w:val="0"/>
        <w:adjustRightInd/>
        <w:snapToGrid/>
        <w:spacing w:line="360" w:lineRule="auto"/>
        <w:textAlignment w:val="auto"/>
        <w:rPr>
          <w:sz w:val="24"/>
          <w:szCs w:val="24"/>
        </w:rPr>
      </w:pPr>
      <w:r>
        <w:rPr>
          <w:sz w:val="24"/>
          <w:szCs w:val="24"/>
        </w:rPr>
        <w:fldChar w:fldCharType="begin"/>
      </w:r>
      <w:r>
        <w:rPr>
          <w:sz w:val="24"/>
          <w:szCs w:val="24"/>
        </w:rPr>
        <w:instrText xml:space="preserve"> HYPERLINK \l _Toc14382 </w:instrText>
      </w:r>
      <w:r>
        <w:rPr>
          <w:sz w:val="24"/>
          <w:szCs w:val="24"/>
        </w:rPr>
        <w:fldChar w:fldCharType="separate"/>
      </w:r>
      <w:r>
        <w:rPr>
          <w:rFonts w:hint="default" w:ascii="Times New Roman" w:hAnsi="Times New Roman" w:eastAsia="黑体" w:cs="Times New Roman"/>
          <w:i w:val="0"/>
          <w:sz w:val="24"/>
          <w:szCs w:val="24"/>
        </w:rPr>
        <w:t xml:space="preserve">5 </w:t>
      </w:r>
      <w:r>
        <w:rPr>
          <w:rFonts w:ascii="Times New Roman"/>
          <w:sz w:val="24"/>
          <w:szCs w:val="24"/>
        </w:rPr>
        <w:t>试验要求</w:t>
      </w:r>
      <w:r>
        <w:rPr>
          <w:sz w:val="24"/>
          <w:szCs w:val="24"/>
        </w:rPr>
        <w:tab/>
      </w:r>
      <w:r>
        <w:rPr>
          <w:sz w:val="24"/>
          <w:szCs w:val="24"/>
        </w:rPr>
        <w:fldChar w:fldCharType="begin"/>
      </w:r>
      <w:r>
        <w:rPr>
          <w:sz w:val="24"/>
          <w:szCs w:val="24"/>
        </w:rPr>
        <w:instrText xml:space="preserve"> PAGEREF _Toc14382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32"/>
        <w:keepNext w:val="0"/>
        <w:keepLines w:val="0"/>
        <w:pageBreakBefore w:val="0"/>
        <w:tabs>
          <w:tab w:val="right" w:leader="dot" w:pos="9354"/>
          <w:tab w:val="clear" w:pos="9241"/>
        </w:tabs>
        <w:kinsoku/>
        <w:wordWrap/>
        <w:overflowPunct/>
        <w:topLinePunct w:val="0"/>
        <w:bidi w:val="0"/>
        <w:adjustRightInd/>
        <w:snapToGrid/>
        <w:spacing w:line="360" w:lineRule="auto"/>
        <w:textAlignment w:val="auto"/>
        <w:rPr>
          <w:sz w:val="24"/>
          <w:szCs w:val="24"/>
        </w:rPr>
      </w:pPr>
      <w:r>
        <w:rPr>
          <w:sz w:val="24"/>
          <w:szCs w:val="24"/>
        </w:rPr>
        <w:fldChar w:fldCharType="begin"/>
      </w:r>
      <w:r>
        <w:rPr>
          <w:sz w:val="24"/>
          <w:szCs w:val="24"/>
        </w:rPr>
        <w:instrText xml:space="preserve"> HYPERLINK \l _Toc19262 </w:instrText>
      </w:r>
      <w:r>
        <w:rPr>
          <w:sz w:val="24"/>
          <w:szCs w:val="24"/>
        </w:rPr>
        <w:fldChar w:fldCharType="separate"/>
      </w:r>
      <w:r>
        <w:rPr>
          <w:rFonts w:hint="default" w:ascii="Times New Roman" w:hAnsi="Times New Roman" w:eastAsia="黑体" w:cs="Times New Roman"/>
          <w:i w:val="0"/>
          <w:sz w:val="24"/>
          <w:szCs w:val="24"/>
        </w:rPr>
        <w:t xml:space="preserve">6 </w:t>
      </w:r>
      <w:r>
        <w:rPr>
          <w:rFonts w:ascii="Times New Roman"/>
          <w:sz w:val="24"/>
          <w:szCs w:val="24"/>
        </w:rPr>
        <w:t>检验规则</w:t>
      </w:r>
      <w:r>
        <w:rPr>
          <w:sz w:val="24"/>
          <w:szCs w:val="24"/>
        </w:rPr>
        <w:tab/>
      </w:r>
      <w:r>
        <w:rPr>
          <w:sz w:val="24"/>
          <w:szCs w:val="24"/>
        </w:rPr>
        <w:fldChar w:fldCharType="begin"/>
      </w:r>
      <w:r>
        <w:rPr>
          <w:sz w:val="24"/>
          <w:szCs w:val="24"/>
        </w:rPr>
        <w:instrText xml:space="preserve"> PAGEREF _Toc19262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32"/>
        <w:keepNext w:val="0"/>
        <w:keepLines w:val="0"/>
        <w:pageBreakBefore w:val="0"/>
        <w:tabs>
          <w:tab w:val="right" w:leader="dot" w:pos="9354"/>
          <w:tab w:val="clear" w:pos="9241"/>
        </w:tabs>
        <w:kinsoku/>
        <w:wordWrap/>
        <w:overflowPunct/>
        <w:topLinePunct w:val="0"/>
        <w:bidi w:val="0"/>
        <w:adjustRightInd/>
        <w:snapToGrid/>
        <w:spacing w:line="360" w:lineRule="auto"/>
        <w:textAlignment w:val="auto"/>
        <w:rPr>
          <w:sz w:val="24"/>
          <w:szCs w:val="24"/>
        </w:rPr>
      </w:pPr>
      <w:r>
        <w:rPr>
          <w:sz w:val="24"/>
          <w:szCs w:val="24"/>
        </w:rPr>
        <w:fldChar w:fldCharType="begin"/>
      </w:r>
      <w:r>
        <w:rPr>
          <w:sz w:val="24"/>
          <w:szCs w:val="24"/>
        </w:rPr>
        <w:instrText xml:space="preserve"> HYPERLINK \l _Toc11083 </w:instrText>
      </w:r>
      <w:r>
        <w:rPr>
          <w:sz w:val="24"/>
          <w:szCs w:val="24"/>
        </w:rPr>
        <w:fldChar w:fldCharType="separate"/>
      </w:r>
      <w:r>
        <w:rPr>
          <w:rFonts w:hint="default" w:ascii="Times New Roman" w:hAnsi="Times New Roman" w:eastAsia="黑体" w:cs="Times New Roman"/>
          <w:i w:val="0"/>
          <w:sz w:val="24"/>
          <w:szCs w:val="24"/>
        </w:rPr>
        <w:t xml:space="preserve">7 </w:t>
      </w:r>
      <w:r>
        <w:rPr>
          <w:rFonts w:ascii="Times New Roman"/>
          <w:sz w:val="24"/>
          <w:szCs w:val="24"/>
        </w:rPr>
        <w:t>标志、包装、运输</w:t>
      </w:r>
      <w:r>
        <w:rPr>
          <w:sz w:val="24"/>
          <w:szCs w:val="24"/>
        </w:rPr>
        <w:tab/>
      </w:r>
      <w:r>
        <w:rPr>
          <w:sz w:val="24"/>
          <w:szCs w:val="24"/>
        </w:rPr>
        <w:fldChar w:fldCharType="begin"/>
      </w:r>
      <w:r>
        <w:rPr>
          <w:sz w:val="24"/>
          <w:szCs w:val="24"/>
        </w:rPr>
        <w:instrText xml:space="preserve"> PAGEREF _Toc11083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27"/>
        <w:keepNext w:val="0"/>
        <w:keepLines w:val="0"/>
        <w:pageBreakBefore w:val="0"/>
        <w:kinsoku/>
        <w:wordWrap/>
        <w:overflowPunct/>
        <w:topLinePunct w:val="0"/>
        <w:bidi w:val="0"/>
        <w:adjustRightInd/>
        <w:snapToGrid/>
        <w:spacing w:line="360" w:lineRule="auto"/>
        <w:textAlignment w:val="auto"/>
      </w:pPr>
      <w:r>
        <w:rPr>
          <w:sz w:val="24"/>
          <w:szCs w:val="24"/>
        </w:rPr>
        <w:fldChar w:fldCharType="end"/>
      </w:r>
    </w:p>
    <w:p>
      <w:pPr>
        <w:pStyle w:val="27"/>
        <w:sectPr>
          <w:headerReference r:id="rId4" w:type="first"/>
          <w:footerReference r:id="rId6" w:type="first"/>
          <w:headerReference r:id="rId3" w:type="default"/>
          <w:footerReference r:id="rId5" w:type="default"/>
          <w:pgSz w:w="11906" w:h="16838"/>
          <w:pgMar w:top="1440" w:right="1418" w:bottom="1440" w:left="1134" w:header="851" w:footer="992" w:gutter="0"/>
          <w:pgNumType w:fmt="upperRoman" w:start="1"/>
          <w:cols w:space="425" w:num="1"/>
          <w:formProt w:val="0"/>
          <w:titlePg/>
          <w:docGrid w:type="lines" w:linePitch="344" w:charSpace="0"/>
        </w:sectPr>
      </w:pPr>
    </w:p>
    <w:bookmarkEnd w:id="0"/>
    <w:bookmarkEnd w:id="1"/>
    <w:p>
      <w:pPr>
        <w:pStyle w:val="51"/>
        <w:keepNext w:val="0"/>
        <w:keepLines w:val="0"/>
        <w:pageBreakBefore w:val="0"/>
        <w:kinsoku/>
        <w:wordWrap/>
        <w:overflowPunct/>
        <w:topLinePunct w:val="0"/>
        <w:bidi w:val="0"/>
        <w:adjustRightInd/>
        <w:snapToGrid/>
        <w:spacing w:before="60" w:beforeLines="0" w:afterLines="0" w:line="360" w:lineRule="auto"/>
        <w:ind w:right="0" w:firstLine="480" w:firstLineChars="200"/>
        <w:textAlignment w:val="auto"/>
        <w:rPr>
          <w:rFonts w:ascii="Times New Roman"/>
          <w:sz w:val="24"/>
          <w:szCs w:val="24"/>
        </w:rPr>
      </w:pPr>
      <w:bookmarkStart w:id="3" w:name="_Toc386893275"/>
      <w:bookmarkStart w:id="4" w:name="_Toc386613493"/>
      <w:bookmarkStart w:id="5" w:name="_Toc416267225"/>
      <w:bookmarkStart w:id="6" w:name="_Toc388521260"/>
      <w:bookmarkStart w:id="7" w:name="_Toc11680"/>
      <w:bookmarkStart w:id="8" w:name="_Toc416267174"/>
      <w:bookmarkStart w:id="9" w:name="_Toc415486391"/>
      <w:bookmarkStart w:id="10" w:name="_Toc386617896"/>
      <w:r>
        <w:rPr>
          <w:rFonts w:ascii="Times New Roman"/>
          <w:sz w:val="24"/>
          <w:szCs w:val="24"/>
        </w:rPr>
        <w:t>范围</w:t>
      </w:r>
      <w:bookmarkEnd w:id="3"/>
      <w:bookmarkEnd w:id="4"/>
      <w:bookmarkEnd w:id="5"/>
      <w:bookmarkEnd w:id="6"/>
      <w:bookmarkEnd w:id="7"/>
      <w:bookmarkEnd w:id="8"/>
      <w:bookmarkEnd w:id="9"/>
      <w:bookmarkEnd w:id="10"/>
    </w:p>
    <w:p>
      <w:pPr>
        <w:pStyle w:val="27"/>
        <w:keepNext w:val="0"/>
        <w:keepLines w:val="0"/>
        <w:pageBreakBefore w:val="0"/>
        <w:kinsoku/>
        <w:wordWrap/>
        <w:overflowPunct/>
        <w:topLinePunct w:val="0"/>
        <w:bidi w:val="0"/>
        <w:adjustRightInd/>
        <w:snapToGrid/>
        <w:spacing w:before="60" w:line="360" w:lineRule="auto"/>
        <w:ind w:left="0" w:leftChars="0" w:right="0" w:rightChars="0" w:firstLine="480" w:firstLineChars="200"/>
        <w:textAlignment w:val="auto"/>
        <w:rPr>
          <w:rFonts w:ascii="Times New Roman"/>
          <w:sz w:val="24"/>
          <w:szCs w:val="24"/>
        </w:rPr>
      </w:pPr>
      <w:bookmarkStart w:id="11" w:name="_Toc416267175"/>
      <w:bookmarkStart w:id="12" w:name="_Toc386613494"/>
      <w:bookmarkStart w:id="13" w:name="_Toc386617897"/>
      <w:bookmarkStart w:id="14" w:name="_Toc388521261"/>
      <w:bookmarkStart w:id="15" w:name="_Toc416267226"/>
      <w:bookmarkStart w:id="16" w:name="_Toc386893276"/>
      <w:bookmarkStart w:id="17" w:name="_Toc415486392"/>
      <w:r>
        <w:rPr>
          <w:rFonts w:hint="eastAsia" w:ascii="宋体" w:hAnsi="宋体" w:eastAsia="宋体" w:cs="宋体"/>
          <w:color w:val="auto"/>
          <w:sz w:val="24"/>
          <w:szCs w:val="24"/>
          <w:highlight w:val="none"/>
        </w:rPr>
        <w:t>本规范明确了</w:t>
      </w:r>
      <w:r>
        <w:rPr>
          <w:rFonts w:hint="eastAsia" w:ascii="Times New Roman"/>
          <w:sz w:val="24"/>
          <w:szCs w:val="24"/>
          <w:highlight w:val="none"/>
          <w:lang w:val="en-US" w:eastAsia="zh-CN"/>
        </w:rPr>
        <w:t>10</w:t>
      </w:r>
      <w:r>
        <w:rPr>
          <w:rFonts w:hint="eastAsia" w:ascii="Times New Roman"/>
          <w:sz w:val="24"/>
          <w:szCs w:val="24"/>
          <w:highlight w:val="none"/>
        </w:rPr>
        <w:t>kW汽油发电机</w:t>
      </w:r>
      <w:r>
        <w:rPr>
          <w:rFonts w:hint="eastAsia" w:ascii="宋体" w:hAnsi="宋体" w:eastAsia="宋体" w:cs="宋体"/>
          <w:color w:val="auto"/>
          <w:sz w:val="24"/>
          <w:szCs w:val="24"/>
          <w:highlight w:val="none"/>
        </w:rPr>
        <w:t>的基本技术原则，适用于</w:t>
      </w:r>
      <w:r>
        <w:rPr>
          <w:rFonts w:hint="eastAsia" w:hAnsi="宋体" w:cs="宋体"/>
          <w:color w:val="auto"/>
          <w:sz w:val="24"/>
          <w:szCs w:val="24"/>
          <w:highlight w:val="none"/>
          <w:lang w:val="en-US" w:eastAsia="zh-CN"/>
        </w:rPr>
        <w:t>南方电网绿能科技（广东）有限公司</w:t>
      </w:r>
      <w:r>
        <w:rPr>
          <w:rFonts w:hint="eastAsia" w:ascii="宋体" w:hAnsi="宋体" w:eastAsia="宋体" w:cs="宋体"/>
          <w:color w:val="auto"/>
          <w:sz w:val="24"/>
          <w:szCs w:val="24"/>
          <w:highlight w:val="none"/>
        </w:rPr>
        <w:t>开展</w:t>
      </w:r>
      <w:r>
        <w:rPr>
          <w:rFonts w:hint="eastAsia" w:ascii="Times New Roman"/>
          <w:sz w:val="24"/>
          <w:szCs w:val="24"/>
          <w:highlight w:val="none"/>
          <w:lang w:val="en-US" w:eastAsia="zh-CN"/>
        </w:rPr>
        <w:t>10</w:t>
      </w:r>
      <w:r>
        <w:rPr>
          <w:rFonts w:hint="eastAsia" w:ascii="Times New Roman"/>
          <w:sz w:val="24"/>
          <w:szCs w:val="24"/>
          <w:highlight w:val="none"/>
        </w:rPr>
        <w:t>kW汽油发电机</w:t>
      </w:r>
      <w:r>
        <w:rPr>
          <w:rFonts w:hint="eastAsia" w:ascii="宋体" w:hAnsi="宋体" w:eastAsia="宋体" w:cs="宋体"/>
          <w:color w:val="auto"/>
          <w:sz w:val="24"/>
          <w:szCs w:val="24"/>
          <w:highlight w:val="none"/>
        </w:rPr>
        <w:t>装备的配置、验收、使用及运维等工作</w:t>
      </w:r>
      <w:r>
        <w:rPr>
          <w:rFonts w:hint="eastAsia" w:ascii="Times New Roman"/>
          <w:sz w:val="24"/>
          <w:szCs w:val="24"/>
        </w:rPr>
        <w:t>。</w:t>
      </w:r>
    </w:p>
    <w:p>
      <w:pPr>
        <w:pStyle w:val="51"/>
        <w:keepNext w:val="0"/>
        <w:keepLines w:val="0"/>
        <w:pageBreakBefore w:val="0"/>
        <w:kinsoku/>
        <w:wordWrap/>
        <w:overflowPunct/>
        <w:topLinePunct w:val="0"/>
        <w:bidi w:val="0"/>
        <w:adjustRightInd/>
        <w:snapToGrid/>
        <w:spacing w:before="60" w:beforeLines="0" w:afterLines="0" w:line="360" w:lineRule="auto"/>
        <w:ind w:right="0" w:firstLine="480" w:firstLineChars="200"/>
        <w:textAlignment w:val="auto"/>
        <w:rPr>
          <w:rFonts w:ascii="Times New Roman"/>
          <w:sz w:val="24"/>
          <w:szCs w:val="24"/>
        </w:rPr>
      </w:pPr>
      <w:bookmarkStart w:id="18" w:name="_Toc15145"/>
      <w:r>
        <w:rPr>
          <w:rFonts w:ascii="Times New Roman"/>
          <w:sz w:val="24"/>
          <w:szCs w:val="24"/>
        </w:rPr>
        <w:t>规范性引用文件</w:t>
      </w:r>
      <w:bookmarkEnd w:id="11"/>
      <w:bookmarkEnd w:id="12"/>
      <w:bookmarkEnd w:id="13"/>
      <w:bookmarkEnd w:id="14"/>
      <w:bookmarkEnd w:id="15"/>
      <w:bookmarkEnd w:id="16"/>
      <w:bookmarkEnd w:id="17"/>
      <w:bookmarkEnd w:id="18"/>
    </w:p>
    <w:p>
      <w:pPr>
        <w:pStyle w:val="27"/>
        <w:keepNext w:val="0"/>
        <w:keepLines w:val="0"/>
        <w:pageBreakBefore w:val="0"/>
        <w:kinsoku/>
        <w:wordWrap/>
        <w:overflowPunct/>
        <w:topLinePunct w:val="0"/>
        <w:bidi w:val="0"/>
        <w:adjustRightInd/>
        <w:snapToGrid/>
        <w:spacing w:before="60" w:line="360" w:lineRule="auto"/>
        <w:ind w:right="0" w:firstLine="480" w:firstLineChars="200"/>
        <w:textAlignment w:val="auto"/>
        <w:rPr>
          <w:rFonts w:ascii="Times New Roman"/>
          <w:sz w:val="24"/>
          <w:szCs w:val="24"/>
        </w:rPr>
      </w:pPr>
      <w:r>
        <w:rPr>
          <w:rFonts w:ascii="Times New Roman"/>
          <w:sz w:val="24"/>
          <w:szCs w:val="24"/>
        </w:rPr>
        <w:t>除本标书特殊规定外</w:t>
      </w:r>
      <w:r>
        <w:rPr>
          <w:rFonts w:hint="eastAsia" w:ascii="Times New Roman"/>
          <w:sz w:val="24"/>
          <w:szCs w:val="24"/>
          <w:lang w:eastAsia="zh-CN"/>
        </w:rPr>
        <w:t>，</w:t>
      </w:r>
      <w:r>
        <w:rPr>
          <w:rFonts w:ascii="Times New Roman"/>
          <w:sz w:val="24"/>
          <w:szCs w:val="24"/>
        </w:rPr>
        <w:t>投标方所提供的设备均按规定的标准和规程的最新版本进行设计、制造、试验和安装。如果这些标准内容有矛盾时</w:t>
      </w:r>
      <w:r>
        <w:rPr>
          <w:rFonts w:hint="eastAsia" w:ascii="Times New Roman"/>
          <w:sz w:val="24"/>
          <w:szCs w:val="24"/>
          <w:lang w:eastAsia="zh-CN"/>
        </w:rPr>
        <w:t>，</w:t>
      </w:r>
      <w:r>
        <w:rPr>
          <w:rFonts w:ascii="Times New Roman"/>
          <w:sz w:val="24"/>
          <w:szCs w:val="24"/>
        </w:rPr>
        <w:t>应按最高标准的条款执行或按双方商定的标准执行。如果投标方选用本标书规定以外的标准时</w:t>
      </w:r>
      <w:r>
        <w:rPr>
          <w:rFonts w:hint="eastAsia" w:ascii="Times New Roman"/>
          <w:sz w:val="24"/>
          <w:szCs w:val="24"/>
          <w:lang w:eastAsia="zh-CN"/>
        </w:rPr>
        <w:t>，</w:t>
      </w:r>
      <w:r>
        <w:rPr>
          <w:rFonts w:ascii="Times New Roman"/>
          <w:sz w:val="24"/>
          <w:szCs w:val="24"/>
        </w:rPr>
        <w:t>则需提交这种替换标准供审查和分析。仅在投标方已证明替换标准相当或优于标书规定的标准</w:t>
      </w:r>
      <w:r>
        <w:rPr>
          <w:rFonts w:hint="eastAsia" w:ascii="Times New Roman"/>
          <w:sz w:val="24"/>
          <w:szCs w:val="24"/>
          <w:lang w:eastAsia="zh-CN"/>
        </w:rPr>
        <w:t>，</w:t>
      </w:r>
      <w:r>
        <w:rPr>
          <w:rFonts w:ascii="Times New Roman"/>
          <w:sz w:val="24"/>
          <w:szCs w:val="24"/>
        </w:rPr>
        <w:t>并从招标方处获得书面的认可才能使用。</w:t>
      </w:r>
      <w:r>
        <w:rPr>
          <w:rFonts w:hint="eastAsia" w:ascii="Times New Roman"/>
          <w:sz w:val="24"/>
          <w:szCs w:val="24"/>
        </w:rPr>
        <w:t>主要引用标准如下：</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eastAsia" w:hAnsi="宋体"/>
          <w:sz w:val="24"/>
          <w:szCs w:val="24"/>
        </w:rPr>
      </w:pPr>
      <w:bookmarkStart w:id="19" w:name="_Toc386617906"/>
      <w:bookmarkStart w:id="20" w:name="_Toc415486394"/>
      <w:bookmarkStart w:id="21" w:name="_Toc386893278"/>
      <w:bookmarkStart w:id="22" w:name="_Toc388521263"/>
      <w:bookmarkStart w:id="23" w:name="_Toc416267228"/>
      <w:bookmarkStart w:id="24" w:name="_Toc416267177"/>
      <w:r>
        <w:rPr>
          <w:rFonts w:hint="default" w:ascii="Times New Roman" w:hAnsi="Times New Roman" w:cs="Times New Roman"/>
          <w:color w:val="auto"/>
          <w:sz w:val="24"/>
          <w:szCs w:val="24"/>
          <w:highlight w:val="none"/>
        </w:rPr>
        <w:t>GB/T 2820.1-2022</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t>往复式内燃机驱动的交流发电机组</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GJB 425A-2001</w:t>
      </w:r>
      <w:r>
        <w:rPr>
          <w:rFonts w:hint="default" w:ascii="Times New Roman" w:hAnsi="Times New Roman" w:cs="Times New Roman"/>
          <w:color w:val="auto"/>
          <w:sz w:val="24"/>
          <w:szCs w:val="24"/>
          <w:highlight w:val="none"/>
        </w:rPr>
        <w:tab/>
      </w:r>
      <w:r>
        <w:rPr>
          <w:rFonts w:hint="eastAsia" w:ascii="Times New Roman" w:hAnsi="Times New Roman" w:cs="Times New Roman"/>
          <w:color w:val="auto"/>
          <w:sz w:val="24"/>
          <w:szCs w:val="24"/>
          <w:highlight w:val="none"/>
        </w:rPr>
        <w:t>交流工频汽油发电机组通用规范</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GB/T 755-2025</w:t>
      </w:r>
      <w:r>
        <w:rPr>
          <w:rFonts w:hint="eastAsia" w:ascii="Times New Roman" w:hAnsi="Times New Roman" w:cs="Times New Roman"/>
          <w:color w:val="auto"/>
          <w:sz w:val="24"/>
          <w:szCs w:val="24"/>
          <w:highlight w:val="none"/>
          <w:lang w:val="en-US" w:eastAsia="zh-CN"/>
        </w:rPr>
        <w:tab/>
      </w:r>
      <w:r>
        <w:rPr>
          <w:rFonts w:hint="eastAsia" w:ascii="Times New Roman" w:hAnsi="Times New Roman" w:cs="Times New Roman"/>
          <w:color w:val="auto"/>
          <w:sz w:val="24"/>
          <w:szCs w:val="24"/>
          <w:highlight w:val="none"/>
        </w:rPr>
        <w:t>旋转电机定额与性能</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JB/T 10303-2020</w:t>
      </w:r>
      <w:r>
        <w:rPr>
          <w:rFonts w:hint="eastAsia" w:ascii="Times New Roman" w:hAnsi="Times New Roman" w:cs="Times New Roman"/>
          <w:color w:val="auto"/>
          <w:sz w:val="24"/>
          <w:szCs w:val="24"/>
          <w:highlight w:val="none"/>
          <w:lang w:val="en-US" w:eastAsia="zh-CN"/>
        </w:rPr>
        <w:tab/>
      </w:r>
      <w:r>
        <w:rPr>
          <w:rFonts w:hint="eastAsia" w:ascii="Times New Roman" w:hAnsi="Times New Roman" w:cs="Times New Roman"/>
          <w:color w:val="auto"/>
          <w:sz w:val="24"/>
          <w:szCs w:val="24"/>
          <w:highlight w:val="none"/>
        </w:rPr>
        <w:t>工频柴油发电机组技术条件</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GB/T 6027-2021</w:t>
      </w:r>
      <w:r>
        <w:rPr>
          <w:rFonts w:hint="eastAsia" w:ascii="Times New Roman" w:hAnsi="Times New Roman" w:cs="Times New Roman"/>
          <w:color w:val="auto"/>
          <w:sz w:val="24"/>
          <w:szCs w:val="24"/>
          <w:highlight w:val="none"/>
          <w:lang w:val="en-US" w:eastAsia="zh-CN"/>
        </w:rPr>
        <w:tab/>
      </w:r>
      <w:r>
        <w:rPr>
          <w:rFonts w:hint="eastAsia" w:ascii="Times New Roman" w:hAnsi="Times New Roman" w:cs="Times New Roman"/>
          <w:color w:val="auto"/>
          <w:sz w:val="24"/>
          <w:szCs w:val="24"/>
          <w:highlight w:val="none"/>
        </w:rPr>
        <w:t>往复式内燃机性能 标准基准状况，功率、燃油消耗和机油消耗的</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标定及试验方法 </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GB/T 1859-2015</w:t>
      </w:r>
      <w:r>
        <w:rPr>
          <w:rFonts w:hint="eastAsia" w:ascii="Times New Roman" w:hAnsi="Times New Roman" w:cs="Times New Roman"/>
          <w:color w:val="auto"/>
          <w:sz w:val="24"/>
          <w:szCs w:val="24"/>
          <w:highlight w:val="none"/>
          <w:lang w:val="en-US" w:eastAsia="zh-CN"/>
        </w:rPr>
        <w:tab/>
      </w:r>
      <w:r>
        <w:rPr>
          <w:rFonts w:hint="eastAsia" w:ascii="Times New Roman" w:hAnsi="Times New Roman" w:cs="Times New Roman"/>
          <w:color w:val="auto"/>
          <w:sz w:val="24"/>
          <w:szCs w:val="24"/>
          <w:highlight w:val="none"/>
        </w:rPr>
        <w:t>往复式内燃机声功率级的测定工程法及简易法</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GB/T 4759-2021</w:t>
      </w:r>
      <w:r>
        <w:rPr>
          <w:rFonts w:hint="eastAsia" w:ascii="Times New Roman" w:hAnsi="Times New Roman" w:cs="Times New Roman"/>
          <w:color w:val="auto"/>
          <w:sz w:val="24"/>
          <w:szCs w:val="24"/>
          <w:highlight w:val="none"/>
          <w:lang w:val="en-US" w:eastAsia="zh-CN"/>
        </w:rPr>
        <w:tab/>
      </w:r>
      <w:r>
        <w:rPr>
          <w:rFonts w:hint="eastAsia" w:ascii="Times New Roman" w:hAnsi="Times New Roman" w:cs="Times New Roman"/>
          <w:color w:val="auto"/>
          <w:sz w:val="24"/>
          <w:szCs w:val="24"/>
          <w:highlight w:val="none"/>
        </w:rPr>
        <w:t>内燃机排气消声器测量方法</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GB/T 14048.1-2020</w:t>
      </w:r>
      <w:r>
        <w:rPr>
          <w:rFonts w:hint="eastAsia" w:ascii="Times New Roman" w:hAnsi="Times New Roman" w:cs="Times New Roman"/>
          <w:color w:val="auto"/>
          <w:sz w:val="24"/>
          <w:szCs w:val="24"/>
          <w:highlight w:val="none"/>
          <w:lang w:val="en-US" w:eastAsia="zh-CN"/>
        </w:rPr>
        <w:tab/>
      </w:r>
      <w:r>
        <w:rPr>
          <w:rFonts w:hint="eastAsia" w:ascii="Times New Roman" w:hAnsi="Times New Roman" w:cs="Times New Roman"/>
          <w:color w:val="auto"/>
          <w:sz w:val="24"/>
          <w:szCs w:val="24"/>
          <w:highlight w:val="none"/>
        </w:rPr>
        <w:t>低压开关设备和控制设备</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GB/T 14824-2017</w:t>
      </w:r>
      <w:r>
        <w:rPr>
          <w:rFonts w:hint="eastAsia" w:ascii="Times New Roman" w:hAnsi="Times New Roman" w:cs="Times New Roman"/>
          <w:color w:val="auto"/>
          <w:sz w:val="24"/>
          <w:szCs w:val="24"/>
          <w:highlight w:val="none"/>
          <w:lang w:val="en-US" w:eastAsia="zh-CN"/>
        </w:rPr>
        <w:tab/>
      </w:r>
      <w:r>
        <w:rPr>
          <w:rFonts w:hint="eastAsia" w:ascii="Times New Roman" w:hAnsi="Times New Roman" w:cs="Times New Roman"/>
          <w:color w:val="auto"/>
          <w:sz w:val="24"/>
          <w:szCs w:val="24"/>
          <w:highlight w:val="none"/>
        </w:rPr>
        <w:t>发电机断路器通用技术条件</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GB/T 15548-2021</w:t>
      </w:r>
      <w:r>
        <w:rPr>
          <w:rFonts w:hint="eastAsia" w:ascii="Times New Roman" w:hAnsi="Times New Roman" w:cs="Times New Roman"/>
          <w:color w:val="auto"/>
          <w:sz w:val="24"/>
          <w:szCs w:val="24"/>
          <w:highlight w:val="none"/>
          <w:lang w:val="en-US" w:eastAsia="zh-CN"/>
        </w:rPr>
        <w:tab/>
      </w:r>
      <w:r>
        <w:rPr>
          <w:rFonts w:hint="eastAsia" w:ascii="Times New Roman" w:hAnsi="Times New Roman" w:cs="Times New Roman"/>
          <w:color w:val="auto"/>
          <w:sz w:val="24"/>
          <w:szCs w:val="24"/>
          <w:highlight w:val="none"/>
        </w:rPr>
        <w:t>往复式内燃机驱动的三相同步发电机通用技术条件</w:t>
      </w:r>
    </w:p>
    <w:p>
      <w:pPr>
        <w:keepNext w:val="0"/>
        <w:keepLines w:val="0"/>
        <w:pageBreakBefore w:val="0"/>
        <w:tabs>
          <w:tab w:val="left" w:pos="2610"/>
        </w:tabs>
        <w:kinsoku/>
        <w:wordWrap/>
        <w:overflowPunct/>
        <w:topLinePunct w:val="0"/>
        <w:bidi w:val="0"/>
        <w:adjustRightInd/>
        <w:snapToGrid/>
        <w:spacing w:before="60" w:line="360" w:lineRule="auto"/>
        <w:ind w:left="0" w:leftChars="0" w:right="0" w:rightChars="0"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GB 50171-2012</w:t>
      </w:r>
      <w:r>
        <w:rPr>
          <w:rFonts w:hint="eastAsia" w:ascii="Times New Roman" w:hAnsi="Times New Roman" w:cs="Times New Roman"/>
          <w:color w:val="auto"/>
          <w:sz w:val="24"/>
          <w:szCs w:val="24"/>
          <w:highlight w:val="none"/>
          <w:lang w:val="en-US" w:eastAsia="zh-CN"/>
        </w:rPr>
        <w:tab/>
      </w:r>
      <w:r>
        <w:rPr>
          <w:rFonts w:hint="eastAsia" w:ascii="Times New Roman" w:hAnsi="Times New Roman" w:cs="Times New Roman"/>
          <w:color w:val="auto"/>
          <w:sz w:val="24"/>
          <w:szCs w:val="24"/>
          <w:highlight w:val="none"/>
        </w:rPr>
        <w:t>电气装置安装工程盘、柜及二次回路接线施工及验收规范</w:t>
      </w:r>
    </w:p>
    <w:p>
      <w:pPr>
        <w:pStyle w:val="51"/>
        <w:keepNext w:val="0"/>
        <w:keepLines w:val="0"/>
        <w:pageBreakBefore w:val="0"/>
        <w:kinsoku/>
        <w:wordWrap/>
        <w:overflowPunct/>
        <w:topLinePunct w:val="0"/>
        <w:bidi w:val="0"/>
        <w:adjustRightInd/>
        <w:snapToGrid/>
        <w:spacing w:before="60" w:beforeLines="0" w:afterLines="0" w:line="360" w:lineRule="auto"/>
        <w:ind w:right="0" w:firstLine="480" w:firstLineChars="200"/>
        <w:textAlignment w:val="auto"/>
        <w:rPr>
          <w:rFonts w:ascii="Times New Roman"/>
          <w:sz w:val="24"/>
          <w:szCs w:val="24"/>
        </w:rPr>
      </w:pPr>
      <w:bookmarkStart w:id="25" w:name="_Toc12671"/>
      <w:r>
        <w:rPr>
          <w:rFonts w:ascii="Times New Roman"/>
          <w:sz w:val="24"/>
          <w:szCs w:val="24"/>
        </w:rPr>
        <w:t>系统</w:t>
      </w:r>
      <w:bookmarkEnd w:id="19"/>
      <w:bookmarkEnd w:id="20"/>
      <w:bookmarkEnd w:id="21"/>
      <w:bookmarkEnd w:id="22"/>
      <w:r>
        <w:rPr>
          <w:rFonts w:ascii="Times New Roman"/>
          <w:sz w:val="24"/>
          <w:szCs w:val="24"/>
        </w:rPr>
        <w:t>组成</w:t>
      </w:r>
      <w:bookmarkEnd w:id="23"/>
      <w:bookmarkEnd w:id="24"/>
      <w:bookmarkEnd w:id="25"/>
    </w:p>
    <w:p>
      <w:pPr>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10kW汽油发电机主要由机体与汽缸组件、曲柄连杆机构、燃油供给系统、点火系统、润滑系统、配气系统、启动系统、充电系统、冷却系统</w:t>
      </w:r>
      <w:r>
        <w:rPr>
          <w:rFonts w:hint="eastAsia"/>
          <w:sz w:val="24"/>
          <w:szCs w:val="24"/>
          <w:lang w:eastAsia="zh-CN"/>
        </w:rPr>
        <w:t>、</w:t>
      </w:r>
      <w:r>
        <w:rPr>
          <w:rFonts w:hint="eastAsia"/>
          <w:sz w:val="24"/>
          <w:szCs w:val="24"/>
          <w:lang w:val="en-US" w:eastAsia="zh-CN"/>
        </w:rPr>
        <w:t>物联终端</w:t>
      </w:r>
      <w:r>
        <w:rPr>
          <w:rFonts w:hint="eastAsia"/>
          <w:sz w:val="24"/>
          <w:szCs w:val="24"/>
        </w:rPr>
        <w:t>等组成。</w:t>
      </w:r>
    </w:p>
    <w:p>
      <w:pPr>
        <w:pStyle w:val="51"/>
        <w:keepNext/>
        <w:keepLines w:val="0"/>
        <w:pageBreakBefore w:val="0"/>
        <w:widowControl/>
        <w:kinsoku/>
        <w:wordWrap/>
        <w:overflowPunct/>
        <w:topLinePunct w:val="0"/>
        <w:autoSpaceDE/>
        <w:autoSpaceDN/>
        <w:bidi w:val="0"/>
        <w:adjustRightInd/>
        <w:snapToGrid/>
        <w:spacing w:before="60" w:beforeLines="0" w:afterLines="0" w:line="360" w:lineRule="auto"/>
        <w:ind w:right="0" w:firstLine="480" w:firstLineChars="200"/>
        <w:textAlignment w:val="auto"/>
        <w:rPr>
          <w:rFonts w:ascii="Times New Roman"/>
          <w:sz w:val="24"/>
          <w:szCs w:val="24"/>
        </w:rPr>
      </w:pPr>
      <w:bookmarkStart w:id="26" w:name="_Toc23448"/>
      <w:bookmarkStart w:id="27" w:name="_Toc416267178"/>
      <w:bookmarkStart w:id="28" w:name="_Toc416267229"/>
      <w:bookmarkStart w:id="29" w:name="_Toc386893284"/>
      <w:bookmarkStart w:id="30" w:name="_Toc415486395"/>
      <w:bookmarkStart w:id="31" w:name="_Toc388521265"/>
      <w:bookmarkStart w:id="32" w:name="_Toc386617913"/>
      <w:r>
        <w:rPr>
          <w:rFonts w:ascii="Times New Roman"/>
          <w:sz w:val="24"/>
          <w:szCs w:val="24"/>
        </w:rPr>
        <w:t>技术要求</w:t>
      </w:r>
      <w:bookmarkEnd w:id="26"/>
      <w:bookmarkEnd w:id="27"/>
      <w:bookmarkEnd w:id="28"/>
      <w:bookmarkEnd w:id="29"/>
      <w:bookmarkEnd w:id="30"/>
      <w:bookmarkEnd w:id="31"/>
      <w:bookmarkEnd w:id="32"/>
    </w:p>
    <w:p>
      <w:pPr>
        <w:pStyle w:val="48"/>
        <w:keepNext w:val="0"/>
        <w:keepLines w:val="0"/>
        <w:pageBreakBefore w:val="0"/>
        <w:widowControl/>
        <w:kinsoku/>
        <w:wordWrap/>
        <w:overflowPunct/>
        <w:topLinePunct w:val="0"/>
        <w:autoSpaceDE/>
        <w:autoSpaceDN/>
        <w:bidi w:val="0"/>
        <w:adjustRightInd/>
        <w:snapToGrid/>
        <w:spacing w:before="60" w:beforeLines="0" w:afterLines="0" w:line="360" w:lineRule="auto"/>
        <w:ind w:left="0" w:leftChars="0" w:right="0" w:rightChars="0" w:firstLine="482" w:firstLineChars="200"/>
        <w:jc w:val="left"/>
        <w:textAlignment w:val="auto"/>
        <w:rPr>
          <w:rFonts w:hint="eastAsia" w:eastAsia="楷体_GB2312" w:asciiTheme="minorEastAsia" w:hAnsiTheme="minorEastAsia" w:cstheme="minorEastAsia"/>
          <w:b/>
          <w:bCs w:val="0"/>
          <w:sz w:val="24"/>
          <w:szCs w:val="24"/>
        </w:rPr>
      </w:pPr>
      <w:r>
        <w:rPr>
          <w:rFonts w:hint="eastAsia" w:eastAsia="楷体_GB2312" w:asciiTheme="minorEastAsia" w:hAnsiTheme="minorEastAsia" w:cstheme="minorEastAsia"/>
          <w:b/>
          <w:bCs w:val="0"/>
          <w:sz w:val="24"/>
          <w:szCs w:val="24"/>
        </w:rPr>
        <w:t>发电机</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发电机类型：单</w:t>
      </w:r>
      <w:r>
        <w:rPr>
          <w:rFonts w:hint="eastAsia" w:asciiTheme="minorEastAsia" w:hAnsiTheme="minorEastAsia" w:eastAsiaTheme="minorEastAsia" w:cstheme="minorEastAsia"/>
          <w:sz w:val="24"/>
          <w:szCs w:val="24"/>
          <w:lang w:eastAsia="zh-CN"/>
        </w:rPr>
        <w:t>相、</w:t>
      </w:r>
      <w:r>
        <w:rPr>
          <w:rFonts w:hint="eastAsia" w:asciiTheme="minorEastAsia" w:hAnsiTheme="minorEastAsia" w:eastAsiaTheme="minorEastAsia" w:cstheme="minorEastAsia"/>
          <w:sz w:val="24"/>
          <w:szCs w:val="24"/>
        </w:rPr>
        <w:t>三相通用</w:t>
      </w:r>
      <w:r>
        <w:rPr>
          <w:rFonts w:hint="eastAsia" w:asciiTheme="minorEastAsia" w:hAnsiTheme="minorEastAsia" w:eastAsiaTheme="minorEastAsia" w:cstheme="minorEastAsia"/>
          <w:sz w:val="24"/>
          <w:szCs w:val="24"/>
          <w:lang w:eastAsia="zh-CN"/>
        </w:rPr>
        <w:t>，双电压等功率输出</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额定输出：≥10kW</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最大输出</w:t>
      </w:r>
      <w:r>
        <w:rPr>
          <w:rFonts w:hint="eastAsia" w:eastAsiaTheme="minorEastAsia" w:cstheme="minorEastAsia"/>
          <w:b/>
          <w:bCs w:val="0"/>
          <w:sz w:val="24"/>
          <w:szCs w:val="24"/>
          <w:lang w:eastAsia="zh-CN"/>
        </w:rPr>
        <w:t>（*）</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rPr>
        <w:t>kW</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功率因数（cosφ）</w:t>
      </w:r>
      <w:r>
        <w:rPr>
          <w:rFonts w:hint="eastAsia" w:eastAsiaTheme="minorEastAsia" w:cstheme="minorEastAsia"/>
          <w:b/>
          <w:bCs w:val="0"/>
          <w:sz w:val="24"/>
          <w:szCs w:val="24"/>
          <w:lang w:eastAsia="zh-CN"/>
        </w:rPr>
        <w:t>（*）</w:t>
      </w:r>
      <w:r>
        <w:rPr>
          <w:rFonts w:hint="eastAsia" w:asciiTheme="minorEastAsia" w:hAnsiTheme="minorEastAsia" w:eastAsiaTheme="minorEastAsia" w:cstheme="minorEastAsia"/>
          <w:sz w:val="24"/>
          <w:szCs w:val="24"/>
        </w:rPr>
        <w:t>：≥0.8（滞后）</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输出额定电压：交流400V/230V</w:t>
      </w:r>
      <w:r>
        <w:rPr>
          <w:rFonts w:hint="eastAsia" w:asciiTheme="minorEastAsia" w:hAnsiTheme="minorEastAsia" w:eastAsiaTheme="minorEastAsia" w:cstheme="minorEastAsia"/>
          <w:sz w:val="24"/>
          <w:szCs w:val="24"/>
          <w:lang w:eastAsia="zh-CN"/>
        </w:rPr>
        <w:t>，允许合理偏差±2%。</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频率：50Hz</w:t>
      </w:r>
    </w:p>
    <w:p>
      <w:pPr>
        <w:pStyle w:val="48"/>
        <w:keepNext w:val="0"/>
        <w:keepLines w:val="0"/>
        <w:pageBreakBefore w:val="0"/>
        <w:widowControl/>
        <w:kinsoku/>
        <w:wordWrap/>
        <w:overflowPunct/>
        <w:topLinePunct w:val="0"/>
        <w:autoSpaceDE/>
        <w:autoSpaceDN/>
        <w:bidi w:val="0"/>
        <w:adjustRightInd/>
        <w:snapToGrid/>
        <w:spacing w:before="60" w:beforeLines="0" w:afterLines="0" w:line="360" w:lineRule="auto"/>
        <w:ind w:left="0" w:leftChars="0" w:right="0" w:rightChars="0" w:firstLine="482" w:firstLineChars="200"/>
        <w:jc w:val="left"/>
        <w:textAlignment w:val="auto"/>
        <w:rPr>
          <w:rFonts w:hint="eastAsia" w:eastAsia="楷体_GB2312" w:asciiTheme="minorEastAsia" w:hAnsiTheme="minorEastAsia" w:cstheme="minorEastAsia"/>
          <w:b/>
          <w:bCs w:val="0"/>
          <w:sz w:val="24"/>
          <w:szCs w:val="24"/>
        </w:rPr>
      </w:pPr>
      <w:r>
        <w:rPr>
          <w:rFonts w:hint="eastAsia" w:eastAsia="楷体_GB2312" w:asciiTheme="minorEastAsia" w:hAnsiTheme="minorEastAsia" w:cstheme="minorEastAsia"/>
          <w:b/>
          <w:bCs w:val="0"/>
          <w:sz w:val="24"/>
          <w:szCs w:val="24"/>
        </w:rPr>
        <w:t>发动机</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bookmarkStart w:id="33" w:name="_Ref305050300"/>
      <w:r>
        <w:rPr>
          <w:rFonts w:hint="eastAsia" w:asciiTheme="minorEastAsia" w:hAnsiTheme="minorEastAsia" w:eastAsiaTheme="minorEastAsia" w:cstheme="minorEastAsia"/>
          <w:sz w:val="24"/>
          <w:szCs w:val="24"/>
        </w:rPr>
        <w:t>型式：</w:t>
      </w:r>
      <w:r>
        <w:rPr>
          <w:rFonts w:hint="eastAsia" w:asciiTheme="minorEastAsia" w:hAnsiTheme="minorEastAsia" w:eastAsiaTheme="minorEastAsia" w:cstheme="minorEastAsia"/>
          <w:sz w:val="24"/>
          <w:szCs w:val="24"/>
          <w:lang w:eastAsia="zh-CN"/>
        </w:rPr>
        <w:t>双缸、</w:t>
      </w:r>
      <w:r>
        <w:rPr>
          <w:rFonts w:hint="eastAsia" w:asciiTheme="minorEastAsia" w:hAnsiTheme="minorEastAsia" w:eastAsiaTheme="minorEastAsia" w:cstheme="minorEastAsia"/>
          <w:sz w:val="24"/>
          <w:szCs w:val="24"/>
        </w:rPr>
        <w:t>四冲程，</w:t>
      </w:r>
      <w:r>
        <w:rPr>
          <w:rFonts w:hint="eastAsia" w:asciiTheme="minorEastAsia" w:hAnsiTheme="minorEastAsia" w:eastAsiaTheme="minorEastAsia" w:cstheme="minorEastAsia"/>
          <w:sz w:val="24"/>
          <w:szCs w:val="24"/>
          <w:lang w:eastAsia="zh-CN"/>
        </w:rPr>
        <w:t>风</w:t>
      </w:r>
      <w:r>
        <w:rPr>
          <w:rFonts w:hint="eastAsia" w:asciiTheme="minorEastAsia" w:hAnsiTheme="minorEastAsia" w:eastAsiaTheme="minorEastAsia" w:cstheme="minorEastAsia"/>
          <w:sz w:val="24"/>
          <w:szCs w:val="24"/>
        </w:rPr>
        <w:t>冷</w:t>
      </w:r>
    </w:p>
    <w:bookmarkEnd w:id="33"/>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起动方式：手动/电动</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燃油：90#以上汽油</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油箱容量</w:t>
      </w:r>
      <w:r>
        <w:rPr>
          <w:rFonts w:hint="eastAsia" w:eastAsiaTheme="minorEastAsia" w:cstheme="minorEastAsia"/>
          <w:b/>
          <w:bCs w:val="0"/>
          <w:sz w:val="24"/>
          <w:szCs w:val="24"/>
          <w:lang w:eastAsia="zh-CN"/>
        </w:rPr>
        <w:t>（*）</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25L</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连续运转时间</w:t>
      </w:r>
      <w:r>
        <w:rPr>
          <w:rFonts w:hint="eastAsia" w:eastAsiaTheme="minorEastAsia" w:cstheme="minorEastAsia"/>
          <w:b/>
          <w:bCs w:val="0"/>
          <w:sz w:val="24"/>
          <w:szCs w:val="24"/>
          <w:lang w:eastAsia="zh-CN"/>
        </w:rPr>
        <w:t>（*）</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额定功率下</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h</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噪声水平（7m）</w:t>
      </w:r>
      <w:r>
        <w:rPr>
          <w:rFonts w:hint="eastAsia" w:eastAsiaTheme="minorEastAsia" w:cstheme="minorEastAsia"/>
          <w:b/>
          <w:bCs w:val="0"/>
          <w:sz w:val="24"/>
          <w:szCs w:val="24"/>
          <w:lang w:eastAsia="zh-CN"/>
        </w:rPr>
        <w:t>（*）</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70</w:t>
      </w:r>
      <w:r>
        <w:rPr>
          <w:rFonts w:hint="eastAsia" w:asciiTheme="minorEastAsia" w:hAnsiTheme="minorEastAsia" w:eastAsiaTheme="minorEastAsia" w:cstheme="minorEastAsia"/>
          <w:sz w:val="24"/>
          <w:szCs w:val="24"/>
        </w:rPr>
        <w:t>dB（A）</w:t>
      </w:r>
    </w:p>
    <w:p>
      <w:pPr>
        <w:pStyle w:val="48"/>
        <w:keepNext w:val="0"/>
        <w:keepLines w:val="0"/>
        <w:pageBreakBefore w:val="0"/>
        <w:widowControl/>
        <w:kinsoku/>
        <w:wordWrap/>
        <w:overflowPunct/>
        <w:topLinePunct w:val="0"/>
        <w:autoSpaceDE/>
        <w:autoSpaceDN/>
        <w:bidi w:val="0"/>
        <w:adjustRightInd/>
        <w:snapToGrid/>
        <w:spacing w:before="60" w:beforeLines="0" w:afterLines="0" w:line="360" w:lineRule="auto"/>
        <w:ind w:left="0" w:leftChars="0" w:right="0" w:rightChars="0" w:firstLine="482" w:firstLineChars="200"/>
        <w:jc w:val="left"/>
        <w:textAlignment w:val="auto"/>
        <w:rPr>
          <w:rFonts w:hint="eastAsia" w:eastAsia="楷体_GB2312" w:asciiTheme="minorEastAsia" w:hAnsiTheme="minorEastAsia" w:cstheme="minorEastAsia"/>
          <w:b/>
          <w:bCs w:val="0"/>
          <w:sz w:val="24"/>
          <w:szCs w:val="24"/>
        </w:rPr>
      </w:pPr>
      <w:r>
        <w:rPr>
          <w:rFonts w:hint="eastAsia" w:eastAsia="楷体_GB2312" w:asciiTheme="minorEastAsia" w:hAnsiTheme="minorEastAsia" w:cstheme="minorEastAsia"/>
          <w:b/>
          <w:bCs w:val="0"/>
          <w:sz w:val="24"/>
          <w:szCs w:val="24"/>
        </w:rPr>
        <w:t>附属装置</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数显屏：箱体上有数显屏，显示发电机电压、电流、功率、油位、机油报警等数据。</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接地线</w:t>
      </w:r>
      <w:r>
        <w:rPr>
          <w:rFonts w:hint="eastAsia" w:eastAsiaTheme="minorEastAsia" w:cstheme="minorEastAsia"/>
          <w:b/>
          <w:bCs w:val="0"/>
          <w:sz w:val="24"/>
          <w:szCs w:val="24"/>
          <w:lang w:eastAsia="zh-CN"/>
        </w:rPr>
        <w:t>（*）</w:t>
      </w:r>
      <w:r>
        <w:rPr>
          <w:rFonts w:hint="eastAsia" w:asciiTheme="minorEastAsia" w:hAnsiTheme="minorEastAsia" w:eastAsiaTheme="minorEastAsia" w:cstheme="minorEastAsia"/>
          <w:sz w:val="24"/>
          <w:szCs w:val="24"/>
          <w:lang w:val="en-US" w:eastAsia="zh-CN"/>
        </w:rPr>
        <w:t>：附带一条10m*6</w:t>
      </w:r>
      <w:r>
        <w:rPr>
          <w:rFonts w:hint="eastAsia" w:asciiTheme="minorEastAsia" w:hAnsiTheme="minorEastAsia" w:eastAsiaTheme="minorEastAsia" w:cstheme="minorEastAsia"/>
          <w:sz w:val="24"/>
          <w:szCs w:val="24"/>
        </w:rPr>
        <w:t>mm²</w:t>
      </w:r>
      <w:r>
        <w:rPr>
          <w:rFonts w:hint="eastAsia" w:asciiTheme="minorEastAsia" w:hAnsiTheme="minorEastAsia" w:eastAsiaTheme="minorEastAsia" w:cstheme="minorEastAsia"/>
          <w:sz w:val="24"/>
          <w:szCs w:val="24"/>
          <w:lang w:eastAsia="zh-CN"/>
        </w:rPr>
        <w:t>带绝缘护套的</w:t>
      </w:r>
      <w:r>
        <w:rPr>
          <w:rFonts w:hint="eastAsia" w:asciiTheme="minorEastAsia" w:hAnsiTheme="minorEastAsia" w:eastAsiaTheme="minorEastAsia" w:cstheme="minorEastAsia"/>
          <w:sz w:val="24"/>
          <w:szCs w:val="24"/>
          <w:lang w:val="en-US" w:eastAsia="zh-CN"/>
        </w:rPr>
        <w:t>YC系列多股软铜电缆作业接地线</w:t>
      </w:r>
    </w:p>
    <w:p>
      <w:pPr>
        <w:pStyle w:val="52"/>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接地棒</w:t>
      </w:r>
      <w:r>
        <w:rPr>
          <w:rFonts w:hint="eastAsia" w:eastAsiaTheme="minorEastAsia" w:cstheme="minorEastAsia"/>
          <w:b/>
          <w:bCs w:val="0"/>
          <w:sz w:val="24"/>
          <w:szCs w:val="24"/>
          <w:lang w:eastAsia="zh-CN"/>
        </w:rPr>
        <w:t>（*）</w:t>
      </w:r>
      <w:r>
        <w:rPr>
          <w:rFonts w:hint="eastAsia" w:asciiTheme="minorEastAsia" w:hAnsiTheme="minorEastAsia" w:eastAsiaTheme="minorEastAsia" w:cstheme="minorEastAsia"/>
          <w:sz w:val="24"/>
          <w:szCs w:val="24"/>
          <w:lang w:val="en-US" w:eastAsia="zh-CN"/>
        </w:rPr>
        <w:t>：附带一根90cm，直径不少于16</w:t>
      </w:r>
      <w:r>
        <w:rPr>
          <w:rFonts w:hint="eastAsia" w:asciiTheme="minorEastAsia" w:hAnsiTheme="minorEastAsia" w:eastAsiaTheme="minorEastAsia" w:cstheme="minorEastAsia"/>
          <w:sz w:val="24"/>
          <w:szCs w:val="24"/>
        </w:rPr>
        <w:t>mm²</w:t>
      </w:r>
      <w:r>
        <w:rPr>
          <w:rFonts w:hint="eastAsia" w:asciiTheme="minorEastAsia" w:hAnsiTheme="minorEastAsia" w:eastAsiaTheme="minorEastAsia" w:cstheme="minorEastAsia"/>
          <w:sz w:val="24"/>
          <w:szCs w:val="24"/>
          <w:lang w:eastAsia="zh-CN"/>
        </w:rPr>
        <w:t>的镀锌圆铁，与软铜地线进行双孔螺母连接。</w:t>
      </w:r>
    </w:p>
    <w:p>
      <w:pPr>
        <w:pStyle w:val="48"/>
        <w:keepNext w:val="0"/>
        <w:keepLines w:val="0"/>
        <w:pageBreakBefore w:val="0"/>
        <w:widowControl/>
        <w:kinsoku/>
        <w:wordWrap/>
        <w:overflowPunct/>
        <w:topLinePunct w:val="0"/>
        <w:autoSpaceDE/>
        <w:autoSpaceDN/>
        <w:bidi w:val="0"/>
        <w:adjustRightInd/>
        <w:snapToGrid/>
        <w:spacing w:before="60" w:beforeLines="0" w:afterLines="0" w:line="360" w:lineRule="auto"/>
        <w:ind w:left="0" w:leftChars="0" w:right="0" w:rightChars="0" w:firstLine="482" w:firstLineChars="200"/>
        <w:jc w:val="left"/>
        <w:textAlignment w:val="auto"/>
        <w:rPr>
          <w:rFonts w:hint="eastAsia" w:eastAsia="楷体_GB2312" w:asciiTheme="minorEastAsia" w:hAnsiTheme="minorEastAsia" w:cstheme="minorEastAsia"/>
          <w:b/>
          <w:bCs w:val="0"/>
          <w:sz w:val="24"/>
          <w:szCs w:val="24"/>
        </w:rPr>
      </w:pPr>
      <w:r>
        <w:rPr>
          <w:rFonts w:hint="eastAsia" w:eastAsia="楷体_GB2312" w:asciiTheme="minorEastAsia" w:hAnsiTheme="minorEastAsia" w:cstheme="minorEastAsia"/>
          <w:b/>
          <w:bCs w:val="0"/>
          <w:sz w:val="24"/>
          <w:szCs w:val="24"/>
        </w:rPr>
        <w:t>其他</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绝缘等级：H</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防护等级</w:t>
      </w:r>
      <w:r>
        <w:rPr>
          <w:rFonts w:hint="eastAsia" w:eastAsiaTheme="minorEastAsia" w:cstheme="minorEastAsia"/>
          <w:b/>
          <w:bCs w:val="0"/>
          <w:sz w:val="24"/>
          <w:szCs w:val="24"/>
          <w:lang w:eastAsia="zh-CN"/>
        </w:rPr>
        <w:t>（*）</w:t>
      </w:r>
      <w:r>
        <w:rPr>
          <w:rFonts w:hint="eastAsia" w:asciiTheme="minorEastAsia" w:hAnsiTheme="minorEastAsia" w:eastAsiaTheme="minorEastAsia" w:cstheme="minorEastAsia"/>
          <w:sz w:val="24"/>
          <w:szCs w:val="24"/>
        </w:rPr>
        <w:t>：IP</w:t>
      </w:r>
      <w:r>
        <w:rPr>
          <w:rFonts w:hint="eastAsia" w:asciiTheme="minorEastAsia" w:hAnsiTheme="minorEastAsia" w:eastAsiaTheme="minorEastAsia" w:cstheme="minorEastAsia"/>
          <w:sz w:val="24"/>
          <w:szCs w:val="24"/>
          <w:lang w:val="en-US" w:eastAsia="zh-CN"/>
        </w:rPr>
        <w:t>54</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净重</w:t>
      </w:r>
      <w:r>
        <w:rPr>
          <w:rFonts w:hint="eastAsia" w:eastAsiaTheme="minorEastAsia" w:cstheme="minorEastAsia"/>
          <w:b/>
          <w:bCs w:val="0"/>
          <w:sz w:val="24"/>
          <w:szCs w:val="24"/>
          <w:lang w:eastAsia="zh-CN"/>
        </w:rPr>
        <w:t>（*）</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rPr>
        <w:t>0kg</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发电机</w:t>
      </w:r>
      <w:r>
        <w:rPr>
          <w:rFonts w:hint="eastAsia" w:asciiTheme="minorEastAsia" w:hAnsiTheme="minorEastAsia" w:eastAsiaTheme="minorEastAsia" w:cstheme="minorEastAsia"/>
          <w:sz w:val="24"/>
          <w:szCs w:val="24"/>
          <w:lang w:val="en-US" w:eastAsia="zh-CN"/>
        </w:rPr>
        <w:t>有电子调速和自动电压调节装器等装置，支持多台</w:t>
      </w:r>
      <w:r>
        <w:rPr>
          <w:rFonts w:hint="eastAsia" w:asciiTheme="minorEastAsia" w:hAnsiTheme="minorEastAsia" w:eastAsiaTheme="minorEastAsia" w:cstheme="minorEastAsia"/>
          <w:sz w:val="24"/>
          <w:szCs w:val="24"/>
          <w:lang w:eastAsia="zh-CN"/>
        </w:rPr>
        <w:t>并</w:t>
      </w:r>
      <w:r>
        <w:rPr>
          <w:rFonts w:hint="eastAsia" w:asciiTheme="minorEastAsia" w:hAnsiTheme="minorEastAsia" w:eastAsiaTheme="minorEastAsia" w:cstheme="minorEastAsia"/>
          <w:sz w:val="24"/>
          <w:szCs w:val="24"/>
          <w:lang w:val="en-US" w:eastAsia="zh-CN"/>
        </w:rPr>
        <w:t>机自组网供电</w:t>
      </w:r>
      <w:r>
        <w:rPr>
          <w:rFonts w:hint="eastAsia" w:eastAsiaTheme="minorEastAsia" w:cstheme="minorEastAsia"/>
          <w:b/>
          <w:bCs w:val="0"/>
          <w:sz w:val="24"/>
          <w:szCs w:val="24"/>
          <w:lang w:eastAsia="zh-CN"/>
        </w:rPr>
        <w:t>（*）</w:t>
      </w:r>
      <w:r>
        <w:rPr>
          <w:rFonts w:hint="eastAsia" w:asciiTheme="minorEastAsia" w:hAnsiTheme="minorEastAsia" w:eastAsiaTheme="minorEastAsia" w:cstheme="minorEastAsia"/>
          <w:sz w:val="24"/>
          <w:szCs w:val="24"/>
          <w:lang w:val="en-US" w:eastAsia="zh-CN"/>
        </w:rPr>
        <w:t>。</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Theme="minorEastAsia" w:hAnsiTheme="minorEastAsia" w:eastAsiaTheme="minorEastAsia" w:cstheme="minorEastAsia"/>
          <w:sz w:val="24"/>
          <w:szCs w:val="24"/>
        </w:rPr>
      </w:pPr>
      <w:r>
        <w:rPr>
          <w:rFonts w:hint="eastAsia" w:ascii="宋体" w:hAnsi="宋体" w:eastAsia="宋体" w:cs="宋体"/>
          <w:color w:val="auto"/>
          <w:kern w:val="2"/>
          <w:sz w:val="24"/>
          <w:szCs w:val="24"/>
          <w:highlight w:val="none"/>
          <w:lang w:val="en-US" w:eastAsia="zh-CN" w:bidi="ar-SA"/>
        </w:rPr>
        <w:t>电鸿化：具备电鸿化的物联终端，发电机电压、电流、功率、频率、功率因数、转速、机油压力、电池电压，运行小时,油耗参数、剩余持续运行时间、北斗（GPS）定位等信息数据能够直接接入电鸿平台。</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rPr>
      </w:pPr>
      <w:r>
        <w:rPr>
          <w:rFonts w:hint="eastAsia" w:asciiTheme="minorEastAsia" w:hAnsiTheme="minorEastAsia" w:eastAsiaTheme="minorEastAsia" w:cstheme="minorEastAsia"/>
          <w:sz w:val="24"/>
          <w:szCs w:val="24"/>
          <w:lang w:val="en-US" w:eastAsia="zh-CN"/>
        </w:rPr>
        <w:t>如遇到紧急突发情况</w:t>
      </w:r>
      <w:r>
        <w:rPr>
          <w:rFonts w:hint="eastAsia" w:eastAsiaTheme="minorEastAsia" w:cstheme="minorEastAsia"/>
          <w:sz w:val="24"/>
          <w:szCs w:val="24"/>
          <w:lang w:val="en-US" w:eastAsia="zh-CN"/>
        </w:rPr>
        <w:t>，投标方</w:t>
      </w:r>
      <w:r>
        <w:rPr>
          <w:rFonts w:hint="eastAsia" w:asciiTheme="minorEastAsia" w:hAnsiTheme="minorEastAsia" w:eastAsiaTheme="minorEastAsia" w:cstheme="minorEastAsia"/>
          <w:sz w:val="24"/>
          <w:szCs w:val="24"/>
          <w:lang w:val="en-US" w:eastAsia="zh-CN"/>
        </w:rPr>
        <w:t>可以免费提供备用机。</w:t>
      </w:r>
    </w:p>
    <w:p>
      <w:pPr>
        <w:pStyle w:val="51"/>
        <w:keepNext w:val="0"/>
        <w:keepLines w:val="0"/>
        <w:pageBreakBefore w:val="0"/>
        <w:kinsoku/>
        <w:wordWrap/>
        <w:overflowPunct/>
        <w:topLinePunct w:val="0"/>
        <w:bidi w:val="0"/>
        <w:adjustRightInd/>
        <w:snapToGrid/>
        <w:spacing w:before="60" w:beforeLines="0" w:afterLines="0" w:line="360" w:lineRule="auto"/>
        <w:ind w:right="0" w:firstLine="480" w:firstLineChars="200"/>
        <w:textAlignment w:val="auto"/>
        <w:rPr>
          <w:rFonts w:ascii="Times New Roman"/>
          <w:sz w:val="24"/>
          <w:szCs w:val="24"/>
        </w:rPr>
      </w:pPr>
      <w:bookmarkStart w:id="34" w:name="_Toc306180727"/>
      <w:bookmarkStart w:id="35" w:name="_Toc416267230"/>
      <w:bookmarkStart w:id="36" w:name="_Toc416267179"/>
      <w:bookmarkStart w:id="37" w:name="_Toc386893290"/>
      <w:bookmarkStart w:id="38" w:name="_Toc388521271"/>
      <w:bookmarkStart w:id="39" w:name="_Toc386617919"/>
      <w:bookmarkStart w:id="40" w:name="_Toc415486396"/>
      <w:bookmarkStart w:id="41" w:name="_Toc14382"/>
      <w:bookmarkStart w:id="42" w:name="_Toc386893299"/>
      <w:bookmarkStart w:id="43" w:name="_Toc388521283"/>
      <w:bookmarkStart w:id="44" w:name="_Toc306180729"/>
      <w:bookmarkStart w:id="45" w:name="_Toc416267232"/>
      <w:bookmarkStart w:id="46" w:name="_Toc415486401"/>
      <w:bookmarkStart w:id="47" w:name="_Toc416267183"/>
      <w:bookmarkStart w:id="48" w:name="_Toc386617928"/>
      <w:r>
        <w:rPr>
          <w:rFonts w:ascii="Times New Roman"/>
          <w:sz w:val="24"/>
          <w:szCs w:val="24"/>
        </w:rPr>
        <w:t>试验</w:t>
      </w:r>
      <w:bookmarkEnd w:id="34"/>
      <w:bookmarkEnd w:id="35"/>
      <w:bookmarkEnd w:id="36"/>
      <w:bookmarkEnd w:id="37"/>
      <w:bookmarkEnd w:id="38"/>
      <w:bookmarkEnd w:id="39"/>
      <w:bookmarkEnd w:id="40"/>
      <w:r>
        <w:rPr>
          <w:rFonts w:ascii="Times New Roman"/>
          <w:sz w:val="24"/>
          <w:szCs w:val="24"/>
        </w:rPr>
        <w:t>要求</w:t>
      </w:r>
      <w:bookmarkEnd w:id="41"/>
    </w:p>
    <w:p>
      <w:pPr>
        <w:pStyle w:val="48"/>
        <w:keepNext w:val="0"/>
        <w:keepLines w:val="0"/>
        <w:pageBreakBefore w:val="0"/>
        <w:widowControl/>
        <w:kinsoku/>
        <w:wordWrap/>
        <w:overflowPunct/>
        <w:topLinePunct w:val="0"/>
        <w:autoSpaceDE/>
        <w:autoSpaceDN/>
        <w:bidi w:val="0"/>
        <w:adjustRightInd/>
        <w:snapToGrid/>
        <w:spacing w:before="60" w:beforeLines="0" w:afterLines="0" w:line="360" w:lineRule="auto"/>
        <w:ind w:left="0" w:leftChars="0" w:right="0" w:rightChars="0" w:firstLine="482" w:firstLineChars="200"/>
        <w:jc w:val="left"/>
        <w:textAlignment w:val="auto"/>
        <w:rPr>
          <w:rFonts w:hint="eastAsia" w:eastAsia="楷体_GB2312" w:asciiTheme="minorEastAsia" w:hAnsiTheme="minorEastAsia" w:cstheme="minorEastAsia"/>
          <w:b/>
          <w:bCs w:val="0"/>
          <w:sz w:val="24"/>
          <w:szCs w:val="24"/>
        </w:rPr>
      </w:pPr>
      <w:r>
        <w:rPr>
          <w:rFonts w:hint="eastAsia" w:eastAsia="楷体_GB2312" w:asciiTheme="minorEastAsia" w:hAnsiTheme="minorEastAsia" w:cstheme="minorEastAsia"/>
          <w:b/>
          <w:bCs w:val="0"/>
          <w:sz w:val="24"/>
          <w:szCs w:val="24"/>
        </w:rPr>
        <w:t>结构和外观检测</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试验方法</w:t>
      </w:r>
      <w:bookmarkStart w:id="69" w:name="_GoBack"/>
      <w:bookmarkEnd w:id="69"/>
    </w:p>
    <w:p>
      <w:pPr>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按油机、控制屏、发电机、底盘的顺序逐一检查机组的外观质量、接线质量、铭牌、零部件质量和总体质量、接地检查等。</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判定准则</w:t>
      </w:r>
    </w:p>
    <w:p>
      <w:pPr>
        <w:pStyle w:val="57"/>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outlineLvl w:val="4"/>
        <w:rPr>
          <w:rFonts w:ascii="Times New Roman" w:eastAsia="宋体"/>
          <w:kern w:val="2"/>
          <w:sz w:val="24"/>
          <w:szCs w:val="24"/>
        </w:rPr>
      </w:pPr>
      <w:r>
        <w:rPr>
          <w:rFonts w:ascii="Times New Roman" w:eastAsia="宋体"/>
          <w:kern w:val="2"/>
          <w:sz w:val="24"/>
          <w:szCs w:val="24"/>
        </w:rPr>
        <w:t>整机外观美观整洁，结构坚固，布局合理。</w:t>
      </w:r>
    </w:p>
    <w:p>
      <w:pPr>
        <w:pStyle w:val="57"/>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outlineLvl w:val="4"/>
        <w:rPr>
          <w:rFonts w:ascii="Times New Roman" w:eastAsia="宋体"/>
          <w:kern w:val="2"/>
          <w:sz w:val="24"/>
          <w:szCs w:val="24"/>
        </w:rPr>
      </w:pPr>
      <w:r>
        <w:rPr>
          <w:rFonts w:ascii="Times New Roman" w:eastAsia="宋体"/>
          <w:kern w:val="2"/>
          <w:sz w:val="24"/>
          <w:szCs w:val="24"/>
        </w:rPr>
        <w:t>外壳表面有保护涂层或防腐设计，表面光洁、均匀，无划痕、毛刺等其他缺陷。本体外壳和电器部件的外壳均不带电</w:t>
      </w:r>
      <w:r>
        <w:rPr>
          <w:rFonts w:hint="eastAsia" w:ascii="Times New Roman" w:eastAsia="宋体"/>
          <w:kern w:val="2"/>
          <w:sz w:val="24"/>
          <w:szCs w:val="24"/>
        </w:rPr>
        <w:t>。</w:t>
      </w:r>
    </w:p>
    <w:p>
      <w:pPr>
        <w:pStyle w:val="57"/>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outlineLvl w:val="4"/>
        <w:rPr>
          <w:rFonts w:ascii="Times New Roman" w:eastAsia="宋体"/>
          <w:kern w:val="2"/>
          <w:sz w:val="24"/>
          <w:szCs w:val="24"/>
        </w:rPr>
      </w:pPr>
      <w:r>
        <w:rPr>
          <w:rFonts w:hint="eastAsia" w:ascii="Times New Roman" w:eastAsia="宋体"/>
          <w:kern w:val="2"/>
          <w:sz w:val="24"/>
          <w:szCs w:val="24"/>
        </w:rPr>
        <w:t>仪表及指示装置指示准确，满足工作要求</w:t>
      </w:r>
      <w:r>
        <w:rPr>
          <w:rFonts w:ascii="Times New Roman" w:eastAsia="宋体"/>
          <w:kern w:val="2"/>
          <w:sz w:val="24"/>
          <w:szCs w:val="24"/>
        </w:rPr>
        <w:t>。</w:t>
      </w:r>
    </w:p>
    <w:p>
      <w:pPr>
        <w:pStyle w:val="57"/>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outlineLvl w:val="4"/>
        <w:rPr>
          <w:rFonts w:ascii="Times New Roman"/>
          <w:sz w:val="24"/>
          <w:szCs w:val="24"/>
        </w:rPr>
      </w:pPr>
      <w:r>
        <w:rPr>
          <w:rFonts w:hint="eastAsia" w:asciiTheme="minorEastAsia" w:hAnsiTheme="minorEastAsia" w:eastAsiaTheme="minorEastAsia" w:cstheme="minorEastAsia"/>
          <w:sz w:val="24"/>
          <w:szCs w:val="24"/>
          <w:highlight w:val="none"/>
        </w:rPr>
        <w:t>机组铭牌、发电机铭牌应在明显位置，铭牌数据</w:t>
      </w:r>
      <w:r>
        <w:rPr>
          <w:rFonts w:hint="eastAsia" w:asciiTheme="minorEastAsia" w:hAnsiTheme="minorEastAsia" w:eastAsiaTheme="minorEastAsia" w:cstheme="minorEastAsia"/>
          <w:sz w:val="24"/>
          <w:szCs w:val="24"/>
          <w:highlight w:val="none"/>
          <w:lang w:eastAsia="zh-CN"/>
        </w:rPr>
        <w:t>包含型号、额定功率、电流、电压、频率</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eastAsia="zh-CN"/>
        </w:rPr>
        <w:t>重量、出厂日期等，</w:t>
      </w:r>
      <w:r>
        <w:rPr>
          <w:rFonts w:hint="eastAsia" w:asciiTheme="minorEastAsia" w:hAnsiTheme="minorEastAsia" w:eastAsiaTheme="minorEastAsia" w:cstheme="minorEastAsia"/>
          <w:sz w:val="24"/>
          <w:szCs w:val="24"/>
          <w:highlight w:val="none"/>
        </w:rPr>
        <w:t>内容齐全、数据完整、正确</w:t>
      </w:r>
      <w:r>
        <w:rPr>
          <w:rFonts w:hint="eastAsia" w:ascii="Times New Roman"/>
          <w:sz w:val="24"/>
          <w:szCs w:val="24"/>
        </w:rPr>
        <w:t>。</w:t>
      </w:r>
    </w:p>
    <w:p>
      <w:pPr>
        <w:pStyle w:val="57"/>
        <w:keepNext w:val="0"/>
        <w:keepLines w:val="0"/>
        <w:pageBreakBefore w:val="0"/>
        <w:widowControl/>
        <w:kinsoku/>
        <w:wordWrap/>
        <w:overflowPunct/>
        <w:topLinePunct w:val="0"/>
        <w:autoSpaceDE/>
        <w:autoSpaceDN/>
        <w:bidi w:val="0"/>
        <w:adjustRightInd/>
        <w:snapToGrid/>
        <w:spacing w:before="60" w:beforeLines="0" w:after="0" w:afterLines="0" w:line="360" w:lineRule="auto"/>
        <w:ind w:left="0" w:leftChars="0" w:right="0" w:rightChars="0" w:firstLine="480" w:firstLineChars="200"/>
        <w:jc w:val="left"/>
        <w:textAlignment w:val="auto"/>
        <w:outlineLvl w:val="4"/>
        <w:rPr>
          <w:rFonts w:ascii="Times New Roman" w:eastAsia="宋体"/>
          <w:kern w:val="2"/>
          <w:sz w:val="24"/>
          <w:szCs w:val="24"/>
        </w:rPr>
      </w:pPr>
      <w:r>
        <w:rPr>
          <w:rFonts w:hint="eastAsia" w:ascii="Times New Roman" w:eastAsia="宋体"/>
          <w:kern w:val="2"/>
          <w:sz w:val="24"/>
          <w:szCs w:val="24"/>
        </w:rPr>
        <w:t>目测接地端子有无明显标志，接地线是否符合规定要求，有良好的接地端子并有明显标志，接地连接良好。</w:t>
      </w:r>
    </w:p>
    <w:p>
      <w:pPr>
        <w:pStyle w:val="48"/>
        <w:keepNext w:val="0"/>
        <w:keepLines w:val="0"/>
        <w:pageBreakBefore w:val="0"/>
        <w:widowControl/>
        <w:kinsoku/>
        <w:wordWrap/>
        <w:overflowPunct/>
        <w:topLinePunct w:val="0"/>
        <w:autoSpaceDE/>
        <w:autoSpaceDN/>
        <w:bidi w:val="0"/>
        <w:adjustRightInd/>
        <w:snapToGrid/>
        <w:spacing w:before="60" w:beforeLines="0" w:afterLines="0" w:line="360" w:lineRule="auto"/>
        <w:ind w:left="0" w:leftChars="0" w:right="0" w:rightChars="0" w:firstLine="482" w:firstLineChars="200"/>
        <w:jc w:val="left"/>
        <w:textAlignment w:val="auto"/>
        <w:rPr>
          <w:rFonts w:hint="eastAsia" w:eastAsia="楷体_GB2312" w:asciiTheme="minorEastAsia" w:hAnsiTheme="minorEastAsia" w:cstheme="minorEastAsia"/>
          <w:b/>
          <w:bCs w:val="0"/>
          <w:sz w:val="24"/>
          <w:szCs w:val="24"/>
        </w:rPr>
      </w:pPr>
      <w:r>
        <w:rPr>
          <w:rFonts w:hint="eastAsia" w:eastAsia="楷体_GB2312" w:asciiTheme="minorEastAsia" w:hAnsiTheme="minorEastAsia" w:cstheme="minorEastAsia"/>
          <w:b/>
          <w:bCs w:val="0"/>
          <w:sz w:val="24"/>
          <w:szCs w:val="24"/>
        </w:rPr>
        <w:t>专用性能检测</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相序试验</w:t>
      </w:r>
    </w:p>
    <w:p>
      <w:pPr>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将机组的一种电压连接方式的负载端子分别与相序指示器的对应端子连接，启动机组，并使其处于空载和额定状态下，检查相序是否正确并予以记录。对采用输出插头插座者，面向插座，按顺时针方向排列为正相序；对采用控制屏内接线端子者，从屏正面看，应以从左到右或自上至下排列为正相序。</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启动性能试验</w:t>
      </w:r>
    </w:p>
    <w:p>
      <w:pPr>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发电机组处于常温冷态下，启动发电机组，机组应能启动成功。对有低温启动装置的机组，应按使用说明书确认低温启动装置是否工作正常。</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倾斜运行试验</w:t>
      </w:r>
    </w:p>
    <w:p>
      <w:pPr>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将发电机分别置于纵向水平倾斜 6°和横向水平倾斜 5°条件下，启动发电机在额定功率下连续运行30min，检查有无漏油、漏水、漏气现象。</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带载运行试验</w:t>
      </w:r>
    </w:p>
    <w:p>
      <w:pPr>
        <w:pStyle w:val="34"/>
        <w:keepNext w:val="0"/>
        <w:keepLines w:val="0"/>
        <w:pageBreakBefore w:val="0"/>
        <w:widowControl/>
        <w:kinsoku/>
        <w:wordWrap/>
        <w:overflowPunct/>
        <w:topLinePunct w:val="0"/>
        <w:bidi w:val="0"/>
        <w:adjustRightInd/>
        <w:snapToGrid/>
        <w:spacing w:before="60" w:line="360" w:lineRule="auto"/>
        <w:ind w:right="0" w:firstLine="480" w:firstLineChars="200"/>
        <w:textAlignment w:val="auto"/>
        <w:rPr>
          <w:kern w:val="2"/>
          <w:sz w:val="24"/>
          <w:szCs w:val="24"/>
        </w:rPr>
      </w:pPr>
      <w:r>
        <w:rPr>
          <w:rFonts w:hint="eastAsia"/>
          <w:kern w:val="2"/>
          <w:sz w:val="24"/>
          <w:szCs w:val="24"/>
        </w:rPr>
        <w:t>由低负荷逐步增加负荷，在各负荷状态时测量发电机各运行参数，对所有仪表上的示值，按规定的时间间隔做好记录，并记录发电机组各负荷（包括全负荷、超负荷）的试验状态。同时，检验发电机运转是否平稳，有无异常响声。试验过程中</w:t>
      </w:r>
      <w:r>
        <w:rPr>
          <w:kern w:val="2"/>
          <w:sz w:val="24"/>
          <w:szCs w:val="24"/>
        </w:rPr>
        <w:t>发电机工作状态应平稳</w:t>
      </w:r>
      <w:r>
        <w:rPr>
          <w:rFonts w:hint="eastAsia"/>
          <w:kern w:val="2"/>
          <w:sz w:val="24"/>
          <w:szCs w:val="24"/>
        </w:rPr>
        <w:t>，</w:t>
      </w:r>
      <w:r>
        <w:rPr>
          <w:kern w:val="2"/>
          <w:sz w:val="24"/>
          <w:szCs w:val="24"/>
        </w:rPr>
        <w:t>各活动部件无过热现象。</w:t>
      </w:r>
    </w:p>
    <w:p>
      <w:pPr>
        <w:pStyle w:val="51"/>
        <w:keepNext w:val="0"/>
        <w:keepLines w:val="0"/>
        <w:pageBreakBefore w:val="0"/>
        <w:kinsoku/>
        <w:wordWrap/>
        <w:overflowPunct/>
        <w:topLinePunct w:val="0"/>
        <w:bidi w:val="0"/>
        <w:adjustRightInd/>
        <w:snapToGrid/>
        <w:spacing w:before="60" w:beforeLines="0" w:afterLines="0" w:line="360" w:lineRule="auto"/>
        <w:ind w:right="0" w:firstLine="480" w:firstLineChars="200"/>
        <w:textAlignment w:val="auto"/>
        <w:rPr>
          <w:rFonts w:ascii="Times New Roman"/>
          <w:sz w:val="24"/>
          <w:szCs w:val="24"/>
        </w:rPr>
      </w:pPr>
      <w:bookmarkStart w:id="49" w:name="_Toc386893295"/>
      <w:bookmarkStart w:id="50" w:name="_Toc416267231"/>
      <w:bookmarkStart w:id="51" w:name="_Toc416267182"/>
      <w:bookmarkStart w:id="52" w:name="_Toc388521276"/>
      <w:bookmarkStart w:id="53" w:name="_Toc19262"/>
      <w:bookmarkStart w:id="54" w:name="_Toc415486399"/>
      <w:bookmarkStart w:id="55" w:name="_Toc386617924"/>
      <w:r>
        <w:rPr>
          <w:rFonts w:ascii="Times New Roman"/>
          <w:sz w:val="24"/>
          <w:szCs w:val="24"/>
        </w:rPr>
        <w:t>检验规则</w:t>
      </w:r>
      <w:bookmarkEnd w:id="49"/>
      <w:bookmarkEnd w:id="50"/>
      <w:bookmarkEnd w:id="51"/>
      <w:bookmarkEnd w:id="52"/>
      <w:bookmarkEnd w:id="53"/>
      <w:bookmarkEnd w:id="54"/>
      <w:bookmarkEnd w:id="55"/>
    </w:p>
    <w:p>
      <w:pPr>
        <w:pStyle w:val="48"/>
        <w:keepNext w:val="0"/>
        <w:keepLines w:val="0"/>
        <w:pageBreakBefore w:val="0"/>
        <w:widowControl/>
        <w:kinsoku/>
        <w:wordWrap/>
        <w:overflowPunct/>
        <w:topLinePunct w:val="0"/>
        <w:autoSpaceDE/>
        <w:autoSpaceDN/>
        <w:bidi w:val="0"/>
        <w:adjustRightInd/>
        <w:snapToGrid/>
        <w:spacing w:before="60" w:beforeLines="0" w:afterLines="0" w:line="360" w:lineRule="auto"/>
        <w:ind w:left="0" w:leftChars="0" w:right="0" w:rightChars="0" w:firstLine="480" w:firstLineChars="200"/>
        <w:jc w:val="left"/>
        <w:textAlignment w:val="auto"/>
        <w:rPr>
          <w:rFonts w:hint="eastAsia" w:eastAsia="楷体_GB2312" w:asciiTheme="minorEastAsia" w:hAnsiTheme="minorEastAsia" w:cstheme="minorEastAsia"/>
          <w:b w:val="0"/>
          <w:bCs/>
          <w:sz w:val="24"/>
          <w:szCs w:val="24"/>
        </w:rPr>
      </w:pPr>
      <w:r>
        <w:rPr>
          <w:rFonts w:hint="eastAsia" w:eastAsia="楷体_GB2312" w:asciiTheme="minorEastAsia" w:hAnsiTheme="minorEastAsia" w:cstheme="minorEastAsia"/>
          <w:b w:val="0"/>
          <w:bCs/>
          <w:sz w:val="24"/>
          <w:szCs w:val="24"/>
        </w:rPr>
        <w:t>出厂检验</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eastAsia="宋体"/>
          <w:kern w:val="2"/>
          <w:sz w:val="24"/>
          <w:szCs w:val="24"/>
        </w:rPr>
      </w:pPr>
      <w:r>
        <w:rPr>
          <w:rFonts w:hint="eastAsia" w:ascii="Times New Roman" w:eastAsia="宋体"/>
          <w:kern w:val="2"/>
          <w:sz w:val="24"/>
          <w:szCs w:val="24"/>
        </w:rPr>
        <w:t>每台应急发电机均应进行出厂检验，经制造厂质量检验部门检验合格，并签发产品合格证后方可出厂。</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eastAsia="宋体"/>
          <w:kern w:val="2"/>
          <w:sz w:val="24"/>
          <w:szCs w:val="24"/>
        </w:rPr>
      </w:pPr>
      <w:r>
        <w:rPr>
          <w:rFonts w:hint="eastAsia" w:ascii="Times New Roman" w:eastAsia="宋体"/>
          <w:kern w:val="2"/>
          <w:sz w:val="24"/>
          <w:szCs w:val="24"/>
        </w:rPr>
        <w:t>出厂检验项目：</w:t>
      </w:r>
    </w:p>
    <w:p>
      <w:pPr>
        <w:pStyle w:val="27"/>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—检查外观；</w:t>
      </w:r>
    </w:p>
    <w:p>
      <w:pPr>
        <w:pStyle w:val="27"/>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—检查仪表及指示装置；</w:t>
      </w:r>
    </w:p>
    <w:p>
      <w:pPr>
        <w:pStyle w:val="27"/>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—检查相序；</w:t>
      </w:r>
    </w:p>
    <w:p>
      <w:pPr>
        <w:pStyle w:val="27"/>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—检查启动性能；</w:t>
      </w:r>
    </w:p>
    <w:p>
      <w:pPr>
        <w:pStyle w:val="27"/>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—检查绝缘电阻；</w:t>
      </w:r>
    </w:p>
    <w:p>
      <w:pPr>
        <w:pStyle w:val="27"/>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—耐电压试验；</w:t>
      </w:r>
    </w:p>
    <w:p>
      <w:pPr>
        <w:pStyle w:val="27"/>
        <w:keepNext w:val="0"/>
        <w:keepLines w:val="0"/>
        <w:pageBreakBefore w:val="0"/>
        <w:kinsoku/>
        <w:wordWrap/>
        <w:overflowPunct/>
        <w:topLinePunct w:val="0"/>
        <w:bidi w:val="0"/>
        <w:adjustRightInd/>
        <w:snapToGrid/>
        <w:spacing w:before="60" w:line="360" w:lineRule="auto"/>
        <w:ind w:right="0" w:firstLine="480" w:firstLineChars="200"/>
        <w:textAlignment w:val="auto"/>
        <w:rPr>
          <w:sz w:val="24"/>
          <w:szCs w:val="24"/>
        </w:rPr>
      </w:pPr>
      <w:r>
        <w:rPr>
          <w:rFonts w:hint="eastAsia"/>
          <w:sz w:val="24"/>
          <w:szCs w:val="24"/>
        </w:rPr>
        <w:t>—带载运行试验。</w:t>
      </w:r>
    </w:p>
    <w:p>
      <w:pPr>
        <w:pStyle w:val="51"/>
        <w:keepNext w:val="0"/>
        <w:keepLines w:val="0"/>
        <w:pageBreakBefore w:val="0"/>
        <w:kinsoku/>
        <w:wordWrap/>
        <w:overflowPunct/>
        <w:topLinePunct w:val="0"/>
        <w:bidi w:val="0"/>
        <w:adjustRightInd/>
        <w:snapToGrid/>
        <w:spacing w:before="60" w:beforeLines="0" w:afterLines="0" w:line="360" w:lineRule="auto"/>
        <w:ind w:right="0" w:firstLine="480" w:firstLineChars="200"/>
        <w:textAlignment w:val="auto"/>
        <w:rPr>
          <w:rFonts w:ascii="Times New Roman"/>
          <w:sz w:val="24"/>
          <w:szCs w:val="24"/>
        </w:rPr>
      </w:pPr>
      <w:bookmarkStart w:id="56" w:name="_Toc11083"/>
      <w:r>
        <w:rPr>
          <w:rFonts w:ascii="Times New Roman"/>
          <w:sz w:val="24"/>
          <w:szCs w:val="24"/>
        </w:rPr>
        <w:t>标志、包装、运输</w:t>
      </w:r>
      <w:bookmarkEnd w:id="42"/>
      <w:bookmarkEnd w:id="43"/>
      <w:bookmarkEnd w:id="44"/>
      <w:bookmarkEnd w:id="45"/>
      <w:bookmarkEnd w:id="46"/>
      <w:bookmarkEnd w:id="47"/>
      <w:bookmarkEnd w:id="48"/>
      <w:bookmarkEnd w:id="56"/>
    </w:p>
    <w:p>
      <w:pPr>
        <w:pStyle w:val="48"/>
        <w:keepNext w:val="0"/>
        <w:keepLines w:val="0"/>
        <w:pageBreakBefore w:val="0"/>
        <w:widowControl/>
        <w:kinsoku/>
        <w:wordWrap/>
        <w:overflowPunct/>
        <w:topLinePunct w:val="0"/>
        <w:autoSpaceDE/>
        <w:autoSpaceDN/>
        <w:bidi w:val="0"/>
        <w:adjustRightInd/>
        <w:snapToGrid/>
        <w:spacing w:before="60" w:beforeLines="0" w:afterLines="0" w:line="360" w:lineRule="auto"/>
        <w:ind w:left="0" w:leftChars="0" w:right="0" w:rightChars="0" w:firstLine="482" w:firstLineChars="200"/>
        <w:jc w:val="left"/>
        <w:textAlignment w:val="auto"/>
        <w:rPr>
          <w:rFonts w:hint="eastAsia" w:eastAsia="楷体_GB2312" w:asciiTheme="minorEastAsia" w:hAnsiTheme="minorEastAsia" w:cstheme="minorEastAsia"/>
          <w:b/>
          <w:bCs w:val="0"/>
          <w:sz w:val="24"/>
          <w:szCs w:val="24"/>
        </w:rPr>
      </w:pPr>
      <w:bookmarkStart w:id="57" w:name="_Toc386893300"/>
      <w:bookmarkStart w:id="58" w:name="_Toc386617929"/>
      <w:bookmarkStart w:id="59" w:name="_Toc388521284"/>
      <w:r>
        <w:rPr>
          <w:rFonts w:hint="eastAsia" w:eastAsia="楷体_GB2312" w:asciiTheme="minorEastAsia" w:hAnsiTheme="minorEastAsia" w:cstheme="minorEastAsia"/>
          <w:b/>
          <w:bCs w:val="0"/>
          <w:sz w:val="24"/>
          <w:szCs w:val="24"/>
        </w:rPr>
        <w:t>标志</w:t>
      </w:r>
      <w:bookmarkEnd w:id="57"/>
      <w:bookmarkEnd w:id="58"/>
      <w:bookmarkEnd w:id="59"/>
    </w:p>
    <w:p>
      <w:pPr>
        <w:pStyle w:val="71"/>
        <w:keepNext w:val="0"/>
        <w:keepLines w:val="0"/>
        <w:pageBreakBefore w:val="0"/>
        <w:numPr>
          <w:ilvl w:val="0"/>
          <w:numId w:val="0"/>
        </w:numPr>
        <w:kinsoku/>
        <w:wordWrap/>
        <w:overflowPunct/>
        <w:topLinePunct w:val="0"/>
        <w:bidi w:val="0"/>
        <w:adjustRightInd/>
        <w:snapToGrid/>
        <w:spacing w:before="60" w:beforeLines="0" w:after="0" w:afterLines="0" w:line="360" w:lineRule="auto"/>
        <w:ind w:right="0" w:firstLine="480" w:firstLineChars="200"/>
        <w:textAlignment w:val="auto"/>
        <w:rPr>
          <w:rFonts w:ascii="Times New Roman"/>
          <w:sz w:val="24"/>
          <w:szCs w:val="24"/>
        </w:rPr>
      </w:pPr>
      <w:r>
        <w:rPr>
          <w:rFonts w:hint="eastAsia" w:ascii="Times New Roman"/>
          <w:sz w:val="24"/>
          <w:szCs w:val="24"/>
        </w:rPr>
        <w:t>发电机</w:t>
      </w:r>
      <w:r>
        <w:rPr>
          <w:rFonts w:ascii="Times New Roman"/>
          <w:sz w:val="24"/>
          <w:szCs w:val="24"/>
        </w:rPr>
        <w:t>应有永久性标牌，标牌的内容至少应包括：产品名称、型号、制造商名称、生产日期和出厂编号等。</w:t>
      </w:r>
    </w:p>
    <w:p>
      <w:pPr>
        <w:pStyle w:val="48"/>
        <w:keepNext w:val="0"/>
        <w:keepLines w:val="0"/>
        <w:pageBreakBefore w:val="0"/>
        <w:widowControl/>
        <w:kinsoku/>
        <w:wordWrap/>
        <w:overflowPunct/>
        <w:topLinePunct w:val="0"/>
        <w:autoSpaceDE/>
        <w:autoSpaceDN/>
        <w:bidi w:val="0"/>
        <w:adjustRightInd/>
        <w:snapToGrid/>
        <w:spacing w:before="60" w:beforeLines="0" w:afterLines="0" w:line="360" w:lineRule="auto"/>
        <w:ind w:left="0" w:leftChars="0" w:right="0" w:rightChars="0" w:firstLine="482" w:firstLineChars="200"/>
        <w:jc w:val="left"/>
        <w:textAlignment w:val="auto"/>
        <w:rPr>
          <w:rFonts w:hint="eastAsia" w:eastAsia="楷体_GB2312" w:asciiTheme="minorEastAsia" w:hAnsiTheme="minorEastAsia" w:cstheme="minorEastAsia"/>
          <w:b/>
          <w:bCs w:val="0"/>
          <w:sz w:val="24"/>
          <w:szCs w:val="24"/>
        </w:rPr>
      </w:pPr>
      <w:bookmarkStart w:id="60" w:name="_Toc386893301"/>
      <w:bookmarkStart w:id="61" w:name="_Toc388521285"/>
      <w:bookmarkStart w:id="62" w:name="_Toc386617930"/>
      <w:r>
        <w:rPr>
          <w:rFonts w:hint="eastAsia" w:eastAsia="楷体_GB2312" w:asciiTheme="minorEastAsia" w:hAnsiTheme="minorEastAsia" w:cstheme="minorEastAsia"/>
          <w:b/>
          <w:bCs w:val="0"/>
          <w:sz w:val="24"/>
          <w:szCs w:val="24"/>
        </w:rPr>
        <w:t>包装</w:t>
      </w:r>
      <w:bookmarkEnd w:id="60"/>
      <w:bookmarkEnd w:id="61"/>
      <w:bookmarkEnd w:id="62"/>
    </w:p>
    <w:p>
      <w:pPr>
        <w:pStyle w:val="71"/>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sz w:val="24"/>
          <w:szCs w:val="24"/>
        </w:rPr>
      </w:pPr>
      <w:r>
        <w:rPr>
          <w:rFonts w:hint="eastAsia" w:ascii="Times New Roman" w:hAnsi="Arial"/>
          <w:kern w:val="2"/>
          <w:sz w:val="24"/>
          <w:szCs w:val="24"/>
        </w:rPr>
        <w:t>设备制造完成并通过试验后应及时包装，并将全套安装使用说明书</w:t>
      </w:r>
      <w:r>
        <w:rPr>
          <w:rFonts w:ascii="Times New Roman" w:hAnsi="Arial"/>
          <w:kern w:val="2"/>
          <w:sz w:val="24"/>
          <w:szCs w:val="24"/>
        </w:rPr>
        <w:t>，</w:t>
      </w:r>
      <w:r>
        <w:rPr>
          <w:rFonts w:hint="eastAsia" w:ascii="Times New Roman" w:hAnsi="Arial"/>
          <w:kern w:val="2"/>
          <w:sz w:val="24"/>
          <w:szCs w:val="24"/>
        </w:rPr>
        <w:t>产品合格证明书、出厂试验记录、产品外形尺寸图、运输尺寸图、产品拆卸件一览表、装箱单、铭牌图或铭牌标志图及备件一览表等包装好</w:t>
      </w:r>
      <w:r>
        <w:rPr>
          <w:rFonts w:ascii="Times New Roman" w:hAnsi="Arial"/>
          <w:kern w:val="2"/>
          <w:sz w:val="24"/>
          <w:szCs w:val="24"/>
        </w:rPr>
        <w:t>，</w:t>
      </w:r>
      <w:r>
        <w:rPr>
          <w:rFonts w:hint="eastAsia" w:ascii="Times New Roman" w:hAnsi="Arial"/>
          <w:kern w:val="2"/>
          <w:sz w:val="24"/>
          <w:szCs w:val="24"/>
        </w:rPr>
        <w:t>防止受潮。从投标方发货至招标方收到期间</w:t>
      </w:r>
      <w:r>
        <w:rPr>
          <w:rFonts w:ascii="Times New Roman" w:hAnsi="Arial"/>
          <w:kern w:val="2"/>
          <w:sz w:val="24"/>
          <w:szCs w:val="24"/>
        </w:rPr>
        <w:t>，</w:t>
      </w:r>
      <w:r>
        <w:rPr>
          <w:rFonts w:hint="eastAsia" w:ascii="Times New Roman" w:hAnsi="Arial"/>
          <w:kern w:val="2"/>
          <w:sz w:val="24"/>
          <w:szCs w:val="24"/>
        </w:rPr>
        <w:t>设备和资料应完好无损。</w:t>
      </w:r>
    </w:p>
    <w:p>
      <w:pPr>
        <w:pStyle w:val="71"/>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sz w:val="24"/>
          <w:szCs w:val="24"/>
        </w:rPr>
      </w:pPr>
      <w:r>
        <w:rPr>
          <w:rFonts w:hint="eastAsia" w:ascii="Times New Roman" w:hAnsi="Arial"/>
          <w:kern w:val="2"/>
          <w:sz w:val="24"/>
          <w:szCs w:val="24"/>
        </w:rPr>
        <w:t>在包装箱上应以不褪色的醒目标志标明：合同号、目的地、设备名称、箱号、毛重、外形尺寸。包装箱应连续编号，不能有重号。</w:t>
      </w:r>
    </w:p>
    <w:p>
      <w:pPr>
        <w:pStyle w:val="71"/>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sz w:val="24"/>
          <w:szCs w:val="24"/>
        </w:rPr>
      </w:pPr>
      <w:r>
        <w:rPr>
          <w:rFonts w:hint="eastAsia" w:ascii="Times New Roman"/>
          <w:sz w:val="24"/>
          <w:szCs w:val="24"/>
        </w:rPr>
        <w:t>包装箱上应有明显的包装储运图示标志(按GB/T 191-2008)。</w:t>
      </w:r>
    </w:p>
    <w:p>
      <w:pPr>
        <w:pStyle w:val="48"/>
        <w:keepNext w:val="0"/>
        <w:keepLines w:val="0"/>
        <w:pageBreakBefore w:val="0"/>
        <w:widowControl/>
        <w:kinsoku/>
        <w:wordWrap/>
        <w:overflowPunct/>
        <w:topLinePunct w:val="0"/>
        <w:autoSpaceDE/>
        <w:autoSpaceDN/>
        <w:bidi w:val="0"/>
        <w:adjustRightInd/>
        <w:snapToGrid/>
        <w:spacing w:before="60" w:beforeLines="0" w:afterLines="0" w:line="360" w:lineRule="auto"/>
        <w:ind w:left="0" w:leftChars="0" w:right="0" w:rightChars="0" w:firstLine="482" w:firstLineChars="200"/>
        <w:jc w:val="left"/>
        <w:textAlignment w:val="auto"/>
        <w:rPr>
          <w:rFonts w:hint="eastAsia" w:eastAsia="楷体_GB2312" w:asciiTheme="minorEastAsia" w:hAnsiTheme="minorEastAsia" w:cstheme="minorEastAsia"/>
          <w:b/>
          <w:bCs w:val="0"/>
          <w:sz w:val="24"/>
          <w:szCs w:val="24"/>
        </w:rPr>
      </w:pPr>
      <w:bookmarkStart w:id="63" w:name="_Toc386617931"/>
      <w:bookmarkStart w:id="64" w:name="_Toc386893302"/>
      <w:bookmarkStart w:id="65" w:name="_Toc388521286"/>
      <w:r>
        <w:rPr>
          <w:rFonts w:hint="eastAsia" w:eastAsia="楷体_GB2312" w:asciiTheme="minorEastAsia" w:hAnsiTheme="minorEastAsia" w:cstheme="minorEastAsia"/>
          <w:b/>
          <w:bCs w:val="0"/>
          <w:sz w:val="24"/>
          <w:szCs w:val="24"/>
        </w:rPr>
        <w:t>运输</w:t>
      </w:r>
      <w:bookmarkEnd w:id="63"/>
      <w:bookmarkEnd w:id="64"/>
      <w:bookmarkEnd w:id="65"/>
    </w:p>
    <w:p>
      <w:pPr>
        <w:pStyle w:val="71"/>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sz w:val="24"/>
          <w:szCs w:val="24"/>
        </w:rPr>
      </w:pPr>
      <w:r>
        <w:rPr>
          <w:rFonts w:hint="eastAsia" w:ascii="Times New Roman"/>
          <w:sz w:val="24"/>
          <w:szCs w:val="24"/>
        </w:rPr>
        <w:t>整体产品或分别运输的部件都要适合运输和装载的要求。各种包装应能确保各零部件在运输过程中不致遭到损坏、丢失、变形、受潮和腐蚀。</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eastAsia="宋体"/>
          <w:sz w:val="24"/>
          <w:szCs w:val="24"/>
        </w:rPr>
      </w:pPr>
      <w:bookmarkStart w:id="66" w:name="_Toc386617932"/>
      <w:bookmarkStart w:id="67" w:name="_Toc386893303"/>
      <w:bookmarkStart w:id="68" w:name="_Toc388521287"/>
      <w:r>
        <w:rPr>
          <w:rFonts w:hint="eastAsia" w:ascii="Times New Roman" w:eastAsia="宋体"/>
          <w:sz w:val="24"/>
          <w:szCs w:val="24"/>
        </w:rPr>
        <w:t>在设备启运后一周内，投标方应以最快捷的方式通知招标方以下内容：设备名称；件数、件号、重量；合同号；货运单号；达到港</w:t>
      </w:r>
      <w:r>
        <w:rPr>
          <w:rFonts w:hint="eastAsia" w:ascii="Times New Roman" w:eastAsia="宋体"/>
          <w:sz w:val="24"/>
          <w:szCs w:val="24"/>
          <w:lang w:eastAsia="zh-CN"/>
        </w:rPr>
        <w:t>（</w:t>
      </w:r>
      <w:r>
        <w:rPr>
          <w:rFonts w:hint="eastAsia" w:ascii="Times New Roman" w:eastAsia="宋体"/>
          <w:sz w:val="24"/>
          <w:szCs w:val="24"/>
        </w:rPr>
        <w:t>站</w:t>
      </w:r>
      <w:r>
        <w:rPr>
          <w:rFonts w:hint="eastAsia" w:ascii="Times New Roman" w:eastAsia="宋体"/>
          <w:sz w:val="24"/>
          <w:szCs w:val="24"/>
          <w:lang w:eastAsia="zh-CN"/>
        </w:rPr>
        <w:t>）</w:t>
      </w:r>
      <w:r>
        <w:rPr>
          <w:rFonts w:hint="eastAsia" w:ascii="Times New Roman" w:eastAsia="宋体"/>
          <w:sz w:val="24"/>
          <w:szCs w:val="24"/>
        </w:rPr>
        <w:t>；设备发出日期。</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eastAsia="宋体"/>
          <w:sz w:val="24"/>
          <w:szCs w:val="24"/>
        </w:rPr>
      </w:pPr>
      <w:r>
        <w:rPr>
          <w:rFonts w:hint="eastAsia" w:ascii="Times New Roman" w:eastAsia="宋体"/>
          <w:sz w:val="24"/>
          <w:szCs w:val="24"/>
        </w:rPr>
        <w:t>备品备件、专用工具等应随设备同时装运，但必须单独包装，并明显标记，以便与提供的其它设备相区别。</w:t>
      </w:r>
    </w:p>
    <w:bookmarkEnd w:id="66"/>
    <w:bookmarkEnd w:id="67"/>
    <w:bookmarkEnd w:id="68"/>
    <w:p>
      <w:pPr>
        <w:pStyle w:val="48"/>
        <w:keepNext w:val="0"/>
        <w:keepLines w:val="0"/>
        <w:pageBreakBefore w:val="0"/>
        <w:widowControl/>
        <w:kinsoku/>
        <w:wordWrap/>
        <w:overflowPunct/>
        <w:topLinePunct w:val="0"/>
        <w:autoSpaceDE/>
        <w:autoSpaceDN/>
        <w:bidi w:val="0"/>
        <w:adjustRightInd/>
        <w:snapToGrid/>
        <w:spacing w:before="60" w:beforeLines="0" w:afterLines="0" w:line="360" w:lineRule="auto"/>
        <w:ind w:left="0" w:leftChars="0" w:right="0" w:rightChars="0" w:firstLine="482" w:firstLineChars="200"/>
        <w:jc w:val="left"/>
        <w:textAlignment w:val="auto"/>
        <w:rPr>
          <w:rFonts w:hint="eastAsia" w:eastAsia="楷体_GB2312" w:asciiTheme="minorEastAsia" w:hAnsiTheme="minorEastAsia" w:cstheme="minorEastAsia"/>
          <w:b/>
          <w:bCs w:val="0"/>
          <w:sz w:val="24"/>
          <w:szCs w:val="24"/>
        </w:rPr>
      </w:pPr>
      <w:r>
        <w:rPr>
          <w:rFonts w:hint="eastAsia" w:eastAsia="楷体_GB2312" w:asciiTheme="minorEastAsia" w:hAnsiTheme="minorEastAsia" w:cstheme="minorEastAsia"/>
          <w:b/>
          <w:bCs w:val="0"/>
          <w:sz w:val="24"/>
          <w:szCs w:val="24"/>
        </w:rPr>
        <w:t>质量保证</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sz w:val="24"/>
          <w:szCs w:val="24"/>
        </w:rPr>
      </w:pPr>
      <w:r>
        <w:rPr>
          <w:rFonts w:hint="eastAsia" w:ascii="Times New Roman" w:eastAsia="宋体"/>
          <w:sz w:val="24"/>
          <w:szCs w:val="24"/>
        </w:rPr>
        <w:t>制造厂在安装和启动时应安排技术人员提供现场安装指导服务，提出技术建议，并有对运行人员提供相关培训的义务。制造厂应提供设备专用工具。设备在使用期内，制造厂应提供技术支持和所需的备品备件。</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sz w:val="24"/>
          <w:szCs w:val="24"/>
        </w:rPr>
      </w:pPr>
      <w:r>
        <w:rPr>
          <w:rFonts w:hint="eastAsia" w:ascii="Times New Roman" w:eastAsia="宋体"/>
          <w:sz w:val="24"/>
          <w:szCs w:val="24"/>
        </w:rPr>
        <w:t>全部设备必须是全新的</w:t>
      </w:r>
      <w:r>
        <w:rPr>
          <w:rFonts w:hint="eastAsia" w:ascii="Times New Roman" w:eastAsia="宋体"/>
          <w:sz w:val="24"/>
          <w:szCs w:val="24"/>
          <w:lang w:eastAsia="zh-CN"/>
        </w:rPr>
        <w:t>，</w:t>
      </w:r>
      <w:r>
        <w:rPr>
          <w:rFonts w:hint="eastAsia" w:ascii="Times New Roman" w:eastAsia="宋体"/>
          <w:sz w:val="24"/>
          <w:szCs w:val="24"/>
        </w:rPr>
        <w:t>持久耐用的,应满足作为一个完整产品所能满足的全部要求。投标方应保证设备在规定的使用条件下运行、并按使用说明书进行安装和维护、预期寿命应不少于10年。</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sz w:val="24"/>
          <w:szCs w:val="24"/>
        </w:rPr>
      </w:pPr>
      <w:r>
        <w:rPr>
          <w:rFonts w:hint="eastAsia" w:ascii="Times New Roman" w:eastAsia="宋体"/>
          <w:sz w:val="24"/>
          <w:szCs w:val="24"/>
        </w:rPr>
        <w:t>投标方应对其整套设备在到货后提供不少于三年的“三包”质量保证。之后如发生产品损坏，投标方应及时为本套装置提供维修部件，并按最近的投标价提供。</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rPr>
          <w:rFonts w:ascii="Times New Roman" w:eastAsia="宋体"/>
          <w:sz w:val="24"/>
          <w:szCs w:val="24"/>
        </w:rPr>
      </w:pPr>
      <w:r>
        <w:rPr>
          <w:rFonts w:hint="eastAsia" w:ascii="Times New Roman" w:eastAsia="宋体"/>
          <w:sz w:val="24"/>
          <w:szCs w:val="24"/>
        </w:rPr>
        <w:t>投标方应保证制造过程中的所有工艺、材料等（包括投标方的外购件在内）均应符合本招标技术文件的规定。若招标方根据运行经验指定投标方提供某种外购零部件，投标方应积极配合。</w:t>
      </w:r>
    </w:p>
    <w:p>
      <w:pPr>
        <w:pStyle w:val="52"/>
        <w:keepNext w:val="0"/>
        <w:keepLines w:val="0"/>
        <w:pageBreakBefore w:val="0"/>
        <w:kinsoku/>
        <w:wordWrap/>
        <w:overflowPunct/>
        <w:topLinePunct w:val="0"/>
        <w:bidi w:val="0"/>
        <w:adjustRightInd/>
        <w:snapToGrid/>
        <w:spacing w:before="60" w:beforeLines="0" w:after="0" w:afterLines="0" w:line="360" w:lineRule="auto"/>
        <w:ind w:right="0" w:firstLine="480" w:firstLineChars="200"/>
        <w:textAlignment w:val="auto"/>
      </w:pPr>
      <w:r>
        <w:rPr>
          <w:rFonts w:hint="eastAsia" w:ascii="Times New Roman" w:eastAsia="宋体"/>
          <w:sz w:val="24"/>
          <w:szCs w:val="24"/>
        </w:rPr>
        <w:t>投标方应遵守本招标技术文件中各条款和工作项目的ISO9000、GB/T19000质量保证体系</w:t>
      </w:r>
      <w:r>
        <w:rPr>
          <w:rFonts w:hint="eastAsia" w:ascii="Times New Roman" w:eastAsia="宋体"/>
          <w:sz w:val="24"/>
          <w:szCs w:val="24"/>
          <w:lang w:eastAsia="zh-CN"/>
        </w:rPr>
        <w:t>，</w:t>
      </w:r>
      <w:r>
        <w:rPr>
          <w:rFonts w:hint="eastAsia" w:ascii="Times New Roman" w:eastAsia="宋体"/>
          <w:sz w:val="24"/>
          <w:szCs w:val="24"/>
        </w:rPr>
        <w:t>该质量保证体系已经过国家认证和正常运转。</w:t>
      </w:r>
    </w:p>
    <w:sectPr>
      <w:footerReference r:id="rId7" w:type="default"/>
      <w:pgSz w:w="11906" w:h="16838"/>
      <w:pgMar w:top="1440" w:right="1701" w:bottom="1440" w:left="1701" w:header="964" w:footer="737" w:gutter="0"/>
      <w:pgNumType w:fmt="decimal" w:start="1"/>
      <w:cols w:space="425" w:num="1"/>
      <w:formProt w:val="0"/>
      <w:docGrid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Trebuchet MS">
    <w:panose1 w:val="020B0603020202020204"/>
    <w:charset w:val="00"/>
    <w:family w:val="swiss"/>
    <w:pitch w:val="default"/>
    <w:sig w:usb0="00000687" w:usb1="00000000" w:usb2="00000000" w:usb3="00000000" w:csb0="2000009F"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4153"/>
        <w:tab w:val="right" w:pos="8306"/>
      </w:tabs>
      <w:ind w:right="360" w:rightChars="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4153"/>
        <w:tab w:val="right" w:pos="8306"/>
      </w:tabs>
      <w:ind w:right="0" w:rightChars="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t xml:space="preserve">第 </w:t>
                          </w:r>
                          <w:r>
                            <w:fldChar w:fldCharType="begin"/>
                          </w:r>
                          <w:r>
                            <w:instrText xml:space="preserve"> PAGE  \* MERGEFORMAT </w:instrText>
                          </w:r>
                          <w:r>
                            <w:fldChar w:fldCharType="separate"/>
                          </w:r>
                          <w:r>
                            <w:t>I</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1"/>
                    </w:pPr>
                    <w:r>
                      <w:t xml:space="preserve">第 </w:t>
                    </w:r>
                    <w:r>
                      <w:fldChar w:fldCharType="begin"/>
                    </w:r>
                    <w:r>
                      <w:instrText xml:space="preserve"> PAGE  \* MERGEFORMAT </w:instrText>
                    </w:r>
                    <w:r>
                      <w:fldChar w:fldCharType="separate"/>
                    </w:r>
                    <w:r>
                      <w:t>I</w:t>
                    </w:r>
                    <w:r>
                      <w:fldChar w:fldCharType="end"/>
                    </w:r>
                    <w:r>
                      <w:t xml:space="preserve"> 页</w:t>
                    </w:r>
                  </w:p>
                </w:txbxContent>
              </v:textbox>
            </v:shape>
          </w:pict>
        </mc:Fallback>
      </mc:AlternateContent>
    </w:r>
  </w:p>
  <w:p>
    <w:pPr>
      <w:pStyle w:val="2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single" w:color="auto" w:sz="6" w:space="1"/>
      </w:pBdr>
      <w:tabs>
        <w:tab w:val="center" w:pos="4153"/>
        <w:tab w:val="right" w:pos="8306"/>
      </w:tabs>
      <w:jc w:val="center"/>
    </w:pPr>
    <w:r>
      <w:rPr>
        <w:rFonts w:hint="eastAsia"/>
      </w:rPr>
      <w:t>10kW汽油发电机技术规范书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rPr>
        <w:rFonts w:hint="eastAsia" w:ascii="黑体" w:hAnsi="黑体" w:eastAsia="黑体" w:cs="黑体"/>
        <w:b w:val="0"/>
        <w:bCs w:val="0"/>
        <w:color w:val="auto"/>
        <w:sz w:val="32"/>
        <w:szCs w:val="32"/>
        <w:lang w:val="en-US" w:eastAsia="zh-CN"/>
      </w:rPr>
      <w:drawing>
        <wp:anchor distT="0" distB="0" distL="114300" distR="114300" simplePos="0" relativeHeight="251660288" behindDoc="1" locked="0" layoutInCell="1" allowOverlap="1">
          <wp:simplePos x="0" y="0"/>
          <wp:positionH relativeFrom="column">
            <wp:posOffset>-720090</wp:posOffset>
          </wp:positionH>
          <wp:positionV relativeFrom="paragraph">
            <wp:posOffset>-540385</wp:posOffset>
          </wp:positionV>
          <wp:extent cx="7560310" cy="10688955"/>
          <wp:effectExtent l="0" t="0" r="2540" b="0"/>
          <wp:wrapNone/>
          <wp:docPr id="5"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
                  <a:srcRect/>
                  <a:stretch>
                    <a:fillRect/>
                  </a:stretch>
                </pic:blipFill>
                <pic:spPr>
                  <a:xfrm>
                    <a:off x="0" y="0"/>
                    <a:ext cx="7560310" cy="1068895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decimal"/>
      <w:suff w:val="space"/>
      <w:lvlText w:val="%1."/>
      <w:lvlJc w:val="left"/>
      <w:pPr>
        <w:ind w:left="0" w:firstLine="0"/>
      </w:pPr>
      <w:rPr>
        <w:rFonts w:hint="eastAsia"/>
      </w:rPr>
    </w:lvl>
    <w:lvl w:ilvl="1" w:tentative="0">
      <w:start w:val="1"/>
      <w:numFmt w:val="decimal"/>
      <w:pStyle w:val="3"/>
      <w:isLgl/>
      <w:suff w:val="space"/>
      <w:lvlText w:val="%1.%2"/>
      <w:lvlJc w:val="left"/>
      <w:pPr>
        <w:ind w:left="142" w:firstLine="0"/>
      </w:pPr>
      <w:rPr>
        <w:rFonts w:hint="eastAsia"/>
        <w:b w:val="0"/>
      </w:rPr>
    </w:lvl>
    <w:lvl w:ilvl="2" w:tentative="0">
      <w:start w:val="1"/>
      <w:numFmt w:val="decimal"/>
      <w:pStyle w:val="154"/>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079102AD"/>
    <w:multiLevelType w:val="multilevel"/>
    <w:tmpl w:val="079102AD"/>
    <w:lvl w:ilvl="0" w:tentative="0">
      <w:start w:val="1"/>
      <w:numFmt w:val="decimal"/>
      <w:pStyle w:val="66"/>
      <w:suff w:val="nothing"/>
      <w:lvlText w:val="注%1："/>
      <w:lvlJc w:val="left"/>
      <w:pPr>
        <w:ind w:left="811" w:hanging="448"/>
      </w:pPr>
      <w:rPr>
        <w:rFonts w:hint="eastAsia" w:ascii="黑体" w:eastAsia="黑体"/>
        <w:b w:val="0"/>
        <w:i w:val="0"/>
        <w:sz w:val="18"/>
        <w:lang w:val="en-US"/>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2">
    <w:nsid w:val="093C6778"/>
    <w:multiLevelType w:val="multilevel"/>
    <w:tmpl w:val="093C6778"/>
    <w:lvl w:ilvl="0" w:tentative="0">
      <w:start w:val="1"/>
      <w:numFmt w:val="decimal"/>
      <w:pStyle w:val="124"/>
      <w:suff w:val="nothing"/>
      <w:lvlText w:val="示例%1："/>
      <w:lvlJc w:val="left"/>
      <w:pPr>
        <w:ind w:left="0" w:firstLine="397"/>
      </w:pPr>
      <w:rPr>
        <w:rFonts w:hint="eastAsia" w:ascii="黑体" w:eastAsia="黑体"/>
        <w:sz w:val="18"/>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0AE367E9"/>
    <w:multiLevelType w:val="multilevel"/>
    <w:tmpl w:val="0AE367E9"/>
    <w:lvl w:ilvl="0" w:tentative="0">
      <w:start w:val="1"/>
      <w:numFmt w:val="none"/>
      <w:pStyle w:val="58"/>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4">
    <w:nsid w:val="0DDE2B46"/>
    <w:multiLevelType w:val="multilevel"/>
    <w:tmpl w:val="0DDE2B46"/>
    <w:lvl w:ilvl="0" w:tentative="0">
      <w:start w:val="1"/>
      <w:numFmt w:val="lowerLetter"/>
      <w:pStyle w:val="129"/>
      <w:suff w:val="nothing"/>
      <w:lvlText w:val="%1   "/>
      <w:lvlJc w:val="left"/>
      <w:pPr>
        <w:ind w:left="544" w:hanging="181"/>
      </w:pPr>
      <w:rPr>
        <w:rFonts w:hint="eastAsia" w:ascii="宋体" w:eastAsia="宋体"/>
        <w:b w:val="0"/>
        <w:i w:val="0"/>
        <w:sz w:val="18"/>
        <w:vertAlign w:val="superscript"/>
      </w:rPr>
    </w:lvl>
    <w:lvl w:ilvl="1" w:tentative="0">
      <w:start w:val="1"/>
      <w:numFmt w:val="lowerLetter"/>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5">
    <w:nsid w:val="1DBF583A"/>
    <w:multiLevelType w:val="multilevel"/>
    <w:tmpl w:val="1DBF583A"/>
    <w:lvl w:ilvl="0" w:tentative="0">
      <w:start w:val="1"/>
      <w:numFmt w:val="decimal"/>
      <w:pStyle w:val="73"/>
      <w:suff w:val="nothing"/>
      <w:lvlText w:val="注%1："/>
      <w:lvlJc w:val="left"/>
      <w:pPr>
        <w:ind w:left="811" w:hanging="448"/>
      </w:pPr>
      <w:rPr>
        <w:rFonts w:hint="eastAsia" w:ascii="黑体" w:eastAsia="黑体"/>
        <w:b w:val="0"/>
        <w:i w:val="0"/>
        <w:sz w:val="18"/>
        <w:szCs w:val="18"/>
        <w:vertAlign w:val="baseline"/>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6">
    <w:nsid w:val="1FC91163"/>
    <w:multiLevelType w:val="multilevel"/>
    <w:tmpl w:val="1FC91163"/>
    <w:lvl w:ilvl="0" w:tentative="0">
      <w:start w:val="1"/>
      <w:numFmt w:val="decimal"/>
      <w:pStyle w:val="51"/>
      <w:suff w:val="nothing"/>
      <w:lvlText w:val="%1　"/>
      <w:lvlJc w:val="left"/>
      <w:pPr>
        <w:ind w:left="0" w:firstLine="0"/>
      </w:pPr>
      <w:rPr>
        <w:rFonts w:hint="default" w:ascii="Times New Roman" w:hAnsi="Times New Roman" w:eastAsia="黑体" w:cs="Times New Roman"/>
        <w:b w:val="0"/>
        <w:i w:val="0"/>
        <w:sz w:val="24"/>
        <w:szCs w:val="24"/>
      </w:rPr>
    </w:lvl>
    <w:lvl w:ilvl="1" w:tentative="0">
      <w:start w:val="1"/>
      <w:numFmt w:val="decimal"/>
      <w:pStyle w:val="48"/>
      <w:suff w:val="nothing"/>
      <w:lvlText w:val="%1.%2　"/>
      <w:lvlJc w:val="left"/>
      <w:pPr>
        <w:ind w:left="0" w:firstLine="0"/>
      </w:pPr>
      <w:rPr>
        <w:rFonts w:hint="default" w:ascii="Times New Roman" w:hAnsi="Times New Roman" w:eastAsia="黑体" w:cs="Times New Roman"/>
        <w:b w:val="0"/>
        <w:bCs w:val="0"/>
        <w:i w:val="0"/>
        <w:iCs w:val="0"/>
        <w:caps w:val="0"/>
        <w:strike w:val="0"/>
        <w:dstrike w:val="0"/>
        <w:vanish w:val="0"/>
        <w:color w:val="000000"/>
        <w:spacing w:val="0"/>
        <w:kern w:val="0"/>
        <w:position w:val="0"/>
        <w:sz w:val="24"/>
        <w:szCs w:val="24"/>
        <w:u w:val="none"/>
        <w:vertAlign w:val="baseline"/>
      </w:rPr>
    </w:lvl>
    <w:lvl w:ilvl="2" w:tentative="0">
      <w:start w:val="1"/>
      <w:numFmt w:val="decimal"/>
      <w:pStyle w:val="52"/>
      <w:suff w:val="nothing"/>
      <w:lvlText w:val="%1.%2.%3　"/>
      <w:lvlJc w:val="left"/>
      <w:pPr>
        <w:ind w:left="0" w:firstLine="0"/>
      </w:pPr>
      <w:rPr>
        <w:rFonts w:hint="default" w:ascii="Times New Roman" w:hAnsi="Times New Roman" w:eastAsia="黑体" w:cs="Times New Roman"/>
        <w:b w:val="0"/>
        <w:i w:val="0"/>
        <w:sz w:val="24"/>
        <w:szCs w:val="22"/>
      </w:rPr>
    </w:lvl>
    <w:lvl w:ilvl="3" w:tentative="0">
      <w:start w:val="1"/>
      <w:numFmt w:val="decimal"/>
      <w:pStyle w:val="57"/>
      <w:suff w:val="nothing"/>
      <w:lvlText w:val="%1.%2.%3.%4　"/>
      <w:lvlJc w:val="left"/>
      <w:pPr>
        <w:ind w:left="0" w:firstLine="0"/>
      </w:pPr>
      <w:rPr>
        <w:rFonts w:hint="default" w:ascii="Times New Roman" w:hAnsi="Times New Roman" w:eastAsia="黑体" w:cs="Times New Roman"/>
        <w:b w:val="0"/>
        <w:i w:val="0"/>
        <w:sz w:val="24"/>
        <w:szCs w:val="24"/>
      </w:rPr>
    </w:lvl>
    <w:lvl w:ilvl="4" w:tentative="0">
      <w:start w:val="1"/>
      <w:numFmt w:val="decimal"/>
      <w:pStyle w:val="61"/>
      <w:suff w:val="nothing"/>
      <w:lvlText w:val="%1.%2.%3.%4.%5　"/>
      <w:lvlJc w:val="left"/>
      <w:pPr>
        <w:ind w:left="0" w:firstLine="0"/>
      </w:pPr>
      <w:rPr>
        <w:rFonts w:hint="eastAsia" w:ascii="黑体" w:hAnsi="Times New Roman" w:eastAsia="黑体"/>
        <w:b w:val="0"/>
        <w:i w:val="0"/>
        <w:sz w:val="21"/>
      </w:rPr>
    </w:lvl>
    <w:lvl w:ilvl="5" w:tentative="0">
      <w:start w:val="1"/>
      <w:numFmt w:val="decimal"/>
      <w:pStyle w:val="62"/>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0" w:firstLine="0"/>
      </w:pPr>
      <w:rPr>
        <w:rFonts w:hint="eastAsia"/>
      </w:rPr>
    </w:lvl>
    <w:lvl w:ilvl="8" w:tentative="0">
      <w:start w:val="1"/>
      <w:numFmt w:val="decimal"/>
      <w:lvlText w:val="%1.%2.%3.%4.%5.%6.%7.%8.%9"/>
      <w:lvlJc w:val="left"/>
      <w:pPr>
        <w:tabs>
          <w:tab w:val="left" w:pos="4777"/>
        </w:tabs>
        <w:ind w:left="0" w:firstLine="0"/>
      </w:pPr>
      <w:rPr>
        <w:rFonts w:hint="eastAsia"/>
      </w:rPr>
    </w:lvl>
  </w:abstractNum>
  <w:abstractNum w:abstractNumId="7">
    <w:nsid w:val="2A8F7113"/>
    <w:multiLevelType w:val="multilevel"/>
    <w:tmpl w:val="2A8F7113"/>
    <w:lvl w:ilvl="0" w:tentative="0">
      <w:start w:val="1"/>
      <w:numFmt w:val="upperLetter"/>
      <w:pStyle w:val="106"/>
      <w:suff w:val="space"/>
      <w:lvlText w:val="%1"/>
      <w:lvlJc w:val="left"/>
      <w:pPr>
        <w:ind w:left="623" w:hanging="425"/>
      </w:pPr>
      <w:rPr>
        <w:rFonts w:hint="eastAsia"/>
      </w:rPr>
    </w:lvl>
    <w:lvl w:ilvl="1" w:tentative="0">
      <w:start w:val="1"/>
      <w:numFmt w:val="decimal"/>
      <w:pStyle w:val="107"/>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8">
    <w:nsid w:val="2C5917C3"/>
    <w:multiLevelType w:val="multilevel"/>
    <w:tmpl w:val="2C5917C3"/>
    <w:lvl w:ilvl="0" w:tentative="0">
      <w:start w:val="1"/>
      <w:numFmt w:val="none"/>
      <w:pStyle w:val="54"/>
      <w:suff w:val="nothing"/>
      <w:lvlText w:val="%1——"/>
      <w:lvlJc w:val="left"/>
      <w:pPr>
        <w:ind w:left="833" w:hanging="408"/>
      </w:pPr>
      <w:rPr>
        <w:rFonts w:hint="eastAsia"/>
      </w:rPr>
    </w:lvl>
    <w:lvl w:ilvl="1" w:tentative="0">
      <w:start w:val="1"/>
      <w:numFmt w:val="bullet"/>
      <w:pStyle w:val="55"/>
      <w:lvlText w:val=""/>
      <w:lvlJc w:val="left"/>
      <w:pPr>
        <w:tabs>
          <w:tab w:val="left" w:pos="760"/>
        </w:tabs>
        <w:ind w:left="1264" w:hanging="413"/>
      </w:pPr>
      <w:rPr>
        <w:rFonts w:hint="default" w:ascii="Symbol" w:hAnsi="Symbol"/>
        <w:color w:val="auto"/>
      </w:rPr>
    </w:lvl>
    <w:lvl w:ilvl="2" w:tentative="0">
      <w:start w:val="1"/>
      <w:numFmt w:val="bullet"/>
      <w:pStyle w:val="68"/>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9">
    <w:nsid w:val="3D733618"/>
    <w:multiLevelType w:val="multilevel"/>
    <w:tmpl w:val="3D733618"/>
    <w:lvl w:ilvl="0" w:tentative="0">
      <w:start w:val="1"/>
      <w:numFmt w:val="decimal"/>
      <w:pStyle w:val="28"/>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10">
    <w:nsid w:val="44C50F90"/>
    <w:multiLevelType w:val="multilevel"/>
    <w:tmpl w:val="44C50F90"/>
    <w:lvl w:ilvl="0" w:tentative="0">
      <w:start w:val="1"/>
      <w:numFmt w:val="lowerLetter"/>
      <w:pStyle w:val="67"/>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pStyle w:val="60"/>
      <w:lvlText w:val="%2)"/>
      <w:lvlJc w:val="left"/>
      <w:pPr>
        <w:tabs>
          <w:tab w:val="left" w:pos="1259"/>
        </w:tabs>
        <w:ind w:left="1259" w:hanging="420"/>
      </w:pPr>
      <w:rPr>
        <w:rFonts w:hint="eastAsia" w:ascii="宋体" w:hAnsi="宋体" w:eastAsia="宋体"/>
        <w:b w:val="0"/>
        <w:i w:val="0"/>
        <w:sz w:val="20"/>
      </w:rPr>
    </w:lvl>
    <w:lvl w:ilvl="2" w:tentative="0">
      <w:start w:val="1"/>
      <w:numFmt w:val="decimal"/>
      <w:pStyle w:val="69"/>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11">
    <w:nsid w:val="4B733A5F"/>
    <w:multiLevelType w:val="multilevel"/>
    <w:tmpl w:val="4B733A5F"/>
    <w:lvl w:ilvl="0" w:tentative="0">
      <w:start w:val="1"/>
      <w:numFmt w:val="decimal"/>
      <w:pStyle w:val="70"/>
      <w:suff w:val="nothing"/>
      <w:lvlText w:val="示例%1："/>
      <w:lvlJc w:val="left"/>
      <w:pPr>
        <w:ind w:left="0" w:firstLine="363"/>
      </w:pPr>
      <w:rPr>
        <w:rFonts w:hint="eastAsia" w:ascii="黑体" w:hAnsi="Times New Roman" w:eastAsia="黑体"/>
        <w:b w:val="0"/>
        <w:i w:val="0"/>
        <w:sz w:val="18"/>
        <w:szCs w:val="18"/>
        <w:vertAlign w:val="baseline"/>
      </w:rPr>
    </w:lvl>
    <w:lvl w:ilvl="1" w:tentative="0">
      <w:start w:val="1"/>
      <w:numFmt w:val="none"/>
      <w:suff w:val="space"/>
      <w:lvlText w:val=""/>
      <w:lvlJc w:val="left"/>
      <w:pPr>
        <w:ind w:left="0" w:firstLine="0"/>
      </w:pPr>
      <w:rPr>
        <w:rFonts w:hint="eastAsia"/>
        <w:vertAlign w:val="baseline"/>
      </w:rPr>
    </w:lvl>
    <w:lvl w:ilvl="2" w:tentative="0">
      <w:start w:val="1"/>
      <w:numFmt w:val="decimal"/>
      <w:suff w:val="space"/>
      <w:lvlText w:val="2.2.%3"/>
      <w:lvlJc w:val="left"/>
      <w:pPr>
        <w:ind w:left="0" w:firstLine="0"/>
      </w:pPr>
      <w:rPr>
        <w:rFonts w:hint="eastAsia"/>
        <w:vertAlign w:val="baseline"/>
      </w:rPr>
    </w:lvl>
    <w:lvl w:ilvl="3" w:tentative="0">
      <w:start w:val="1"/>
      <w:numFmt w:val="decimal"/>
      <w:lvlText w:val="%4."/>
      <w:lvlJc w:val="left"/>
      <w:pPr>
        <w:tabs>
          <w:tab w:val="left" w:pos="0"/>
        </w:tabs>
        <w:ind w:left="992" w:hanging="629"/>
      </w:pPr>
      <w:rPr>
        <w:rFonts w:hint="eastAsia"/>
        <w:vertAlign w:val="baseline"/>
      </w:rPr>
    </w:lvl>
    <w:lvl w:ilvl="4" w:tentative="0">
      <w:start w:val="1"/>
      <w:numFmt w:val="lowerLetter"/>
      <w:lvlText w:val="%5)"/>
      <w:lvlJc w:val="left"/>
      <w:pPr>
        <w:tabs>
          <w:tab w:val="left" w:pos="0"/>
        </w:tabs>
        <w:ind w:left="992" w:hanging="629"/>
      </w:pPr>
      <w:rPr>
        <w:rFonts w:hint="eastAsia"/>
        <w:vertAlign w:val="baseline"/>
      </w:rPr>
    </w:lvl>
    <w:lvl w:ilvl="5" w:tentative="0">
      <w:start w:val="1"/>
      <w:numFmt w:val="lowerRoman"/>
      <w:lvlText w:val="%6."/>
      <w:lvlJc w:val="right"/>
      <w:pPr>
        <w:tabs>
          <w:tab w:val="left" w:pos="0"/>
        </w:tabs>
        <w:ind w:left="992" w:hanging="629"/>
      </w:pPr>
      <w:rPr>
        <w:rFonts w:hint="eastAsia"/>
        <w:vertAlign w:val="baseline"/>
      </w:rPr>
    </w:lvl>
    <w:lvl w:ilvl="6" w:tentative="0">
      <w:start w:val="1"/>
      <w:numFmt w:val="decimal"/>
      <w:lvlText w:val="%7."/>
      <w:lvlJc w:val="left"/>
      <w:pPr>
        <w:tabs>
          <w:tab w:val="left" w:pos="0"/>
        </w:tabs>
        <w:ind w:left="992" w:hanging="629"/>
      </w:pPr>
      <w:rPr>
        <w:rFonts w:hint="eastAsia"/>
        <w:vertAlign w:val="baseline"/>
      </w:rPr>
    </w:lvl>
    <w:lvl w:ilvl="7" w:tentative="0">
      <w:start w:val="1"/>
      <w:numFmt w:val="lowerLetter"/>
      <w:lvlText w:val="%8)"/>
      <w:lvlJc w:val="left"/>
      <w:pPr>
        <w:tabs>
          <w:tab w:val="left" w:pos="0"/>
        </w:tabs>
        <w:ind w:left="992" w:hanging="629"/>
      </w:pPr>
      <w:rPr>
        <w:rFonts w:hint="eastAsia"/>
        <w:vertAlign w:val="baseline"/>
      </w:rPr>
    </w:lvl>
    <w:lvl w:ilvl="8" w:tentative="0">
      <w:start w:val="1"/>
      <w:numFmt w:val="lowerRoman"/>
      <w:lvlText w:val="%9."/>
      <w:lvlJc w:val="right"/>
      <w:pPr>
        <w:tabs>
          <w:tab w:val="left" w:pos="0"/>
        </w:tabs>
        <w:ind w:left="992" w:hanging="629"/>
      </w:pPr>
      <w:rPr>
        <w:rFonts w:hint="eastAsia"/>
        <w:vertAlign w:val="baseline"/>
      </w:rPr>
    </w:lvl>
  </w:abstractNum>
  <w:abstractNum w:abstractNumId="12">
    <w:nsid w:val="557C2AF5"/>
    <w:multiLevelType w:val="multilevel"/>
    <w:tmpl w:val="557C2AF5"/>
    <w:lvl w:ilvl="0" w:tentative="0">
      <w:start w:val="1"/>
      <w:numFmt w:val="decimal"/>
      <w:pStyle w:val="136"/>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3">
    <w:nsid w:val="60B55DC2"/>
    <w:multiLevelType w:val="multilevel"/>
    <w:tmpl w:val="60B55DC2"/>
    <w:lvl w:ilvl="0" w:tentative="0">
      <w:start w:val="1"/>
      <w:numFmt w:val="upperLetter"/>
      <w:pStyle w:val="94"/>
      <w:lvlText w:val="%1"/>
      <w:lvlJc w:val="left"/>
      <w:pPr>
        <w:tabs>
          <w:tab w:val="left" w:pos="0"/>
        </w:tabs>
        <w:ind w:left="0" w:hanging="425"/>
      </w:pPr>
      <w:rPr>
        <w:rFonts w:hint="eastAsia"/>
      </w:rPr>
    </w:lvl>
    <w:lvl w:ilvl="1" w:tentative="0">
      <w:start w:val="1"/>
      <w:numFmt w:val="decimal"/>
      <w:pStyle w:val="95"/>
      <w:suff w:val="nothing"/>
      <w:lvlText w:val="表%1.%2　"/>
      <w:lvlJc w:val="left"/>
      <w:pPr>
        <w:ind w:left="3969"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4">
    <w:nsid w:val="646260FA"/>
    <w:multiLevelType w:val="multilevel"/>
    <w:tmpl w:val="646260FA"/>
    <w:lvl w:ilvl="0" w:tentative="0">
      <w:start w:val="1"/>
      <w:numFmt w:val="decimal"/>
      <w:pStyle w:val="134"/>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657D3FBC"/>
    <w:multiLevelType w:val="multilevel"/>
    <w:tmpl w:val="657D3FBC"/>
    <w:lvl w:ilvl="0" w:tentative="0">
      <w:start w:val="1"/>
      <w:numFmt w:val="upperLetter"/>
      <w:pStyle w:val="92"/>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110"/>
      <w:suff w:val="nothing"/>
      <w:lvlText w:val="%1.%2　"/>
      <w:lvlJc w:val="left"/>
      <w:pPr>
        <w:ind w:left="2127"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96"/>
      <w:suff w:val="nothing"/>
      <w:lvlText w:val="%1.%2.%3.%4　"/>
      <w:lvlJc w:val="left"/>
      <w:pPr>
        <w:ind w:left="0" w:firstLine="0"/>
      </w:pPr>
      <w:rPr>
        <w:rFonts w:hint="eastAsia" w:ascii="黑体" w:hAnsi="Times New Roman" w:eastAsia="黑体"/>
        <w:b w:val="0"/>
        <w:i w:val="0"/>
        <w:sz w:val="21"/>
      </w:rPr>
    </w:lvl>
    <w:lvl w:ilvl="4" w:tentative="0">
      <w:start w:val="1"/>
      <w:numFmt w:val="decimal"/>
      <w:pStyle w:val="101"/>
      <w:suff w:val="nothing"/>
      <w:lvlText w:val="%1.%2.%3.%4.%5　"/>
      <w:lvlJc w:val="left"/>
      <w:pPr>
        <w:ind w:left="0" w:firstLine="0"/>
      </w:pPr>
      <w:rPr>
        <w:rFonts w:hint="eastAsia" w:ascii="黑体" w:hAnsi="Times New Roman" w:eastAsia="黑体"/>
        <w:b w:val="0"/>
        <w:i w:val="0"/>
        <w:sz w:val="21"/>
      </w:rPr>
    </w:lvl>
    <w:lvl w:ilvl="5" w:tentative="0">
      <w:start w:val="1"/>
      <w:numFmt w:val="decimal"/>
      <w:pStyle w:val="104"/>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6">
    <w:nsid w:val="6D6C07CD"/>
    <w:multiLevelType w:val="multilevel"/>
    <w:tmpl w:val="6D6C07CD"/>
    <w:lvl w:ilvl="0" w:tentative="0">
      <w:start w:val="1"/>
      <w:numFmt w:val="lowerLetter"/>
      <w:pStyle w:val="113"/>
      <w:lvlText w:val="%1)"/>
      <w:lvlJc w:val="left"/>
      <w:pPr>
        <w:tabs>
          <w:tab w:val="left" w:pos="839"/>
        </w:tabs>
        <w:ind w:left="839" w:hanging="419"/>
      </w:pPr>
      <w:rPr>
        <w:rFonts w:hint="eastAsia" w:ascii="宋体" w:eastAsia="宋体"/>
        <w:b w:val="0"/>
        <w:i w:val="0"/>
        <w:sz w:val="21"/>
      </w:rPr>
    </w:lvl>
    <w:lvl w:ilvl="1" w:tentative="0">
      <w:start w:val="1"/>
      <w:numFmt w:val="decimal"/>
      <w:pStyle w:val="103"/>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abstractNum w:abstractNumId="17">
    <w:nsid w:val="6DBF04F4"/>
    <w:multiLevelType w:val="multilevel"/>
    <w:tmpl w:val="6DBF04F4"/>
    <w:lvl w:ilvl="0" w:tentative="0">
      <w:start w:val="1"/>
      <w:numFmt w:val="none"/>
      <w:pStyle w:val="65"/>
      <w:suff w:val="nothing"/>
      <w:lvlText w:val="%1注："/>
      <w:lvlJc w:val="left"/>
      <w:pPr>
        <w:ind w:left="726" w:hanging="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num w:numId="1">
    <w:abstractNumId w:val="0"/>
  </w:num>
  <w:num w:numId="2">
    <w:abstractNumId w:val="9"/>
  </w:num>
  <w:num w:numId="3">
    <w:abstractNumId w:val="6"/>
  </w:num>
  <w:num w:numId="4">
    <w:abstractNumId w:val="8"/>
  </w:num>
  <w:num w:numId="5">
    <w:abstractNumId w:val="3"/>
  </w:num>
  <w:num w:numId="6">
    <w:abstractNumId w:val="10"/>
  </w:num>
  <w:num w:numId="7">
    <w:abstractNumId w:val="17"/>
  </w:num>
  <w:num w:numId="8">
    <w:abstractNumId w:val="1"/>
  </w:num>
  <w:num w:numId="9">
    <w:abstractNumId w:val="11"/>
  </w:num>
  <w:num w:numId="10">
    <w:abstractNumId w:val="5"/>
  </w:num>
  <w:num w:numId="11">
    <w:abstractNumId w:val="15"/>
  </w:num>
  <w:num w:numId="12">
    <w:abstractNumId w:val="13"/>
  </w:num>
  <w:num w:numId="13">
    <w:abstractNumId w:val="16"/>
  </w:num>
  <w:num w:numId="14">
    <w:abstractNumId w:val="7"/>
  </w:num>
  <w:num w:numId="15">
    <w:abstractNumId w:val="2"/>
  </w:num>
  <w:num w:numId="16">
    <w:abstractNumId w:val="4"/>
  </w:num>
  <w:num w:numId="17">
    <w:abstractNumId w:val="1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forms" w:enforcement="0"/>
  <w:defaultTabStop w:val="420"/>
  <w:drawingGridHorizontalSpacing w:val="105"/>
  <w:drawingGridVerticalSpacing w:val="17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25"/>
    <w:rsid w:val="00000244"/>
    <w:rsid w:val="00001213"/>
    <w:rsid w:val="0000185F"/>
    <w:rsid w:val="0000494F"/>
    <w:rsid w:val="0000586F"/>
    <w:rsid w:val="00011538"/>
    <w:rsid w:val="00013A49"/>
    <w:rsid w:val="00013D86"/>
    <w:rsid w:val="00013E02"/>
    <w:rsid w:val="000167EA"/>
    <w:rsid w:val="0002143C"/>
    <w:rsid w:val="00022985"/>
    <w:rsid w:val="00022A31"/>
    <w:rsid w:val="00025A65"/>
    <w:rsid w:val="00026C31"/>
    <w:rsid w:val="00027280"/>
    <w:rsid w:val="000320A7"/>
    <w:rsid w:val="00032D4C"/>
    <w:rsid w:val="00033698"/>
    <w:rsid w:val="00035925"/>
    <w:rsid w:val="00050FD3"/>
    <w:rsid w:val="00055770"/>
    <w:rsid w:val="00060F70"/>
    <w:rsid w:val="0006128E"/>
    <w:rsid w:val="00067CDF"/>
    <w:rsid w:val="00071C6D"/>
    <w:rsid w:val="00074B6F"/>
    <w:rsid w:val="00074FBE"/>
    <w:rsid w:val="00076118"/>
    <w:rsid w:val="00077378"/>
    <w:rsid w:val="000777D5"/>
    <w:rsid w:val="00077B4A"/>
    <w:rsid w:val="00083A09"/>
    <w:rsid w:val="0009005E"/>
    <w:rsid w:val="00091DD6"/>
    <w:rsid w:val="00092857"/>
    <w:rsid w:val="00095A6F"/>
    <w:rsid w:val="000A20A9"/>
    <w:rsid w:val="000A2477"/>
    <w:rsid w:val="000A321F"/>
    <w:rsid w:val="000A48B1"/>
    <w:rsid w:val="000B3143"/>
    <w:rsid w:val="000C067F"/>
    <w:rsid w:val="000C4E1F"/>
    <w:rsid w:val="000C6B05"/>
    <w:rsid w:val="000C6DD6"/>
    <w:rsid w:val="000C73D4"/>
    <w:rsid w:val="000D130E"/>
    <w:rsid w:val="000D22FD"/>
    <w:rsid w:val="000D3D4C"/>
    <w:rsid w:val="000D4F51"/>
    <w:rsid w:val="000D6990"/>
    <w:rsid w:val="000D6A70"/>
    <w:rsid w:val="000D718B"/>
    <w:rsid w:val="000E0B01"/>
    <w:rsid w:val="000E0B1C"/>
    <w:rsid w:val="000E0C46"/>
    <w:rsid w:val="000E3061"/>
    <w:rsid w:val="000E5087"/>
    <w:rsid w:val="000F030C"/>
    <w:rsid w:val="000F129C"/>
    <w:rsid w:val="000F2459"/>
    <w:rsid w:val="000F4B3A"/>
    <w:rsid w:val="00104A99"/>
    <w:rsid w:val="001056DE"/>
    <w:rsid w:val="00107480"/>
    <w:rsid w:val="00107857"/>
    <w:rsid w:val="001124C0"/>
    <w:rsid w:val="001129B4"/>
    <w:rsid w:val="00113DC3"/>
    <w:rsid w:val="00114E6B"/>
    <w:rsid w:val="001154CA"/>
    <w:rsid w:val="00124E33"/>
    <w:rsid w:val="00124FCE"/>
    <w:rsid w:val="0013175F"/>
    <w:rsid w:val="00133112"/>
    <w:rsid w:val="00134F79"/>
    <w:rsid w:val="001512B4"/>
    <w:rsid w:val="0015324B"/>
    <w:rsid w:val="00156374"/>
    <w:rsid w:val="00160378"/>
    <w:rsid w:val="001612EA"/>
    <w:rsid w:val="001620A5"/>
    <w:rsid w:val="00164C72"/>
    <w:rsid w:val="00164E53"/>
    <w:rsid w:val="0016699D"/>
    <w:rsid w:val="001669B5"/>
    <w:rsid w:val="00170E84"/>
    <w:rsid w:val="001732AF"/>
    <w:rsid w:val="00175159"/>
    <w:rsid w:val="00175777"/>
    <w:rsid w:val="00176208"/>
    <w:rsid w:val="00177927"/>
    <w:rsid w:val="0018129F"/>
    <w:rsid w:val="0018211B"/>
    <w:rsid w:val="001840D3"/>
    <w:rsid w:val="00184C40"/>
    <w:rsid w:val="001869D8"/>
    <w:rsid w:val="001900F8"/>
    <w:rsid w:val="00191258"/>
    <w:rsid w:val="00192680"/>
    <w:rsid w:val="00193037"/>
    <w:rsid w:val="0019343B"/>
    <w:rsid w:val="00193A2C"/>
    <w:rsid w:val="00193DFE"/>
    <w:rsid w:val="00193EA8"/>
    <w:rsid w:val="001A04F0"/>
    <w:rsid w:val="001A288E"/>
    <w:rsid w:val="001A434B"/>
    <w:rsid w:val="001A4F02"/>
    <w:rsid w:val="001B1C14"/>
    <w:rsid w:val="001B2222"/>
    <w:rsid w:val="001B5A10"/>
    <w:rsid w:val="001B6DC2"/>
    <w:rsid w:val="001C149C"/>
    <w:rsid w:val="001C21AC"/>
    <w:rsid w:val="001C2B24"/>
    <w:rsid w:val="001C3066"/>
    <w:rsid w:val="001C47BA"/>
    <w:rsid w:val="001C59EA"/>
    <w:rsid w:val="001C6025"/>
    <w:rsid w:val="001D0D00"/>
    <w:rsid w:val="001D2A7D"/>
    <w:rsid w:val="001D406C"/>
    <w:rsid w:val="001D41EE"/>
    <w:rsid w:val="001D641D"/>
    <w:rsid w:val="001D7031"/>
    <w:rsid w:val="001E0380"/>
    <w:rsid w:val="001E05E4"/>
    <w:rsid w:val="001E0EFE"/>
    <w:rsid w:val="001E13B1"/>
    <w:rsid w:val="001E329F"/>
    <w:rsid w:val="001F204A"/>
    <w:rsid w:val="001F3A19"/>
    <w:rsid w:val="00201D74"/>
    <w:rsid w:val="00202B3B"/>
    <w:rsid w:val="00203539"/>
    <w:rsid w:val="00211494"/>
    <w:rsid w:val="00216A4D"/>
    <w:rsid w:val="00216E99"/>
    <w:rsid w:val="00217817"/>
    <w:rsid w:val="00225955"/>
    <w:rsid w:val="00232E5A"/>
    <w:rsid w:val="00234467"/>
    <w:rsid w:val="0023767F"/>
    <w:rsid w:val="00237D8D"/>
    <w:rsid w:val="00241DA2"/>
    <w:rsid w:val="00247FEE"/>
    <w:rsid w:val="00250E7D"/>
    <w:rsid w:val="00252A5F"/>
    <w:rsid w:val="00254E8C"/>
    <w:rsid w:val="002565D5"/>
    <w:rsid w:val="00256E30"/>
    <w:rsid w:val="00262027"/>
    <w:rsid w:val="002622C0"/>
    <w:rsid w:val="00262F92"/>
    <w:rsid w:val="00274A92"/>
    <w:rsid w:val="002769F1"/>
    <w:rsid w:val="002778AE"/>
    <w:rsid w:val="00277C50"/>
    <w:rsid w:val="0028269A"/>
    <w:rsid w:val="00283590"/>
    <w:rsid w:val="00286973"/>
    <w:rsid w:val="002869A7"/>
    <w:rsid w:val="00287D82"/>
    <w:rsid w:val="00294E70"/>
    <w:rsid w:val="00296CF5"/>
    <w:rsid w:val="00297DD8"/>
    <w:rsid w:val="002A1924"/>
    <w:rsid w:val="002A7420"/>
    <w:rsid w:val="002B0F12"/>
    <w:rsid w:val="002B1308"/>
    <w:rsid w:val="002B2FFA"/>
    <w:rsid w:val="002B3C26"/>
    <w:rsid w:val="002B4554"/>
    <w:rsid w:val="002B5F61"/>
    <w:rsid w:val="002C245C"/>
    <w:rsid w:val="002C72D8"/>
    <w:rsid w:val="002D11FA"/>
    <w:rsid w:val="002D6698"/>
    <w:rsid w:val="002E0DDF"/>
    <w:rsid w:val="002E2906"/>
    <w:rsid w:val="002E33FA"/>
    <w:rsid w:val="002E5635"/>
    <w:rsid w:val="002E56F7"/>
    <w:rsid w:val="002E64C3"/>
    <w:rsid w:val="002E6A2C"/>
    <w:rsid w:val="002F1049"/>
    <w:rsid w:val="002F1D8C"/>
    <w:rsid w:val="002F21DA"/>
    <w:rsid w:val="002F373C"/>
    <w:rsid w:val="00301F39"/>
    <w:rsid w:val="003026F2"/>
    <w:rsid w:val="003033D3"/>
    <w:rsid w:val="0031277A"/>
    <w:rsid w:val="00315EAF"/>
    <w:rsid w:val="00320EEF"/>
    <w:rsid w:val="003215AD"/>
    <w:rsid w:val="003239F1"/>
    <w:rsid w:val="00325926"/>
    <w:rsid w:val="00327007"/>
    <w:rsid w:val="00327A8A"/>
    <w:rsid w:val="0033516D"/>
    <w:rsid w:val="00335B99"/>
    <w:rsid w:val="00336610"/>
    <w:rsid w:val="003409DC"/>
    <w:rsid w:val="00343F73"/>
    <w:rsid w:val="00345060"/>
    <w:rsid w:val="0035323B"/>
    <w:rsid w:val="003539D1"/>
    <w:rsid w:val="00353BB1"/>
    <w:rsid w:val="003609D2"/>
    <w:rsid w:val="00363F22"/>
    <w:rsid w:val="00364382"/>
    <w:rsid w:val="00370360"/>
    <w:rsid w:val="00370649"/>
    <w:rsid w:val="00370F4D"/>
    <w:rsid w:val="003749A0"/>
    <w:rsid w:val="00375564"/>
    <w:rsid w:val="00383191"/>
    <w:rsid w:val="00386DED"/>
    <w:rsid w:val="003912E7"/>
    <w:rsid w:val="00393947"/>
    <w:rsid w:val="0039402E"/>
    <w:rsid w:val="00397A5B"/>
    <w:rsid w:val="003A2275"/>
    <w:rsid w:val="003A543F"/>
    <w:rsid w:val="003A6A4F"/>
    <w:rsid w:val="003A7088"/>
    <w:rsid w:val="003B00DF"/>
    <w:rsid w:val="003B1275"/>
    <w:rsid w:val="003B1778"/>
    <w:rsid w:val="003B3D03"/>
    <w:rsid w:val="003B56FF"/>
    <w:rsid w:val="003B6B39"/>
    <w:rsid w:val="003C11CB"/>
    <w:rsid w:val="003C6602"/>
    <w:rsid w:val="003C73DC"/>
    <w:rsid w:val="003C75F3"/>
    <w:rsid w:val="003C78A3"/>
    <w:rsid w:val="003D2E2D"/>
    <w:rsid w:val="003D4A26"/>
    <w:rsid w:val="003D6265"/>
    <w:rsid w:val="003D6B07"/>
    <w:rsid w:val="003E1867"/>
    <w:rsid w:val="003E5729"/>
    <w:rsid w:val="003F4EE0"/>
    <w:rsid w:val="003F6885"/>
    <w:rsid w:val="00400730"/>
    <w:rsid w:val="00401BA8"/>
    <w:rsid w:val="00402153"/>
    <w:rsid w:val="00402FC1"/>
    <w:rsid w:val="00406CFE"/>
    <w:rsid w:val="00410A52"/>
    <w:rsid w:val="004119A8"/>
    <w:rsid w:val="00413379"/>
    <w:rsid w:val="00416AE4"/>
    <w:rsid w:val="00425082"/>
    <w:rsid w:val="00427865"/>
    <w:rsid w:val="00431DEB"/>
    <w:rsid w:val="00433D08"/>
    <w:rsid w:val="00440A9E"/>
    <w:rsid w:val="00443954"/>
    <w:rsid w:val="00443EC9"/>
    <w:rsid w:val="00444D19"/>
    <w:rsid w:val="0044505F"/>
    <w:rsid w:val="0044617F"/>
    <w:rsid w:val="00446B29"/>
    <w:rsid w:val="004478B4"/>
    <w:rsid w:val="0044796A"/>
    <w:rsid w:val="00453F9A"/>
    <w:rsid w:val="00460A3B"/>
    <w:rsid w:val="00466AED"/>
    <w:rsid w:val="00471E91"/>
    <w:rsid w:val="00472AF1"/>
    <w:rsid w:val="00472BDE"/>
    <w:rsid w:val="00474675"/>
    <w:rsid w:val="0047470C"/>
    <w:rsid w:val="004761D5"/>
    <w:rsid w:val="0048193A"/>
    <w:rsid w:val="004831FD"/>
    <w:rsid w:val="004875A8"/>
    <w:rsid w:val="00491300"/>
    <w:rsid w:val="004A35F9"/>
    <w:rsid w:val="004A6AB5"/>
    <w:rsid w:val="004B24C1"/>
    <w:rsid w:val="004B316E"/>
    <w:rsid w:val="004C292F"/>
    <w:rsid w:val="004C3053"/>
    <w:rsid w:val="004C3AC3"/>
    <w:rsid w:val="004D0DC0"/>
    <w:rsid w:val="004D3E90"/>
    <w:rsid w:val="004E2E9E"/>
    <w:rsid w:val="004E3943"/>
    <w:rsid w:val="004E51B3"/>
    <w:rsid w:val="004F5B0F"/>
    <w:rsid w:val="004F6C26"/>
    <w:rsid w:val="0050022D"/>
    <w:rsid w:val="00505762"/>
    <w:rsid w:val="0050625E"/>
    <w:rsid w:val="00507BAB"/>
    <w:rsid w:val="00510280"/>
    <w:rsid w:val="00511A93"/>
    <w:rsid w:val="00513D73"/>
    <w:rsid w:val="005145C1"/>
    <w:rsid w:val="00514A43"/>
    <w:rsid w:val="0051523D"/>
    <w:rsid w:val="00517368"/>
    <w:rsid w:val="005174E5"/>
    <w:rsid w:val="00522393"/>
    <w:rsid w:val="00522620"/>
    <w:rsid w:val="00525656"/>
    <w:rsid w:val="00533F46"/>
    <w:rsid w:val="00534C02"/>
    <w:rsid w:val="00535B99"/>
    <w:rsid w:val="0054264B"/>
    <w:rsid w:val="00542F83"/>
    <w:rsid w:val="00543786"/>
    <w:rsid w:val="00543C10"/>
    <w:rsid w:val="00544A61"/>
    <w:rsid w:val="00544EB6"/>
    <w:rsid w:val="00544F48"/>
    <w:rsid w:val="0054739D"/>
    <w:rsid w:val="00547EC0"/>
    <w:rsid w:val="005533D7"/>
    <w:rsid w:val="00554B13"/>
    <w:rsid w:val="005703DE"/>
    <w:rsid w:val="00574D5B"/>
    <w:rsid w:val="00576DEE"/>
    <w:rsid w:val="00581EC3"/>
    <w:rsid w:val="00582E5F"/>
    <w:rsid w:val="005839F3"/>
    <w:rsid w:val="00583AED"/>
    <w:rsid w:val="0058464E"/>
    <w:rsid w:val="005860A7"/>
    <w:rsid w:val="005945AF"/>
    <w:rsid w:val="00597FDA"/>
    <w:rsid w:val="005A01CB"/>
    <w:rsid w:val="005A58FF"/>
    <w:rsid w:val="005A5EAF"/>
    <w:rsid w:val="005A64C0"/>
    <w:rsid w:val="005A6D6D"/>
    <w:rsid w:val="005A7E0D"/>
    <w:rsid w:val="005B27E0"/>
    <w:rsid w:val="005B300A"/>
    <w:rsid w:val="005B3C11"/>
    <w:rsid w:val="005B3FC0"/>
    <w:rsid w:val="005B68D7"/>
    <w:rsid w:val="005B7CDC"/>
    <w:rsid w:val="005C1C28"/>
    <w:rsid w:val="005C317A"/>
    <w:rsid w:val="005C6DB5"/>
    <w:rsid w:val="005C7009"/>
    <w:rsid w:val="005C761A"/>
    <w:rsid w:val="005D2ECD"/>
    <w:rsid w:val="005D54A4"/>
    <w:rsid w:val="005E19E7"/>
    <w:rsid w:val="005E1BE4"/>
    <w:rsid w:val="005E7C1A"/>
    <w:rsid w:val="005E7DD8"/>
    <w:rsid w:val="005F1FDC"/>
    <w:rsid w:val="005F3E38"/>
    <w:rsid w:val="005F4D28"/>
    <w:rsid w:val="005F6EE0"/>
    <w:rsid w:val="0060442E"/>
    <w:rsid w:val="0060689F"/>
    <w:rsid w:val="00610B5A"/>
    <w:rsid w:val="00610FD8"/>
    <w:rsid w:val="0061716C"/>
    <w:rsid w:val="00621989"/>
    <w:rsid w:val="006243A1"/>
    <w:rsid w:val="0063078B"/>
    <w:rsid w:val="00632E56"/>
    <w:rsid w:val="00635CBA"/>
    <w:rsid w:val="0063790D"/>
    <w:rsid w:val="00641A08"/>
    <w:rsid w:val="0064338B"/>
    <w:rsid w:val="00645884"/>
    <w:rsid w:val="00646542"/>
    <w:rsid w:val="00647FB5"/>
    <w:rsid w:val="006504F4"/>
    <w:rsid w:val="00654BC9"/>
    <w:rsid w:val="006552FD"/>
    <w:rsid w:val="00661F49"/>
    <w:rsid w:val="00663AF3"/>
    <w:rsid w:val="00664FE5"/>
    <w:rsid w:val="00666B6C"/>
    <w:rsid w:val="006673E6"/>
    <w:rsid w:val="00673C5E"/>
    <w:rsid w:val="00674510"/>
    <w:rsid w:val="00677167"/>
    <w:rsid w:val="006777AD"/>
    <w:rsid w:val="00682682"/>
    <w:rsid w:val="00682702"/>
    <w:rsid w:val="00682EE1"/>
    <w:rsid w:val="00683E56"/>
    <w:rsid w:val="00692368"/>
    <w:rsid w:val="0069269A"/>
    <w:rsid w:val="00694258"/>
    <w:rsid w:val="006A2EBC"/>
    <w:rsid w:val="006A51F2"/>
    <w:rsid w:val="006A5813"/>
    <w:rsid w:val="006A5E50"/>
    <w:rsid w:val="006A5EA0"/>
    <w:rsid w:val="006A783B"/>
    <w:rsid w:val="006A7B33"/>
    <w:rsid w:val="006B0DAC"/>
    <w:rsid w:val="006B418F"/>
    <w:rsid w:val="006B4E13"/>
    <w:rsid w:val="006B75DD"/>
    <w:rsid w:val="006B793F"/>
    <w:rsid w:val="006C2A3D"/>
    <w:rsid w:val="006C67E0"/>
    <w:rsid w:val="006C6C86"/>
    <w:rsid w:val="006C7ABA"/>
    <w:rsid w:val="006C7EA8"/>
    <w:rsid w:val="006D0D60"/>
    <w:rsid w:val="006D1122"/>
    <w:rsid w:val="006D3C00"/>
    <w:rsid w:val="006E0A3D"/>
    <w:rsid w:val="006E12BF"/>
    <w:rsid w:val="006E3675"/>
    <w:rsid w:val="006E4A7F"/>
    <w:rsid w:val="006F1A1A"/>
    <w:rsid w:val="006F1A89"/>
    <w:rsid w:val="006F593A"/>
    <w:rsid w:val="00700E90"/>
    <w:rsid w:val="00703270"/>
    <w:rsid w:val="00704DF6"/>
    <w:rsid w:val="0070651C"/>
    <w:rsid w:val="007121ED"/>
    <w:rsid w:val="007132A3"/>
    <w:rsid w:val="007135AD"/>
    <w:rsid w:val="00716421"/>
    <w:rsid w:val="00722EE5"/>
    <w:rsid w:val="00724EFB"/>
    <w:rsid w:val="00724FBA"/>
    <w:rsid w:val="00737854"/>
    <w:rsid w:val="007419C3"/>
    <w:rsid w:val="0074257A"/>
    <w:rsid w:val="007446E5"/>
    <w:rsid w:val="007467A7"/>
    <w:rsid w:val="007469DD"/>
    <w:rsid w:val="0074741B"/>
    <w:rsid w:val="0074759E"/>
    <w:rsid w:val="007478EA"/>
    <w:rsid w:val="00747F47"/>
    <w:rsid w:val="007500A5"/>
    <w:rsid w:val="0075415C"/>
    <w:rsid w:val="0075441F"/>
    <w:rsid w:val="00754F96"/>
    <w:rsid w:val="007564E1"/>
    <w:rsid w:val="00757249"/>
    <w:rsid w:val="00763502"/>
    <w:rsid w:val="00764C3A"/>
    <w:rsid w:val="00764EB9"/>
    <w:rsid w:val="0076544E"/>
    <w:rsid w:val="00770A74"/>
    <w:rsid w:val="0077332F"/>
    <w:rsid w:val="00777892"/>
    <w:rsid w:val="00777D54"/>
    <w:rsid w:val="0078007F"/>
    <w:rsid w:val="00780DA8"/>
    <w:rsid w:val="00787270"/>
    <w:rsid w:val="0078792A"/>
    <w:rsid w:val="007903D5"/>
    <w:rsid w:val="007913AB"/>
    <w:rsid w:val="007914F7"/>
    <w:rsid w:val="007A1976"/>
    <w:rsid w:val="007B0AC4"/>
    <w:rsid w:val="007B1625"/>
    <w:rsid w:val="007B706E"/>
    <w:rsid w:val="007B71EB"/>
    <w:rsid w:val="007C13A4"/>
    <w:rsid w:val="007C1FDD"/>
    <w:rsid w:val="007C6205"/>
    <w:rsid w:val="007C686A"/>
    <w:rsid w:val="007C728E"/>
    <w:rsid w:val="007D2C53"/>
    <w:rsid w:val="007D2CBE"/>
    <w:rsid w:val="007D3715"/>
    <w:rsid w:val="007D3D60"/>
    <w:rsid w:val="007E1980"/>
    <w:rsid w:val="007E2A93"/>
    <w:rsid w:val="007E4149"/>
    <w:rsid w:val="007E4B76"/>
    <w:rsid w:val="007E5A88"/>
    <w:rsid w:val="007E5EA8"/>
    <w:rsid w:val="007F0CF1"/>
    <w:rsid w:val="007F12A5"/>
    <w:rsid w:val="007F1B23"/>
    <w:rsid w:val="007F4CF1"/>
    <w:rsid w:val="007F4F75"/>
    <w:rsid w:val="007F6AEA"/>
    <w:rsid w:val="007F758D"/>
    <w:rsid w:val="007F7D52"/>
    <w:rsid w:val="00800C70"/>
    <w:rsid w:val="0080654C"/>
    <w:rsid w:val="008071C6"/>
    <w:rsid w:val="00810061"/>
    <w:rsid w:val="0081403F"/>
    <w:rsid w:val="00817A00"/>
    <w:rsid w:val="00817CB4"/>
    <w:rsid w:val="008214FF"/>
    <w:rsid w:val="0082501A"/>
    <w:rsid w:val="00831E22"/>
    <w:rsid w:val="008349EC"/>
    <w:rsid w:val="00834EF4"/>
    <w:rsid w:val="0083550F"/>
    <w:rsid w:val="00835DB3"/>
    <w:rsid w:val="0083617B"/>
    <w:rsid w:val="008361A2"/>
    <w:rsid w:val="008371BD"/>
    <w:rsid w:val="00837BB3"/>
    <w:rsid w:val="00843844"/>
    <w:rsid w:val="008503F4"/>
    <w:rsid w:val="008504A8"/>
    <w:rsid w:val="0085282E"/>
    <w:rsid w:val="00854E69"/>
    <w:rsid w:val="00857662"/>
    <w:rsid w:val="00860C7F"/>
    <w:rsid w:val="00861242"/>
    <w:rsid w:val="0086273B"/>
    <w:rsid w:val="00862900"/>
    <w:rsid w:val="00862982"/>
    <w:rsid w:val="008641AF"/>
    <w:rsid w:val="0087198C"/>
    <w:rsid w:val="00872C1F"/>
    <w:rsid w:val="00873B42"/>
    <w:rsid w:val="00877CAC"/>
    <w:rsid w:val="008856D8"/>
    <w:rsid w:val="00890920"/>
    <w:rsid w:val="00891752"/>
    <w:rsid w:val="00892724"/>
    <w:rsid w:val="008928F1"/>
    <w:rsid w:val="00892E82"/>
    <w:rsid w:val="008A23A2"/>
    <w:rsid w:val="008A45FE"/>
    <w:rsid w:val="008A6085"/>
    <w:rsid w:val="008A7DC6"/>
    <w:rsid w:val="008B3C96"/>
    <w:rsid w:val="008B6452"/>
    <w:rsid w:val="008B7614"/>
    <w:rsid w:val="008C16B9"/>
    <w:rsid w:val="008C1B58"/>
    <w:rsid w:val="008C39AE"/>
    <w:rsid w:val="008C590D"/>
    <w:rsid w:val="008C78C6"/>
    <w:rsid w:val="008D02B9"/>
    <w:rsid w:val="008D0526"/>
    <w:rsid w:val="008D72E6"/>
    <w:rsid w:val="008E031B"/>
    <w:rsid w:val="008E7029"/>
    <w:rsid w:val="008E7EF6"/>
    <w:rsid w:val="008F0C45"/>
    <w:rsid w:val="008F1F98"/>
    <w:rsid w:val="008F2416"/>
    <w:rsid w:val="008F6758"/>
    <w:rsid w:val="009034E0"/>
    <w:rsid w:val="009040DD"/>
    <w:rsid w:val="009049BF"/>
    <w:rsid w:val="00904CA5"/>
    <w:rsid w:val="00904E64"/>
    <w:rsid w:val="00905B47"/>
    <w:rsid w:val="0091220C"/>
    <w:rsid w:val="0091331C"/>
    <w:rsid w:val="00914532"/>
    <w:rsid w:val="009204D1"/>
    <w:rsid w:val="009223B5"/>
    <w:rsid w:val="00922A2C"/>
    <w:rsid w:val="009279DE"/>
    <w:rsid w:val="00927D4E"/>
    <w:rsid w:val="00930116"/>
    <w:rsid w:val="0093172E"/>
    <w:rsid w:val="00935AA1"/>
    <w:rsid w:val="00940FBC"/>
    <w:rsid w:val="0094212C"/>
    <w:rsid w:val="00944CF9"/>
    <w:rsid w:val="00953E9B"/>
    <w:rsid w:val="00954689"/>
    <w:rsid w:val="009617C9"/>
    <w:rsid w:val="00961C93"/>
    <w:rsid w:val="00965324"/>
    <w:rsid w:val="009653D5"/>
    <w:rsid w:val="0097091E"/>
    <w:rsid w:val="009715AB"/>
    <w:rsid w:val="009760D3"/>
    <w:rsid w:val="00976751"/>
    <w:rsid w:val="00977132"/>
    <w:rsid w:val="00981A4B"/>
    <w:rsid w:val="00982501"/>
    <w:rsid w:val="00982A47"/>
    <w:rsid w:val="009877D3"/>
    <w:rsid w:val="00991E5F"/>
    <w:rsid w:val="00993CDB"/>
    <w:rsid w:val="00994E8F"/>
    <w:rsid w:val="009951DC"/>
    <w:rsid w:val="009959BB"/>
    <w:rsid w:val="00997158"/>
    <w:rsid w:val="009A3A7C"/>
    <w:rsid w:val="009A584E"/>
    <w:rsid w:val="009A5A33"/>
    <w:rsid w:val="009A7DF2"/>
    <w:rsid w:val="009B2ADB"/>
    <w:rsid w:val="009B603A"/>
    <w:rsid w:val="009B7D95"/>
    <w:rsid w:val="009C1534"/>
    <w:rsid w:val="009C2976"/>
    <w:rsid w:val="009C2D0E"/>
    <w:rsid w:val="009C3DAC"/>
    <w:rsid w:val="009C42E0"/>
    <w:rsid w:val="009C575F"/>
    <w:rsid w:val="009C6111"/>
    <w:rsid w:val="009C672F"/>
    <w:rsid w:val="009D1940"/>
    <w:rsid w:val="009D23CA"/>
    <w:rsid w:val="009D5362"/>
    <w:rsid w:val="009E1415"/>
    <w:rsid w:val="009E6116"/>
    <w:rsid w:val="009E7BC0"/>
    <w:rsid w:val="009F04F8"/>
    <w:rsid w:val="009F060D"/>
    <w:rsid w:val="009F2754"/>
    <w:rsid w:val="009F3AED"/>
    <w:rsid w:val="009F523F"/>
    <w:rsid w:val="00A003A8"/>
    <w:rsid w:val="00A02E43"/>
    <w:rsid w:val="00A065F9"/>
    <w:rsid w:val="00A07F21"/>
    <w:rsid w:val="00A07F34"/>
    <w:rsid w:val="00A2117E"/>
    <w:rsid w:val="00A22154"/>
    <w:rsid w:val="00A25C38"/>
    <w:rsid w:val="00A26CCA"/>
    <w:rsid w:val="00A2754F"/>
    <w:rsid w:val="00A30F11"/>
    <w:rsid w:val="00A3482B"/>
    <w:rsid w:val="00A36BBE"/>
    <w:rsid w:val="00A37C64"/>
    <w:rsid w:val="00A40D46"/>
    <w:rsid w:val="00A4283D"/>
    <w:rsid w:val="00A4307A"/>
    <w:rsid w:val="00A44BFD"/>
    <w:rsid w:val="00A460B1"/>
    <w:rsid w:val="00A47EBB"/>
    <w:rsid w:val="00A50AC8"/>
    <w:rsid w:val="00A51CDD"/>
    <w:rsid w:val="00A5631D"/>
    <w:rsid w:val="00A62442"/>
    <w:rsid w:val="00A62DD7"/>
    <w:rsid w:val="00A647EF"/>
    <w:rsid w:val="00A6677C"/>
    <w:rsid w:val="00A6730D"/>
    <w:rsid w:val="00A71625"/>
    <w:rsid w:val="00A71B9B"/>
    <w:rsid w:val="00A72866"/>
    <w:rsid w:val="00A751C7"/>
    <w:rsid w:val="00A76298"/>
    <w:rsid w:val="00A77EE0"/>
    <w:rsid w:val="00A812BA"/>
    <w:rsid w:val="00A839DB"/>
    <w:rsid w:val="00A852A1"/>
    <w:rsid w:val="00A86561"/>
    <w:rsid w:val="00A87844"/>
    <w:rsid w:val="00A87E23"/>
    <w:rsid w:val="00A90773"/>
    <w:rsid w:val="00A96A17"/>
    <w:rsid w:val="00AA038C"/>
    <w:rsid w:val="00AA4A38"/>
    <w:rsid w:val="00AA4E9A"/>
    <w:rsid w:val="00AA7A09"/>
    <w:rsid w:val="00AB2833"/>
    <w:rsid w:val="00AB3B50"/>
    <w:rsid w:val="00AB3E78"/>
    <w:rsid w:val="00AB5799"/>
    <w:rsid w:val="00AB5F92"/>
    <w:rsid w:val="00AC03BF"/>
    <w:rsid w:val="00AC05B1"/>
    <w:rsid w:val="00AC0C3B"/>
    <w:rsid w:val="00AC40B3"/>
    <w:rsid w:val="00AC50E5"/>
    <w:rsid w:val="00AC5CA4"/>
    <w:rsid w:val="00AD356C"/>
    <w:rsid w:val="00AD3A39"/>
    <w:rsid w:val="00AD3C0A"/>
    <w:rsid w:val="00AD52D6"/>
    <w:rsid w:val="00AD57E3"/>
    <w:rsid w:val="00AE2914"/>
    <w:rsid w:val="00AE6D15"/>
    <w:rsid w:val="00AE7A04"/>
    <w:rsid w:val="00AF4367"/>
    <w:rsid w:val="00AF6BDA"/>
    <w:rsid w:val="00AF74B0"/>
    <w:rsid w:val="00B04182"/>
    <w:rsid w:val="00B062BF"/>
    <w:rsid w:val="00B07AE3"/>
    <w:rsid w:val="00B10282"/>
    <w:rsid w:val="00B11430"/>
    <w:rsid w:val="00B1352F"/>
    <w:rsid w:val="00B15BAB"/>
    <w:rsid w:val="00B23E4D"/>
    <w:rsid w:val="00B276EC"/>
    <w:rsid w:val="00B315E8"/>
    <w:rsid w:val="00B353EB"/>
    <w:rsid w:val="00B35F0E"/>
    <w:rsid w:val="00B36670"/>
    <w:rsid w:val="00B439C4"/>
    <w:rsid w:val="00B4535E"/>
    <w:rsid w:val="00B47434"/>
    <w:rsid w:val="00B4766C"/>
    <w:rsid w:val="00B52A8C"/>
    <w:rsid w:val="00B52EE4"/>
    <w:rsid w:val="00B52F9F"/>
    <w:rsid w:val="00B60970"/>
    <w:rsid w:val="00B636A8"/>
    <w:rsid w:val="00B65090"/>
    <w:rsid w:val="00B665C6"/>
    <w:rsid w:val="00B71650"/>
    <w:rsid w:val="00B7354B"/>
    <w:rsid w:val="00B73CF3"/>
    <w:rsid w:val="00B74CCF"/>
    <w:rsid w:val="00B805AF"/>
    <w:rsid w:val="00B8139F"/>
    <w:rsid w:val="00B82E1A"/>
    <w:rsid w:val="00B83210"/>
    <w:rsid w:val="00B869EC"/>
    <w:rsid w:val="00B87E44"/>
    <w:rsid w:val="00B9397A"/>
    <w:rsid w:val="00B95B9F"/>
    <w:rsid w:val="00B9633D"/>
    <w:rsid w:val="00B97496"/>
    <w:rsid w:val="00BA2EBE"/>
    <w:rsid w:val="00BB0F03"/>
    <w:rsid w:val="00BB0F28"/>
    <w:rsid w:val="00BB458A"/>
    <w:rsid w:val="00BB6D3D"/>
    <w:rsid w:val="00BB784C"/>
    <w:rsid w:val="00BC1DD1"/>
    <w:rsid w:val="00BC58DC"/>
    <w:rsid w:val="00BC7312"/>
    <w:rsid w:val="00BC7C1C"/>
    <w:rsid w:val="00BD00D3"/>
    <w:rsid w:val="00BD1659"/>
    <w:rsid w:val="00BD3AA9"/>
    <w:rsid w:val="00BD4A18"/>
    <w:rsid w:val="00BD6200"/>
    <w:rsid w:val="00BD6DB2"/>
    <w:rsid w:val="00BE11CF"/>
    <w:rsid w:val="00BE19F0"/>
    <w:rsid w:val="00BE21AB"/>
    <w:rsid w:val="00BE2E55"/>
    <w:rsid w:val="00BE3A23"/>
    <w:rsid w:val="00BE55CB"/>
    <w:rsid w:val="00BF617A"/>
    <w:rsid w:val="00C0379D"/>
    <w:rsid w:val="00C03931"/>
    <w:rsid w:val="00C03975"/>
    <w:rsid w:val="00C05FE3"/>
    <w:rsid w:val="00C14B86"/>
    <w:rsid w:val="00C16052"/>
    <w:rsid w:val="00C2136D"/>
    <w:rsid w:val="00C214EE"/>
    <w:rsid w:val="00C2314B"/>
    <w:rsid w:val="00C23AA8"/>
    <w:rsid w:val="00C24971"/>
    <w:rsid w:val="00C266D8"/>
    <w:rsid w:val="00C2673F"/>
    <w:rsid w:val="00C26BE5"/>
    <w:rsid w:val="00C26E4D"/>
    <w:rsid w:val="00C27278"/>
    <w:rsid w:val="00C27909"/>
    <w:rsid w:val="00C27B03"/>
    <w:rsid w:val="00C314E1"/>
    <w:rsid w:val="00C32C99"/>
    <w:rsid w:val="00C34397"/>
    <w:rsid w:val="00C36201"/>
    <w:rsid w:val="00C37E66"/>
    <w:rsid w:val="00C4095D"/>
    <w:rsid w:val="00C4457C"/>
    <w:rsid w:val="00C4588D"/>
    <w:rsid w:val="00C578A7"/>
    <w:rsid w:val="00C601D2"/>
    <w:rsid w:val="00C62AD4"/>
    <w:rsid w:val="00C63650"/>
    <w:rsid w:val="00C637DA"/>
    <w:rsid w:val="00C65BCC"/>
    <w:rsid w:val="00C65D02"/>
    <w:rsid w:val="00C66970"/>
    <w:rsid w:val="00C70347"/>
    <w:rsid w:val="00C77862"/>
    <w:rsid w:val="00C83140"/>
    <w:rsid w:val="00C831BC"/>
    <w:rsid w:val="00C83CA0"/>
    <w:rsid w:val="00C86473"/>
    <w:rsid w:val="00C8691C"/>
    <w:rsid w:val="00C90B4D"/>
    <w:rsid w:val="00CA168A"/>
    <w:rsid w:val="00CA3083"/>
    <w:rsid w:val="00CA32FF"/>
    <w:rsid w:val="00CA357E"/>
    <w:rsid w:val="00CA44F9"/>
    <w:rsid w:val="00CA4A69"/>
    <w:rsid w:val="00CB1C6A"/>
    <w:rsid w:val="00CB3B39"/>
    <w:rsid w:val="00CB5BEE"/>
    <w:rsid w:val="00CC0D65"/>
    <w:rsid w:val="00CC2058"/>
    <w:rsid w:val="00CC3E0C"/>
    <w:rsid w:val="00CC583F"/>
    <w:rsid w:val="00CC58D3"/>
    <w:rsid w:val="00CC784D"/>
    <w:rsid w:val="00CD05F8"/>
    <w:rsid w:val="00CD1291"/>
    <w:rsid w:val="00CD146E"/>
    <w:rsid w:val="00CD18D5"/>
    <w:rsid w:val="00CD343B"/>
    <w:rsid w:val="00CD4409"/>
    <w:rsid w:val="00CD6101"/>
    <w:rsid w:val="00CD67CA"/>
    <w:rsid w:val="00CE12C5"/>
    <w:rsid w:val="00CE6BB6"/>
    <w:rsid w:val="00CF3AD6"/>
    <w:rsid w:val="00CF49E4"/>
    <w:rsid w:val="00D0337B"/>
    <w:rsid w:val="00D079B2"/>
    <w:rsid w:val="00D10E6C"/>
    <w:rsid w:val="00D114E9"/>
    <w:rsid w:val="00D13132"/>
    <w:rsid w:val="00D23441"/>
    <w:rsid w:val="00D243A9"/>
    <w:rsid w:val="00D248F0"/>
    <w:rsid w:val="00D26ECB"/>
    <w:rsid w:val="00D40F93"/>
    <w:rsid w:val="00D429C6"/>
    <w:rsid w:val="00D42DE7"/>
    <w:rsid w:val="00D47748"/>
    <w:rsid w:val="00D51085"/>
    <w:rsid w:val="00D54CC3"/>
    <w:rsid w:val="00D57DDF"/>
    <w:rsid w:val="00D6041A"/>
    <w:rsid w:val="00D62474"/>
    <w:rsid w:val="00D633EB"/>
    <w:rsid w:val="00D70999"/>
    <w:rsid w:val="00D71C89"/>
    <w:rsid w:val="00D71D16"/>
    <w:rsid w:val="00D71F77"/>
    <w:rsid w:val="00D72CD2"/>
    <w:rsid w:val="00D779B4"/>
    <w:rsid w:val="00D82EC9"/>
    <w:rsid w:val="00D82FF7"/>
    <w:rsid w:val="00D844F5"/>
    <w:rsid w:val="00D847FE"/>
    <w:rsid w:val="00D87D67"/>
    <w:rsid w:val="00D93220"/>
    <w:rsid w:val="00D964EA"/>
    <w:rsid w:val="00D966D0"/>
    <w:rsid w:val="00DA0C59"/>
    <w:rsid w:val="00DA3991"/>
    <w:rsid w:val="00DB452F"/>
    <w:rsid w:val="00DB6CCA"/>
    <w:rsid w:val="00DB7E6C"/>
    <w:rsid w:val="00DC2111"/>
    <w:rsid w:val="00DC32B8"/>
    <w:rsid w:val="00DD0F34"/>
    <w:rsid w:val="00DD5A29"/>
    <w:rsid w:val="00DD5D9D"/>
    <w:rsid w:val="00DE35CB"/>
    <w:rsid w:val="00DE3989"/>
    <w:rsid w:val="00DF1277"/>
    <w:rsid w:val="00DF154F"/>
    <w:rsid w:val="00DF21E9"/>
    <w:rsid w:val="00DF5C33"/>
    <w:rsid w:val="00DF63E1"/>
    <w:rsid w:val="00DF790C"/>
    <w:rsid w:val="00E00F14"/>
    <w:rsid w:val="00E02A9F"/>
    <w:rsid w:val="00E02D58"/>
    <w:rsid w:val="00E04170"/>
    <w:rsid w:val="00E04264"/>
    <w:rsid w:val="00E06386"/>
    <w:rsid w:val="00E07F22"/>
    <w:rsid w:val="00E1275F"/>
    <w:rsid w:val="00E13A88"/>
    <w:rsid w:val="00E165C3"/>
    <w:rsid w:val="00E242B2"/>
    <w:rsid w:val="00E24EB4"/>
    <w:rsid w:val="00E31253"/>
    <w:rsid w:val="00E31BB5"/>
    <w:rsid w:val="00E320ED"/>
    <w:rsid w:val="00E3230E"/>
    <w:rsid w:val="00E33AFB"/>
    <w:rsid w:val="00E33ED2"/>
    <w:rsid w:val="00E34218"/>
    <w:rsid w:val="00E34FB2"/>
    <w:rsid w:val="00E368C9"/>
    <w:rsid w:val="00E44674"/>
    <w:rsid w:val="00E45140"/>
    <w:rsid w:val="00E46282"/>
    <w:rsid w:val="00E5216E"/>
    <w:rsid w:val="00E60DC8"/>
    <w:rsid w:val="00E634B2"/>
    <w:rsid w:val="00E66247"/>
    <w:rsid w:val="00E816C6"/>
    <w:rsid w:val="00E81C0B"/>
    <w:rsid w:val="00E82344"/>
    <w:rsid w:val="00E84C82"/>
    <w:rsid w:val="00E84D64"/>
    <w:rsid w:val="00E85F4F"/>
    <w:rsid w:val="00E863EE"/>
    <w:rsid w:val="00E87408"/>
    <w:rsid w:val="00E914C4"/>
    <w:rsid w:val="00E9337A"/>
    <w:rsid w:val="00E934F5"/>
    <w:rsid w:val="00E94024"/>
    <w:rsid w:val="00E96961"/>
    <w:rsid w:val="00EA099E"/>
    <w:rsid w:val="00EA6004"/>
    <w:rsid w:val="00EA6BA3"/>
    <w:rsid w:val="00EA72EC"/>
    <w:rsid w:val="00EB11CB"/>
    <w:rsid w:val="00EB275A"/>
    <w:rsid w:val="00EB37A8"/>
    <w:rsid w:val="00EB44CD"/>
    <w:rsid w:val="00EB517D"/>
    <w:rsid w:val="00EB518F"/>
    <w:rsid w:val="00EB6260"/>
    <w:rsid w:val="00EB6A84"/>
    <w:rsid w:val="00EB786A"/>
    <w:rsid w:val="00EB7DFA"/>
    <w:rsid w:val="00EC1578"/>
    <w:rsid w:val="00EC1C72"/>
    <w:rsid w:val="00EC1F84"/>
    <w:rsid w:val="00EC39E7"/>
    <w:rsid w:val="00EC3C80"/>
    <w:rsid w:val="00EC3CC9"/>
    <w:rsid w:val="00EC680A"/>
    <w:rsid w:val="00ED2054"/>
    <w:rsid w:val="00ED393E"/>
    <w:rsid w:val="00ED5A9A"/>
    <w:rsid w:val="00ED6D8B"/>
    <w:rsid w:val="00EE0CB0"/>
    <w:rsid w:val="00EE2BED"/>
    <w:rsid w:val="00EE374B"/>
    <w:rsid w:val="00EF79FF"/>
    <w:rsid w:val="00EF7E37"/>
    <w:rsid w:val="00F04728"/>
    <w:rsid w:val="00F058B7"/>
    <w:rsid w:val="00F079E1"/>
    <w:rsid w:val="00F101B9"/>
    <w:rsid w:val="00F11BB5"/>
    <w:rsid w:val="00F12741"/>
    <w:rsid w:val="00F138D5"/>
    <w:rsid w:val="00F1417B"/>
    <w:rsid w:val="00F15226"/>
    <w:rsid w:val="00F2020A"/>
    <w:rsid w:val="00F206F4"/>
    <w:rsid w:val="00F24190"/>
    <w:rsid w:val="00F3191B"/>
    <w:rsid w:val="00F33C54"/>
    <w:rsid w:val="00F34B99"/>
    <w:rsid w:val="00F405CE"/>
    <w:rsid w:val="00F412D4"/>
    <w:rsid w:val="00F42D4D"/>
    <w:rsid w:val="00F448B8"/>
    <w:rsid w:val="00F45B1A"/>
    <w:rsid w:val="00F46A44"/>
    <w:rsid w:val="00F50F93"/>
    <w:rsid w:val="00F51B5A"/>
    <w:rsid w:val="00F52DAB"/>
    <w:rsid w:val="00F543F0"/>
    <w:rsid w:val="00F54C7E"/>
    <w:rsid w:val="00F6180E"/>
    <w:rsid w:val="00F71ECB"/>
    <w:rsid w:val="00F75252"/>
    <w:rsid w:val="00F76A94"/>
    <w:rsid w:val="00F81BE2"/>
    <w:rsid w:val="00F81D29"/>
    <w:rsid w:val="00F828C0"/>
    <w:rsid w:val="00F84644"/>
    <w:rsid w:val="00F84AA0"/>
    <w:rsid w:val="00F86478"/>
    <w:rsid w:val="00F90F8D"/>
    <w:rsid w:val="00F91C4D"/>
    <w:rsid w:val="00F92BD1"/>
    <w:rsid w:val="00F92FD9"/>
    <w:rsid w:val="00FA2322"/>
    <w:rsid w:val="00FA6684"/>
    <w:rsid w:val="00FA69EF"/>
    <w:rsid w:val="00FA6EE9"/>
    <w:rsid w:val="00FA731E"/>
    <w:rsid w:val="00FA7813"/>
    <w:rsid w:val="00FB1C1F"/>
    <w:rsid w:val="00FB2B38"/>
    <w:rsid w:val="00FB6240"/>
    <w:rsid w:val="00FB6C61"/>
    <w:rsid w:val="00FC1DA3"/>
    <w:rsid w:val="00FC38F1"/>
    <w:rsid w:val="00FC4879"/>
    <w:rsid w:val="00FC6358"/>
    <w:rsid w:val="00FD08BF"/>
    <w:rsid w:val="00FD253A"/>
    <w:rsid w:val="00FD320D"/>
    <w:rsid w:val="00FD456B"/>
    <w:rsid w:val="00FE23DE"/>
    <w:rsid w:val="00FE3300"/>
    <w:rsid w:val="00FE349C"/>
    <w:rsid w:val="00FF2EE2"/>
    <w:rsid w:val="00FF3A5B"/>
    <w:rsid w:val="00FF42E8"/>
    <w:rsid w:val="01D04668"/>
    <w:rsid w:val="09482659"/>
    <w:rsid w:val="0A9A7472"/>
    <w:rsid w:val="0C820223"/>
    <w:rsid w:val="0D5D709F"/>
    <w:rsid w:val="0E876748"/>
    <w:rsid w:val="0E96765D"/>
    <w:rsid w:val="14F85F04"/>
    <w:rsid w:val="180A3B75"/>
    <w:rsid w:val="1B3E6E0B"/>
    <w:rsid w:val="1E652127"/>
    <w:rsid w:val="23F73A9C"/>
    <w:rsid w:val="25380CA0"/>
    <w:rsid w:val="27370304"/>
    <w:rsid w:val="2B370B09"/>
    <w:rsid w:val="2B4475C5"/>
    <w:rsid w:val="2B9A334B"/>
    <w:rsid w:val="2C11136C"/>
    <w:rsid w:val="2CDF498D"/>
    <w:rsid w:val="2D5D2A93"/>
    <w:rsid w:val="2E567DAF"/>
    <w:rsid w:val="31EF6164"/>
    <w:rsid w:val="3543266F"/>
    <w:rsid w:val="374274C9"/>
    <w:rsid w:val="3830653A"/>
    <w:rsid w:val="39EF0A9A"/>
    <w:rsid w:val="3AE570F3"/>
    <w:rsid w:val="3F31569B"/>
    <w:rsid w:val="415E30B3"/>
    <w:rsid w:val="44D20DFC"/>
    <w:rsid w:val="465B5160"/>
    <w:rsid w:val="47AF232D"/>
    <w:rsid w:val="49466821"/>
    <w:rsid w:val="4A0D148A"/>
    <w:rsid w:val="4A0D2577"/>
    <w:rsid w:val="4CFA2739"/>
    <w:rsid w:val="4DC36E97"/>
    <w:rsid w:val="4E2A13F9"/>
    <w:rsid w:val="4F053E56"/>
    <w:rsid w:val="50E557F8"/>
    <w:rsid w:val="529E77B3"/>
    <w:rsid w:val="5B8014E1"/>
    <w:rsid w:val="5DCD599D"/>
    <w:rsid w:val="5E53134F"/>
    <w:rsid w:val="5F490693"/>
    <w:rsid w:val="5F703309"/>
    <w:rsid w:val="6051489F"/>
    <w:rsid w:val="611E1462"/>
    <w:rsid w:val="61867AEA"/>
    <w:rsid w:val="61AB234B"/>
    <w:rsid w:val="635350F1"/>
    <w:rsid w:val="63802C93"/>
    <w:rsid w:val="64E61819"/>
    <w:rsid w:val="65863920"/>
    <w:rsid w:val="66090AE5"/>
    <w:rsid w:val="667D1BE2"/>
    <w:rsid w:val="67D930E9"/>
    <w:rsid w:val="6BC06C1C"/>
    <w:rsid w:val="6C384A25"/>
    <w:rsid w:val="6E50156F"/>
    <w:rsid w:val="6EB215B7"/>
    <w:rsid w:val="700525A2"/>
    <w:rsid w:val="70B163BB"/>
    <w:rsid w:val="72324075"/>
    <w:rsid w:val="72813806"/>
    <w:rsid w:val="744C18C2"/>
    <w:rsid w:val="76AC5AA1"/>
    <w:rsid w:val="781235B1"/>
    <w:rsid w:val="78C7306C"/>
    <w:rsid w:val="79DD17FA"/>
    <w:rsid w:val="7B4605B8"/>
    <w:rsid w:val="7B740A00"/>
    <w:rsid w:val="7EA444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uiPriority="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qFormat="1" w:unhideWhenUsed="0" w:uiPriority="0" w:semiHidden="0" w:name="annotation reference"/>
    <w:lsdException w:uiPriority="0" w:name="line number"/>
    <w:lsdException w:qFormat="1" w:unhideWhenUsed="0" w:uiPriority="0" w:semiHidden="0" w:name="page number"/>
    <w:lsdException w:qFormat="1" w:unhideWhenUsed="0" w:uiPriority="0" w:name="endnote reference"/>
    <w:lsdException w:qFormat="1" w:unhideWhenUsed="0"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6"/>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numPr>
        <w:ilvl w:val="1"/>
        <w:numId w:val="1"/>
      </w:numPr>
      <w:outlineLvl w:val="1"/>
    </w:pPr>
    <w:rPr>
      <w:rFonts w:hAnsi="Arial"/>
      <w:b/>
      <w:bCs/>
      <w:szCs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39">
    <w:name w:val="Default Paragraph Font"/>
    <w:unhideWhenUsed/>
    <w:qFormat/>
    <w:uiPriority w:val="1"/>
  </w:style>
  <w:style w:type="table" w:default="1" w:styleId="37">
    <w:name w:val="Normal Table"/>
    <w:unhideWhenUsed/>
    <w:qFormat/>
    <w:uiPriority w:val="99"/>
    <w:tblPr>
      <w:tblCellMar>
        <w:top w:w="0" w:type="dxa"/>
        <w:left w:w="108" w:type="dxa"/>
        <w:bottom w:w="0" w:type="dxa"/>
        <w:right w:w="108" w:type="dxa"/>
      </w:tblCellMar>
    </w:tblPr>
  </w:style>
  <w:style w:type="paragraph" w:styleId="6">
    <w:name w:val="toc 7"/>
    <w:basedOn w:val="1"/>
    <w:next w:val="1"/>
    <w:semiHidden/>
    <w:qFormat/>
    <w:uiPriority w:val="0"/>
    <w:pPr>
      <w:tabs>
        <w:tab w:val="right" w:leader="dot" w:pos="9241"/>
      </w:tabs>
      <w:ind w:firstLine="505" w:firstLineChars="500"/>
      <w:jc w:val="left"/>
    </w:pPr>
    <w:rPr>
      <w:rFonts w:ascii="宋体"/>
      <w:szCs w:val="21"/>
    </w:rPr>
  </w:style>
  <w:style w:type="paragraph" w:styleId="7">
    <w:name w:val="index 8"/>
    <w:basedOn w:val="1"/>
    <w:next w:val="1"/>
    <w:qFormat/>
    <w:uiPriority w:val="0"/>
    <w:pPr>
      <w:ind w:left="1680" w:hanging="210"/>
      <w:jc w:val="left"/>
    </w:pPr>
    <w:rPr>
      <w:rFonts w:ascii="Calibri" w:hAnsi="Calibri"/>
      <w:sz w:val="20"/>
      <w:szCs w:val="20"/>
    </w:rPr>
  </w:style>
  <w:style w:type="paragraph" w:styleId="8">
    <w:name w:val="caption"/>
    <w:basedOn w:val="1"/>
    <w:next w:val="1"/>
    <w:qFormat/>
    <w:uiPriority w:val="0"/>
    <w:pPr>
      <w:spacing w:before="152" w:after="160"/>
    </w:pPr>
    <w:rPr>
      <w:rFonts w:ascii="Arial" w:hAnsi="Arial" w:eastAsia="黑体" w:cs="Arial"/>
      <w:sz w:val="20"/>
      <w:szCs w:val="20"/>
    </w:rPr>
  </w:style>
  <w:style w:type="paragraph" w:styleId="9">
    <w:name w:val="index 5"/>
    <w:basedOn w:val="1"/>
    <w:next w:val="1"/>
    <w:qFormat/>
    <w:uiPriority w:val="0"/>
    <w:pPr>
      <w:ind w:left="1050" w:hanging="210"/>
      <w:jc w:val="left"/>
    </w:pPr>
    <w:rPr>
      <w:rFonts w:ascii="Calibri" w:hAnsi="Calibri"/>
      <w:sz w:val="20"/>
      <w:szCs w:val="20"/>
    </w:rPr>
  </w:style>
  <w:style w:type="paragraph" w:styleId="10">
    <w:name w:val="Document Map"/>
    <w:basedOn w:val="1"/>
    <w:semiHidden/>
    <w:qFormat/>
    <w:uiPriority w:val="0"/>
    <w:pPr>
      <w:shd w:val="clear" w:color="auto" w:fill="000080"/>
    </w:pPr>
  </w:style>
  <w:style w:type="paragraph" w:styleId="11">
    <w:name w:val="annotation text"/>
    <w:basedOn w:val="1"/>
    <w:link w:val="146"/>
    <w:qFormat/>
    <w:uiPriority w:val="0"/>
    <w:pPr>
      <w:jc w:val="left"/>
    </w:pPr>
  </w:style>
  <w:style w:type="paragraph" w:styleId="12">
    <w:name w:val="index 6"/>
    <w:basedOn w:val="1"/>
    <w:next w:val="1"/>
    <w:qFormat/>
    <w:uiPriority w:val="0"/>
    <w:pPr>
      <w:ind w:left="1260" w:hanging="210"/>
      <w:jc w:val="left"/>
    </w:pPr>
    <w:rPr>
      <w:rFonts w:ascii="Calibri" w:hAnsi="Calibri"/>
      <w:sz w:val="20"/>
      <w:szCs w:val="20"/>
    </w:rPr>
  </w:style>
  <w:style w:type="paragraph" w:styleId="13">
    <w:name w:val="index 4"/>
    <w:basedOn w:val="1"/>
    <w:next w:val="1"/>
    <w:qFormat/>
    <w:uiPriority w:val="0"/>
    <w:pPr>
      <w:ind w:left="840" w:hanging="210"/>
      <w:jc w:val="left"/>
    </w:pPr>
    <w:rPr>
      <w:rFonts w:ascii="Calibri" w:hAnsi="Calibri"/>
      <w:sz w:val="20"/>
      <w:szCs w:val="20"/>
    </w:rPr>
  </w:style>
  <w:style w:type="paragraph" w:styleId="14">
    <w:name w:val="toc 5"/>
    <w:basedOn w:val="1"/>
    <w:next w:val="1"/>
    <w:semiHidden/>
    <w:qFormat/>
    <w:uiPriority w:val="0"/>
    <w:pPr>
      <w:tabs>
        <w:tab w:val="right" w:leader="dot" w:pos="9241"/>
      </w:tabs>
      <w:ind w:firstLine="300" w:firstLineChars="300"/>
      <w:jc w:val="left"/>
    </w:pPr>
    <w:rPr>
      <w:rFonts w:ascii="宋体"/>
      <w:szCs w:val="21"/>
    </w:rPr>
  </w:style>
  <w:style w:type="paragraph" w:styleId="15">
    <w:name w:val="toc 3"/>
    <w:basedOn w:val="1"/>
    <w:next w:val="1"/>
    <w:qFormat/>
    <w:uiPriority w:val="39"/>
    <w:pPr>
      <w:tabs>
        <w:tab w:val="right" w:leader="dot" w:pos="9241"/>
      </w:tabs>
      <w:ind w:firstLine="102" w:firstLineChars="100"/>
      <w:jc w:val="left"/>
    </w:pPr>
    <w:rPr>
      <w:rFonts w:ascii="宋体"/>
      <w:szCs w:val="21"/>
    </w:rPr>
  </w:style>
  <w:style w:type="paragraph" w:styleId="16">
    <w:name w:val="toc 8"/>
    <w:basedOn w:val="1"/>
    <w:next w:val="1"/>
    <w:semiHidden/>
    <w:qFormat/>
    <w:uiPriority w:val="0"/>
    <w:pPr>
      <w:tabs>
        <w:tab w:val="right" w:leader="dot" w:pos="9241"/>
      </w:tabs>
      <w:ind w:firstLine="607" w:firstLineChars="600"/>
      <w:jc w:val="left"/>
    </w:pPr>
    <w:rPr>
      <w:rFonts w:ascii="宋体"/>
      <w:szCs w:val="21"/>
    </w:rPr>
  </w:style>
  <w:style w:type="paragraph" w:styleId="17">
    <w:name w:val="index 3"/>
    <w:basedOn w:val="1"/>
    <w:next w:val="1"/>
    <w:qFormat/>
    <w:uiPriority w:val="0"/>
    <w:pPr>
      <w:ind w:left="630" w:hanging="210"/>
      <w:jc w:val="left"/>
    </w:pPr>
    <w:rPr>
      <w:rFonts w:ascii="Calibri" w:hAnsi="Calibri"/>
      <w:sz w:val="20"/>
      <w:szCs w:val="20"/>
    </w:rPr>
  </w:style>
  <w:style w:type="paragraph" w:styleId="18">
    <w:name w:val="Body Text Indent 2"/>
    <w:basedOn w:val="1"/>
    <w:qFormat/>
    <w:uiPriority w:val="0"/>
    <w:pPr>
      <w:spacing w:after="120" w:afterLines="0" w:afterAutospacing="0" w:line="480" w:lineRule="auto"/>
      <w:ind w:left="420" w:leftChars="200"/>
    </w:pPr>
  </w:style>
  <w:style w:type="paragraph" w:styleId="19">
    <w:name w:val="endnote text"/>
    <w:basedOn w:val="1"/>
    <w:semiHidden/>
    <w:qFormat/>
    <w:uiPriority w:val="0"/>
    <w:pPr>
      <w:snapToGrid w:val="0"/>
      <w:jc w:val="left"/>
    </w:pPr>
  </w:style>
  <w:style w:type="paragraph" w:styleId="20">
    <w:name w:val="Balloon Text"/>
    <w:basedOn w:val="1"/>
    <w:link w:val="145"/>
    <w:qFormat/>
    <w:uiPriority w:val="0"/>
    <w:rPr>
      <w:sz w:val="18"/>
      <w:szCs w:val="18"/>
    </w:rPr>
  </w:style>
  <w:style w:type="paragraph" w:styleId="21">
    <w:name w:val="footer"/>
    <w:basedOn w:val="1"/>
    <w:link w:val="63"/>
    <w:qFormat/>
    <w:uiPriority w:val="99"/>
    <w:pPr>
      <w:snapToGrid w:val="0"/>
      <w:ind w:right="210" w:rightChars="100"/>
      <w:jc w:val="right"/>
    </w:pPr>
    <w:rPr>
      <w:sz w:val="18"/>
      <w:szCs w:val="18"/>
    </w:rPr>
  </w:style>
  <w:style w:type="paragraph" w:styleId="22">
    <w:name w:val="header"/>
    <w:basedOn w:val="1"/>
    <w:link w:val="64"/>
    <w:qFormat/>
    <w:uiPriority w:val="99"/>
    <w:pPr>
      <w:snapToGrid w:val="0"/>
      <w:jc w:val="left"/>
    </w:pPr>
    <w:rPr>
      <w:sz w:val="18"/>
      <w:szCs w:val="18"/>
    </w:rPr>
  </w:style>
  <w:style w:type="paragraph" w:styleId="23">
    <w:name w:val="toc 1"/>
    <w:basedOn w:val="1"/>
    <w:next w:val="1"/>
    <w:qFormat/>
    <w:uiPriority w:val="39"/>
    <w:pPr>
      <w:tabs>
        <w:tab w:val="right" w:leader="dot" w:pos="9241"/>
      </w:tabs>
      <w:spacing w:beforeLines="25" w:afterLines="25"/>
      <w:jc w:val="left"/>
    </w:pPr>
    <w:rPr>
      <w:rFonts w:ascii="宋体"/>
      <w:szCs w:val="21"/>
    </w:rPr>
  </w:style>
  <w:style w:type="paragraph" w:styleId="24">
    <w:name w:val="toc 4"/>
    <w:basedOn w:val="1"/>
    <w:next w:val="1"/>
    <w:semiHidden/>
    <w:qFormat/>
    <w:uiPriority w:val="0"/>
    <w:pPr>
      <w:tabs>
        <w:tab w:val="right" w:leader="dot" w:pos="9241"/>
      </w:tabs>
      <w:ind w:firstLine="198" w:firstLineChars="200"/>
      <w:jc w:val="left"/>
    </w:pPr>
    <w:rPr>
      <w:rFonts w:ascii="宋体"/>
      <w:szCs w:val="21"/>
    </w:rPr>
  </w:style>
  <w:style w:type="paragraph" w:styleId="25">
    <w:name w:val="index heading"/>
    <w:basedOn w:val="1"/>
    <w:next w:val="26"/>
    <w:qFormat/>
    <w:uiPriority w:val="0"/>
    <w:pPr>
      <w:spacing w:before="120" w:after="120"/>
      <w:jc w:val="center"/>
    </w:pPr>
    <w:rPr>
      <w:rFonts w:ascii="Calibri" w:hAnsi="Calibri"/>
      <w:b/>
      <w:bCs/>
      <w:iCs/>
      <w:szCs w:val="20"/>
    </w:rPr>
  </w:style>
  <w:style w:type="paragraph" w:styleId="26">
    <w:name w:val="index 1"/>
    <w:basedOn w:val="1"/>
    <w:next w:val="27"/>
    <w:qFormat/>
    <w:uiPriority w:val="0"/>
    <w:pPr>
      <w:tabs>
        <w:tab w:val="right" w:leader="dot" w:pos="9299"/>
      </w:tabs>
      <w:jc w:val="left"/>
    </w:pPr>
    <w:rPr>
      <w:rFonts w:ascii="宋体"/>
      <w:szCs w:val="21"/>
    </w:rPr>
  </w:style>
  <w:style w:type="paragraph" w:customStyle="1" w:styleId="27">
    <w:name w:val="段"/>
    <w:link w:val="47"/>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styleId="28">
    <w:name w:val="footnote text"/>
    <w:basedOn w:val="1"/>
    <w:qFormat/>
    <w:uiPriority w:val="0"/>
    <w:pPr>
      <w:numPr>
        <w:ilvl w:val="0"/>
        <w:numId w:val="2"/>
      </w:numPr>
      <w:snapToGrid w:val="0"/>
      <w:jc w:val="left"/>
    </w:pPr>
    <w:rPr>
      <w:rFonts w:ascii="宋体"/>
      <w:sz w:val="18"/>
      <w:szCs w:val="18"/>
    </w:rPr>
  </w:style>
  <w:style w:type="paragraph" w:styleId="29">
    <w:name w:val="toc 6"/>
    <w:basedOn w:val="1"/>
    <w:next w:val="1"/>
    <w:semiHidden/>
    <w:qFormat/>
    <w:uiPriority w:val="0"/>
    <w:pPr>
      <w:tabs>
        <w:tab w:val="right" w:leader="dot" w:pos="9241"/>
      </w:tabs>
      <w:ind w:firstLine="403" w:firstLineChars="400"/>
      <w:jc w:val="left"/>
    </w:pPr>
    <w:rPr>
      <w:rFonts w:ascii="宋体"/>
      <w:szCs w:val="21"/>
    </w:rPr>
  </w:style>
  <w:style w:type="paragraph" w:styleId="30">
    <w:name w:val="index 7"/>
    <w:basedOn w:val="1"/>
    <w:next w:val="1"/>
    <w:qFormat/>
    <w:uiPriority w:val="0"/>
    <w:pPr>
      <w:ind w:left="1470" w:hanging="210"/>
      <w:jc w:val="left"/>
    </w:pPr>
    <w:rPr>
      <w:rFonts w:ascii="Calibri" w:hAnsi="Calibri"/>
      <w:sz w:val="20"/>
      <w:szCs w:val="20"/>
    </w:rPr>
  </w:style>
  <w:style w:type="paragraph" w:styleId="31">
    <w:name w:val="index 9"/>
    <w:basedOn w:val="1"/>
    <w:next w:val="1"/>
    <w:qFormat/>
    <w:uiPriority w:val="0"/>
    <w:pPr>
      <w:ind w:left="1890" w:hanging="210"/>
      <w:jc w:val="left"/>
    </w:pPr>
    <w:rPr>
      <w:rFonts w:ascii="Calibri" w:hAnsi="Calibri"/>
      <w:sz w:val="20"/>
      <w:szCs w:val="20"/>
    </w:rPr>
  </w:style>
  <w:style w:type="paragraph" w:styleId="32">
    <w:name w:val="toc 2"/>
    <w:basedOn w:val="1"/>
    <w:next w:val="1"/>
    <w:qFormat/>
    <w:uiPriority w:val="39"/>
    <w:pPr>
      <w:tabs>
        <w:tab w:val="right" w:leader="dot" w:pos="9241"/>
      </w:tabs>
    </w:pPr>
    <w:rPr>
      <w:rFonts w:ascii="宋体"/>
      <w:szCs w:val="21"/>
    </w:rPr>
  </w:style>
  <w:style w:type="paragraph" w:styleId="33">
    <w:name w:val="toc 9"/>
    <w:basedOn w:val="1"/>
    <w:next w:val="1"/>
    <w:semiHidden/>
    <w:qFormat/>
    <w:uiPriority w:val="0"/>
    <w:pPr>
      <w:ind w:left="1470"/>
      <w:jc w:val="left"/>
    </w:pPr>
    <w:rPr>
      <w:sz w:val="20"/>
      <w:szCs w:val="20"/>
    </w:rPr>
  </w:style>
  <w:style w:type="paragraph" w:styleId="34">
    <w:name w:val="Normal (Web)"/>
    <w:basedOn w:val="1"/>
    <w:unhideWhenUsed/>
    <w:qFormat/>
    <w:uiPriority w:val="99"/>
    <w:pPr>
      <w:jc w:val="left"/>
    </w:pPr>
    <w:rPr>
      <w:kern w:val="0"/>
      <w:sz w:val="24"/>
    </w:rPr>
  </w:style>
  <w:style w:type="paragraph" w:styleId="35">
    <w:name w:val="index 2"/>
    <w:basedOn w:val="1"/>
    <w:next w:val="1"/>
    <w:qFormat/>
    <w:uiPriority w:val="0"/>
    <w:pPr>
      <w:ind w:left="420" w:hanging="210"/>
      <w:jc w:val="left"/>
    </w:pPr>
    <w:rPr>
      <w:rFonts w:ascii="Calibri" w:hAnsi="Calibri"/>
      <w:sz w:val="20"/>
      <w:szCs w:val="20"/>
    </w:rPr>
  </w:style>
  <w:style w:type="paragraph" w:styleId="36">
    <w:name w:val="annotation subject"/>
    <w:basedOn w:val="11"/>
    <w:next w:val="11"/>
    <w:link w:val="147"/>
    <w:qFormat/>
    <w:uiPriority w:val="0"/>
    <w:rPr>
      <w:b/>
      <w:bCs/>
    </w:rPr>
  </w:style>
  <w:style w:type="table" w:styleId="38">
    <w:name w:val="Table Grid"/>
    <w:basedOn w:val="37"/>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qFormat/>
    <w:uiPriority w:val="0"/>
    <w:rPr>
      <w:vertAlign w:val="superscript"/>
    </w:rPr>
  </w:style>
  <w:style w:type="character" w:styleId="41">
    <w:name w:val="page number"/>
    <w:qFormat/>
    <w:uiPriority w:val="0"/>
    <w:rPr>
      <w:rFonts w:ascii="Times New Roman" w:hAnsi="Times New Roman" w:eastAsia="宋体"/>
      <w:sz w:val="18"/>
    </w:rPr>
  </w:style>
  <w:style w:type="character" w:styleId="42">
    <w:name w:val="FollowedHyperlink"/>
    <w:qFormat/>
    <w:uiPriority w:val="0"/>
    <w:rPr>
      <w:color w:val="800080"/>
      <w:u w:val="single"/>
    </w:rPr>
  </w:style>
  <w:style w:type="character" w:styleId="43">
    <w:name w:val="Hyperlink"/>
    <w:qFormat/>
    <w:uiPriority w:val="99"/>
    <w:rPr>
      <w:color w:val="0000FF"/>
      <w:spacing w:val="0"/>
      <w:w w:val="100"/>
      <w:szCs w:val="21"/>
      <w:u w:val="single"/>
    </w:rPr>
  </w:style>
  <w:style w:type="character" w:styleId="44">
    <w:name w:val="annotation reference"/>
    <w:qFormat/>
    <w:uiPriority w:val="0"/>
    <w:rPr>
      <w:sz w:val="21"/>
      <w:szCs w:val="21"/>
    </w:rPr>
  </w:style>
  <w:style w:type="character" w:styleId="45">
    <w:name w:val="footnote reference"/>
    <w:semiHidden/>
    <w:qFormat/>
    <w:uiPriority w:val="0"/>
    <w:rPr>
      <w:vertAlign w:val="superscript"/>
    </w:rPr>
  </w:style>
  <w:style w:type="character" w:customStyle="1" w:styleId="46">
    <w:name w:val="标题 1 Char"/>
    <w:basedOn w:val="39"/>
    <w:link w:val="2"/>
    <w:qFormat/>
    <w:uiPriority w:val="0"/>
    <w:rPr>
      <w:b/>
      <w:bCs/>
      <w:kern w:val="44"/>
      <w:sz w:val="44"/>
      <w:szCs w:val="44"/>
    </w:rPr>
  </w:style>
  <w:style w:type="character" w:customStyle="1" w:styleId="47">
    <w:name w:val="段 Char"/>
    <w:link w:val="27"/>
    <w:qFormat/>
    <w:uiPriority w:val="0"/>
    <w:rPr>
      <w:rFonts w:ascii="宋体"/>
      <w:sz w:val="21"/>
      <w:lang w:val="en-US" w:eastAsia="zh-CN" w:bidi="ar-SA"/>
    </w:rPr>
  </w:style>
  <w:style w:type="paragraph" w:customStyle="1" w:styleId="48">
    <w:name w:val="一级条标题"/>
    <w:next w:val="27"/>
    <w:qFormat/>
    <w:uiPriority w:val="0"/>
    <w:pPr>
      <w:numPr>
        <w:ilvl w:val="1"/>
        <w:numId w:val="3"/>
      </w:numPr>
      <w:spacing w:beforeLines="50" w:afterLines="50"/>
      <w:outlineLvl w:val="2"/>
    </w:pPr>
    <w:rPr>
      <w:rFonts w:ascii="黑体" w:hAnsi="Times New Roman" w:eastAsia="黑体" w:cs="Times New Roman"/>
      <w:sz w:val="21"/>
      <w:szCs w:val="21"/>
      <w:lang w:val="en-US" w:eastAsia="zh-CN" w:bidi="ar-SA"/>
    </w:rPr>
  </w:style>
  <w:style w:type="paragraph" w:customStyle="1" w:styleId="49">
    <w:name w:val="标准书脚_奇数页"/>
    <w:qFormat/>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50">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51">
    <w:name w:val="章标题"/>
    <w:next w:val="27"/>
    <w:qFormat/>
    <w:uiPriority w:val="0"/>
    <w:pPr>
      <w:numPr>
        <w:ilvl w:val="0"/>
        <w:numId w:val="3"/>
      </w:numPr>
      <w:spacing w:beforeLines="100" w:afterLines="100"/>
      <w:jc w:val="both"/>
      <w:outlineLvl w:val="1"/>
    </w:pPr>
    <w:rPr>
      <w:rFonts w:ascii="黑体" w:hAnsi="Times New Roman" w:eastAsia="黑体" w:cs="Times New Roman"/>
      <w:sz w:val="21"/>
      <w:lang w:val="en-US" w:eastAsia="zh-CN" w:bidi="ar-SA"/>
    </w:rPr>
  </w:style>
  <w:style w:type="paragraph" w:customStyle="1" w:styleId="52">
    <w:name w:val="二级条标题"/>
    <w:basedOn w:val="48"/>
    <w:next w:val="27"/>
    <w:qFormat/>
    <w:uiPriority w:val="0"/>
    <w:pPr>
      <w:numPr>
        <w:ilvl w:val="2"/>
      </w:numPr>
      <w:spacing w:before="50" w:after="50"/>
      <w:outlineLvl w:val="3"/>
    </w:pPr>
  </w:style>
  <w:style w:type="paragraph" w:customStyle="1" w:styleId="53">
    <w:name w:val="封面标准号2"/>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54">
    <w:name w:val="列项——（一级）"/>
    <w:qFormat/>
    <w:uiPriority w:val="0"/>
    <w:pPr>
      <w:widowControl w:val="0"/>
      <w:numPr>
        <w:ilvl w:val="0"/>
        <w:numId w:val="4"/>
      </w:numPr>
      <w:jc w:val="both"/>
    </w:pPr>
    <w:rPr>
      <w:rFonts w:ascii="宋体" w:hAnsi="Times New Roman" w:eastAsia="宋体" w:cs="Times New Roman"/>
      <w:sz w:val="21"/>
      <w:lang w:val="en-US" w:eastAsia="zh-CN" w:bidi="ar-SA"/>
    </w:rPr>
  </w:style>
  <w:style w:type="paragraph" w:customStyle="1" w:styleId="55">
    <w:name w:val="列项●（二级）"/>
    <w:qFormat/>
    <w:uiPriority w:val="0"/>
    <w:pPr>
      <w:numPr>
        <w:ilvl w:val="1"/>
        <w:numId w:val="4"/>
      </w:numPr>
      <w:tabs>
        <w:tab w:val="left" w:pos="840"/>
      </w:tabs>
      <w:jc w:val="both"/>
    </w:pPr>
    <w:rPr>
      <w:rFonts w:ascii="宋体" w:hAnsi="Times New Roman" w:eastAsia="宋体" w:cs="Times New Roman"/>
      <w:sz w:val="21"/>
      <w:lang w:val="en-US" w:eastAsia="zh-CN" w:bidi="ar-SA"/>
    </w:rPr>
  </w:style>
  <w:style w:type="paragraph" w:customStyle="1" w:styleId="56">
    <w:name w:val="目次、标准名称标题"/>
    <w:basedOn w:val="1"/>
    <w:next w:val="27"/>
    <w:qFormat/>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57">
    <w:name w:val="三级条标题"/>
    <w:basedOn w:val="52"/>
    <w:next w:val="27"/>
    <w:qFormat/>
    <w:uiPriority w:val="0"/>
    <w:pPr>
      <w:numPr>
        <w:ilvl w:val="3"/>
      </w:numPr>
      <w:outlineLvl w:val="4"/>
    </w:pPr>
  </w:style>
  <w:style w:type="paragraph" w:customStyle="1" w:styleId="58">
    <w:name w:val="示例"/>
    <w:next w:val="59"/>
    <w:qFormat/>
    <w:uiPriority w:val="0"/>
    <w:pPr>
      <w:widowControl w:val="0"/>
      <w:numPr>
        <w:ilvl w:val="0"/>
        <w:numId w:val="5"/>
      </w:numPr>
      <w:jc w:val="both"/>
    </w:pPr>
    <w:rPr>
      <w:rFonts w:ascii="宋体" w:hAnsi="Times New Roman" w:eastAsia="宋体" w:cs="Times New Roman"/>
      <w:sz w:val="18"/>
      <w:szCs w:val="18"/>
      <w:lang w:val="en-US" w:eastAsia="zh-CN" w:bidi="ar-SA"/>
    </w:rPr>
  </w:style>
  <w:style w:type="paragraph" w:customStyle="1" w:styleId="59">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60">
    <w:name w:val="数字编号列项（二级）"/>
    <w:qFormat/>
    <w:uiPriority w:val="0"/>
    <w:pPr>
      <w:numPr>
        <w:ilvl w:val="1"/>
        <w:numId w:val="6"/>
      </w:numPr>
      <w:jc w:val="both"/>
    </w:pPr>
    <w:rPr>
      <w:rFonts w:ascii="宋体" w:hAnsi="Times New Roman" w:eastAsia="宋体" w:cs="Times New Roman"/>
      <w:sz w:val="21"/>
      <w:lang w:val="en-US" w:eastAsia="zh-CN" w:bidi="ar-SA"/>
    </w:rPr>
  </w:style>
  <w:style w:type="paragraph" w:customStyle="1" w:styleId="61">
    <w:name w:val="四级条标题"/>
    <w:basedOn w:val="57"/>
    <w:next w:val="27"/>
    <w:qFormat/>
    <w:uiPriority w:val="0"/>
    <w:pPr>
      <w:numPr>
        <w:ilvl w:val="4"/>
      </w:numPr>
      <w:outlineLvl w:val="5"/>
    </w:pPr>
  </w:style>
  <w:style w:type="paragraph" w:customStyle="1" w:styleId="62">
    <w:name w:val="五级条标题"/>
    <w:basedOn w:val="61"/>
    <w:next w:val="27"/>
    <w:qFormat/>
    <w:uiPriority w:val="0"/>
    <w:pPr>
      <w:numPr>
        <w:ilvl w:val="5"/>
      </w:numPr>
      <w:outlineLvl w:val="6"/>
    </w:pPr>
  </w:style>
  <w:style w:type="character" w:customStyle="1" w:styleId="63">
    <w:name w:val="页脚 Char"/>
    <w:link w:val="21"/>
    <w:qFormat/>
    <w:uiPriority w:val="99"/>
    <w:rPr>
      <w:kern w:val="2"/>
      <w:sz w:val="18"/>
      <w:szCs w:val="18"/>
    </w:rPr>
  </w:style>
  <w:style w:type="character" w:customStyle="1" w:styleId="64">
    <w:name w:val="页眉 Char"/>
    <w:basedOn w:val="39"/>
    <w:link w:val="22"/>
    <w:qFormat/>
    <w:uiPriority w:val="99"/>
    <w:rPr>
      <w:kern w:val="2"/>
      <w:sz w:val="18"/>
      <w:szCs w:val="18"/>
    </w:rPr>
  </w:style>
  <w:style w:type="paragraph" w:customStyle="1" w:styleId="65">
    <w:name w:val="注："/>
    <w:next w:val="27"/>
    <w:qFormat/>
    <w:uiPriority w:val="0"/>
    <w:pPr>
      <w:widowControl w:val="0"/>
      <w:numPr>
        <w:ilvl w:val="0"/>
        <w:numId w:val="7"/>
      </w:numPr>
      <w:autoSpaceDE w:val="0"/>
      <w:autoSpaceDN w:val="0"/>
      <w:jc w:val="both"/>
    </w:pPr>
    <w:rPr>
      <w:rFonts w:ascii="宋体" w:hAnsi="Times New Roman" w:eastAsia="宋体" w:cs="Times New Roman"/>
      <w:sz w:val="18"/>
      <w:szCs w:val="18"/>
      <w:lang w:val="en-US" w:eastAsia="zh-CN" w:bidi="ar-SA"/>
    </w:rPr>
  </w:style>
  <w:style w:type="paragraph" w:customStyle="1" w:styleId="66">
    <w:name w:val="注×："/>
    <w:qFormat/>
    <w:uiPriority w:val="0"/>
    <w:pPr>
      <w:widowControl w:val="0"/>
      <w:numPr>
        <w:ilvl w:val="0"/>
        <w:numId w:val="8"/>
      </w:numPr>
      <w:autoSpaceDE w:val="0"/>
      <w:autoSpaceDN w:val="0"/>
      <w:jc w:val="both"/>
    </w:pPr>
    <w:rPr>
      <w:rFonts w:ascii="宋体" w:hAnsi="Times New Roman" w:eastAsia="宋体" w:cs="Times New Roman"/>
      <w:sz w:val="18"/>
      <w:szCs w:val="18"/>
      <w:lang w:val="en-US" w:eastAsia="zh-CN" w:bidi="ar-SA"/>
    </w:rPr>
  </w:style>
  <w:style w:type="paragraph" w:customStyle="1" w:styleId="67">
    <w:name w:val="字母编号列项（一级）"/>
    <w:qFormat/>
    <w:uiPriority w:val="0"/>
    <w:pPr>
      <w:numPr>
        <w:ilvl w:val="0"/>
        <w:numId w:val="6"/>
      </w:numPr>
      <w:jc w:val="both"/>
    </w:pPr>
    <w:rPr>
      <w:rFonts w:ascii="宋体" w:hAnsi="Times New Roman" w:eastAsia="宋体" w:cs="Times New Roman"/>
      <w:sz w:val="21"/>
      <w:lang w:val="en-US" w:eastAsia="zh-CN" w:bidi="ar-SA"/>
    </w:rPr>
  </w:style>
  <w:style w:type="paragraph" w:customStyle="1" w:styleId="68">
    <w:name w:val="列项◆（三级）"/>
    <w:basedOn w:val="1"/>
    <w:qFormat/>
    <w:uiPriority w:val="0"/>
    <w:pPr>
      <w:numPr>
        <w:ilvl w:val="2"/>
        <w:numId w:val="4"/>
      </w:numPr>
    </w:pPr>
    <w:rPr>
      <w:rFonts w:ascii="宋体"/>
      <w:szCs w:val="21"/>
    </w:rPr>
  </w:style>
  <w:style w:type="paragraph" w:customStyle="1" w:styleId="69">
    <w:name w:val="编号列项（三级）"/>
    <w:qFormat/>
    <w:uiPriority w:val="0"/>
    <w:pPr>
      <w:numPr>
        <w:ilvl w:val="2"/>
        <w:numId w:val="6"/>
      </w:numPr>
    </w:pPr>
    <w:rPr>
      <w:rFonts w:ascii="宋体" w:hAnsi="Times New Roman" w:eastAsia="宋体" w:cs="Times New Roman"/>
      <w:sz w:val="21"/>
      <w:lang w:val="en-US" w:eastAsia="zh-CN" w:bidi="ar-SA"/>
    </w:rPr>
  </w:style>
  <w:style w:type="paragraph" w:customStyle="1" w:styleId="70">
    <w:name w:val="示例×："/>
    <w:basedOn w:val="51"/>
    <w:qFormat/>
    <w:uiPriority w:val="0"/>
    <w:pPr>
      <w:numPr>
        <w:numId w:val="9"/>
      </w:numPr>
      <w:spacing w:beforeLines="0" w:afterLines="0"/>
      <w:outlineLvl w:val="9"/>
    </w:pPr>
    <w:rPr>
      <w:rFonts w:ascii="宋体" w:eastAsia="宋体"/>
      <w:sz w:val="18"/>
      <w:szCs w:val="18"/>
    </w:rPr>
  </w:style>
  <w:style w:type="paragraph" w:customStyle="1" w:styleId="71">
    <w:name w:val="二级无"/>
    <w:basedOn w:val="52"/>
    <w:qFormat/>
    <w:uiPriority w:val="0"/>
    <w:pPr>
      <w:spacing w:beforeLines="0" w:afterLines="0"/>
    </w:pPr>
    <w:rPr>
      <w:rFonts w:ascii="宋体" w:eastAsia="宋体"/>
    </w:rPr>
  </w:style>
  <w:style w:type="paragraph" w:customStyle="1" w:styleId="72">
    <w:name w:val="注：（正文）"/>
    <w:basedOn w:val="65"/>
    <w:next w:val="27"/>
    <w:qFormat/>
    <w:uiPriority w:val="0"/>
  </w:style>
  <w:style w:type="paragraph" w:customStyle="1" w:styleId="73">
    <w:name w:val="注×：（正文）"/>
    <w:qFormat/>
    <w:uiPriority w:val="0"/>
    <w:pPr>
      <w:numPr>
        <w:ilvl w:val="0"/>
        <w:numId w:val="10"/>
      </w:numPr>
      <w:jc w:val="both"/>
    </w:pPr>
    <w:rPr>
      <w:rFonts w:ascii="宋体" w:hAnsi="Times New Roman" w:eastAsia="宋体" w:cs="Times New Roman"/>
      <w:sz w:val="18"/>
      <w:szCs w:val="18"/>
      <w:lang w:val="en-US" w:eastAsia="zh-CN" w:bidi="ar-SA"/>
    </w:rPr>
  </w:style>
  <w:style w:type="paragraph" w:customStyle="1" w:styleId="74">
    <w:name w:val="标准标志"/>
    <w:next w:val="1"/>
    <w:qFormat/>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75">
    <w:name w:val="标准称谓"/>
    <w:next w:val="1"/>
    <w:qFormat/>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76">
    <w:name w:val="标准书脚_偶数页"/>
    <w:qFormat/>
    <w:uiPriority w:val="0"/>
    <w:pPr>
      <w:spacing w:before="120"/>
      <w:ind w:left="221"/>
    </w:pPr>
    <w:rPr>
      <w:rFonts w:ascii="宋体" w:hAnsi="Times New Roman" w:eastAsia="宋体" w:cs="Times New Roman"/>
      <w:sz w:val="18"/>
      <w:szCs w:val="18"/>
      <w:lang w:val="en-US" w:eastAsia="zh-CN" w:bidi="ar-SA"/>
    </w:rPr>
  </w:style>
  <w:style w:type="paragraph" w:customStyle="1" w:styleId="77">
    <w:name w:val="标准书眉_偶数页"/>
    <w:basedOn w:val="50"/>
    <w:next w:val="1"/>
    <w:qFormat/>
    <w:uiPriority w:val="0"/>
    <w:pPr>
      <w:jc w:val="left"/>
    </w:pPr>
  </w:style>
  <w:style w:type="paragraph" w:customStyle="1" w:styleId="78">
    <w:name w:val="标准书眉一"/>
    <w:qFormat/>
    <w:uiPriority w:val="0"/>
    <w:pPr>
      <w:jc w:val="both"/>
    </w:pPr>
    <w:rPr>
      <w:rFonts w:ascii="Times New Roman" w:hAnsi="Times New Roman" w:eastAsia="宋体" w:cs="Times New Roman"/>
      <w:lang w:val="en-US" w:eastAsia="zh-CN" w:bidi="ar-SA"/>
    </w:rPr>
  </w:style>
  <w:style w:type="paragraph" w:customStyle="1" w:styleId="79">
    <w:name w:val="参考文献"/>
    <w:basedOn w:val="1"/>
    <w:next w:val="27"/>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80">
    <w:name w:val="参考文献、索引标题"/>
    <w:basedOn w:val="1"/>
    <w:next w:val="27"/>
    <w:qFormat/>
    <w:uiPriority w:val="0"/>
    <w:pPr>
      <w:keepNext/>
      <w:pageBreakBefore/>
      <w:widowControl/>
      <w:shd w:val="clear" w:color="FFFFFF" w:fill="FFFFFF"/>
      <w:spacing w:before="640" w:after="200"/>
      <w:jc w:val="center"/>
      <w:outlineLvl w:val="0"/>
    </w:pPr>
    <w:rPr>
      <w:rFonts w:ascii="黑体" w:eastAsia="黑体"/>
      <w:kern w:val="0"/>
      <w:szCs w:val="20"/>
    </w:rPr>
  </w:style>
  <w:style w:type="character" w:customStyle="1" w:styleId="81">
    <w:name w:val="发布"/>
    <w:qFormat/>
    <w:uiPriority w:val="0"/>
    <w:rPr>
      <w:rFonts w:ascii="黑体" w:eastAsia="黑体"/>
      <w:spacing w:val="85"/>
      <w:w w:val="100"/>
      <w:position w:val="3"/>
      <w:sz w:val="28"/>
      <w:szCs w:val="28"/>
    </w:rPr>
  </w:style>
  <w:style w:type="paragraph" w:customStyle="1" w:styleId="82">
    <w:name w:val="发布部门"/>
    <w:next w:val="27"/>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83">
    <w:name w:val="发布日期"/>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84">
    <w:name w:val="封面标准代替信息"/>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85">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86">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87">
    <w:name w:val="封面标准英文名称"/>
    <w:basedOn w:val="86"/>
    <w:qFormat/>
    <w:uiPriority w:val="0"/>
    <w:pPr>
      <w:spacing w:before="370" w:line="400" w:lineRule="exact"/>
    </w:pPr>
    <w:rPr>
      <w:rFonts w:ascii="Times New Roman"/>
      <w:sz w:val="28"/>
      <w:szCs w:val="28"/>
    </w:rPr>
  </w:style>
  <w:style w:type="paragraph" w:customStyle="1" w:styleId="88">
    <w:name w:val="封面一致性程度标识"/>
    <w:basedOn w:val="87"/>
    <w:qFormat/>
    <w:uiPriority w:val="0"/>
    <w:pPr>
      <w:spacing w:before="440"/>
    </w:pPr>
    <w:rPr>
      <w:rFonts w:ascii="宋体" w:eastAsia="宋体"/>
    </w:rPr>
  </w:style>
  <w:style w:type="paragraph" w:customStyle="1" w:styleId="89">
    <w:name w:val="封面标准文稿类别"/>
    <w:basedOn w:val="88"/>
    <w:qFormat/>
    <w:uiPriority w:val="0"/>
    <w:pPr>
      <w:spacing w:after="160" w:line="240" w:lineRule="auto"/>
    </w:pPr>
    <w:rPr>
      <w:sz w:val="24"/>
    </w:rPr>
  </w:style>
  <w:style w:type="paragraph" w:customStyle="1" w:styleId="90">
    <w:name w:val="封面标准文稿编辑信息"/>
    <w:basedOn w:val="89"/>
    <w:qFormat/>
    <w:uiPriority w:val="0"/>
    <w:pPr>
      <w:spacing w:before="180" w:line="180" w:lineRule="exact"/>
    </w:pPr>
    <w:rPr>
      <w:sz w:val="21"/>
    </w:rPr>
  </w:style>
  <w:style w:type="paragraph" w:customStyle="1" w:styleId="91">
    <w:name w:val="封面正文"/>
    <w:qFormat/>
    <w:uiPriority w:val="0"/>
    <w:pPr>
      <w:jc w:val="both"/>
    </w:pPr>
    <w:rPr>
      <w:rFonts w:ascii="Times New Roman" w:hAnsi="Times New Roman" w:eastAsia="宋体" w:cs="Times New Roman"/>
      <w:lang w:val="en-US" w:eastAsia="zh-CN" w:bidi="ar-SA"/>
    </w:rPr>
  </w:style>
  <w:style w:type="paragraph" w:customStyle="1" w:styleId="92">
    <w:name w:val="附录标识"/>
    <w:basedOn w:val="1"/>
    <w:next w:val="27"/>
    <w:qFormat/>
    <w:uiPriority w:val="0"/>
    <w:pPr>
      <w:keepNext/>
      <w:widowControl/>
      <w:numPr>
        <w:ilvl w:val="0"/>
        <w:numId w:val="11"/>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93">
    <w:name w:val="附录标题"/>
    <w:basedOn w:val="27"/>
    <w:next w:val="27"/>
    <w:qFormat/>
    <w:uiPriority w:val="0"/>
    <w:pPr>
      <w:ind w:firstLine="0" w:firstLineChars="0"/>
      <w:jc w:val="center"/>
    </w:pPr>
    <w:rPr>
      <w:rFonts w:ascii="黑体" w:eastAsia="黑体"/>
    </w:rPr>
  </w:style>
  <w:style w:type="paragraph" w:customStyle="1" w:styleId="94">
    <w:name w:val="附录表标号"/>
    <w:basedOn w:val="1"/>
    <w:next w:val="27"/>
    <w:qFormat/>
    <w:uiPriority w:val="0"/>
    <w:pPr>
      <w:numPr>
        <w:ilvl w:val="0"/>
        <w:numId w:val="12"/>
      </w:numPr>
      <w:tabs>
        <w:tab w:val="clear" w:pos="0"/>
      </w:tabs>
      <w:spacing w:line="14" w:lineRule="exact"/>
      <w:ind w:left="811" w:hanging="448"/>
      <w:jc w:val="center"/>
      <w:outlineLvl w:val="0"/>
    </w:pPr>
    <w:rPr>
      <w:color w:val="FFFFFF"/>
    </w:rPr>
  </w:style>
  <w:style w:type="paragraph" w:customStyle="1" w:styleId="95">
    <w:name w:val="附录表标题"/>
    <w:basedOn w:val="1"/>
    <w:next w:val="27"/>
    <w:qFormat/>
    <w:uiPriority w:val="0"/>
    <w:pPr>
      <w:numPr>
        <w:ilvl w:val="1"/>
        <w:numId w:val="12"/>
      </w:numPr>
      <w:tabs>
        <w:tab w:val="left" w:pos="180"/>
      </w:tabs>
      <w:spacing w:beforeLines="50" w:afterLines="50"/>
      <w:ind w:left="0" w:firstLine="0"/>
      <w:jc w:val="center"/>
    </w:pPr>
    <w:rPr>
      <w:rFonts w:ascii="黑体" w:eastAsia="黑体"/>
      <w:szCs w:val="21"/>
    </w:rPr>
  </w:style>
  <w:style w:type="paragraph" w:customStyle="1" w:styleId="96">
    <w:name w:val="附录二级条标题"/>
    <w:basedOn w:val="1"/>
    <w:next w:val="27"/>
    <w:qFormat/>
    <w:uiPriority w:val="0"/>
    <w:pPr>
      <w:widowControl/>
      <w:numPr>
        <w:ilvl w:val="3"/>
        <w:numId w:val="11"/>
      </w:numPr>
      <w:tabs>
        <w:tab w:val="left"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97">
    <w:name w:val="附录二级无"/>
    <w:basedOn w:val="96"/>
    <w:qFormat/>
    <w:uiPriority w:val="0"/>
    <w:pPr>
      <w:tabs>
        <w:tab w:val="clear" w:pos="360"/>
      </w:tabs>
      <w:spacing w:beforeLines="0" w:afterLines="0"/>
    </w:pPr>
    <w:rPr>
      <w:rFonts w:ascii="宋体" w:eastAsia="宋体"/>
      <w:szCs w:val="21"/>
    </w:rPr>
  </w:style>
  <w:style w:type="paragraph" w:customStyle="1" w:styleId="98">
    <w:name w:val="附录公式"/>
    <w:basedOn w:val="27"/>
    <w:next w:val="27"/>
    <w:link w:val="99"/>
    <w:qFormat/>
    <w:uiPriority w:val="0"/>
  </w:style>
  <w:style w:type="character" w:customStyle="1" w:styleId="99">
    <w:name w:val="附录公式 Char"/>
    <w:basedOn w:val="47"/>
    <w:link w:val="98"/>
    <w:qFormat/>
    <w:uiPriority w:val="0"/>
    <w:rPr>
      <w:rFonts w:ascii="宋体"/>
      <w:sz w:val="21"/>
      <w:lang w:val="en-US" w:eastAsia="zh-CN" w:bidi="ar-SA"/>
    </w:rPr>
  </w:style>
  <w:style w:type="paragraph" w:customStyle="1" w:styleId="100">
    <w:name w:val="附录公式编号制表符"/>
    <w:basedOn w:val="1"/>
    <w:next w:val="27"/>
    <w:qFormat/>
    <w:uiPriority w:val="0"/>
    <w:pPr>
      <w:widowControl/>
      <w:tabs>
        <w:tab w:val="center" w:pos="4201"/>
        <w:tab w:val="right" w:leader="dot" w:pos="9298"/>
      </w:tabs>
      <w:autoSpaceDE w:val="0"/>
      <w:autoSpaceDN w:val="0"/>
    </w:pPr>
    <w:rPr>
      <w:rFonts w:ascii="宋体"/>
      <w:kern w:val="0"/>
      <w:szCs w:val="20"/>
    </w:rPr>
  </w:style>
  <w:style w:type="paragraph" w:customStyle="1" w:styleId="101">
    <w:name w:val="附录三级条标题"/>
    <w:basedOn w:val="96"/>
    <w:next w:val="27"/>
    <w:qFormat/>
    <w:uiPriority w:val="0"/>
    <w:pPr>
      <w:numPr>
        <w:ilvl w:val="4"/>
      </w:numPr>
      <w:outlineLvl w:val="4"/>
    </w:pPr>
  </w:style>
  <w:style w:type="paragraph" w:customStyle="1" w:styleId="102">
    <w:name w:val="附录三级无"/>
    <w:basedOn w:val="101"/>
    <w:qFormat/>
    <w:uiPriority w:val="0"/>
    <w:pPr>
      <w:tabs>
        <w:tab w:val="clear" w:pos="360"/>
      </w:tabs>
      <w:spacing w:beforeLines="0" w:afterLines="0"/>
    </w:pPr>
    <w:rPr>
      <w:rFonts w:ascii="宋体" w:eastAsia="宋体"/>
      <w:szCs w:val="21"/>
    </w:rPr>
  </w:style>
  <w:style w:type="paragraph" w:customStyle="1" w:styleId="103">
    <w:name w:val="附录数字编号列项（二级）"/>
    <w:qFormat/>
    <w:uiPriority w:val="0"/>
    <w:pPr>
      <w:numPr>
        <w:ilvl w:val="1"/>
        <w:numId w:val="13"/>
      </w:numPr>
    </w:pPr>
    <w:rPr>
      <w:rFonts w:ascii="宋体" w:hAnsi="Times New Roman" w:eastAsia="宋体" w:cs="Times New Roman"/>
      <w:sz w:val="21"/>
      <w:lang w:val="en-US" w:eastAsia="zh-CN" w:bidi="ar-SA"/>
    </w:rPr>
  </w:style>
  <w:style w:type="paragraph" w:customStyle="1" w:styleId="104">
    <w:name w:val="附录四级条标题"/>
    <w:basedOn w:val="101"/>
    <w:next w:val="27"/>
    <w:qFormat/>
    <w:uiPriority w:val="0"/>
    <w:pPr>
      <w:numPr>
        <w:ilvl w:val="5"/>
      </w:numPr>
      <w:outlineLvl w:val="5"/>
    </w:pPr>
  </w:style>
  <w:style w:type="paragraph" w:customStyle="1" w:styleId="105">
    <w:name w:val="附录四级无"/>
    <w:basedOn w:val="104"/>
    <w:qFormat/>
    <w:uiPriority w:val="0"/>
    <w:pPr>
      <w:tabs>
        <w:tab w:val="clear" w:pos="360"/>
      </w:tabs>
      <w:spacing w:beforeLines="0" w:afterLines="0"/>
    </w:pPr>
    <w:rPr>
      <w:rFonts w:ascii="宋体" w:eastAsia="宋体"/>
      <w:szCs w:val="21"/>
    </w:rPr>
  </w:style>
  <w:style w:type="paragraph" w:customStyle="1" w:styleId="106">
    <w:name w:val="附录图标号"/>
    <w:basedOn w:val="1"/>
    <w:qFormat/>
    <w:uiPriority w:val="0"/>
    <w:pPr>
      <w:keepNext/>
      <w:pageBreakBefore/>
      <w:widowControl/>
      <w:numPr>
        <w:ilvl w:val="0"/>
        <w:numId w:val="14"/>
      </w:numPr>
      <w:spacing w:line="14" w:lineRule="exact"/>
      <w:ind w:left="0" w:firstLine="363"/>
      <w:jc w:val="center"/>
      <w:outlineLvl w:val="0"/>
    </w:pPr>
    <w:rPr>
      <w:color w:val="FFFFFF"/>
    </w:rPr>
  </w:style>
  <w:style w:type="paragraph" w:customStyle="1" w:styleId="107">
    <w:name w:val="附录图标题"/>
    <w:basedOn w:val="1"/>
    <w:next w:val="27"/>
    <w:qFormat/>
    <w:uiPriority w:val="0"/>
    <w:pPr>
      <w:numPr>
        <w:ilvl w:val="1"/>
        <w:numId w:val="14"/>
      </w:numPr>
      <w:tabs>
        <w:tab w:val="left" w:pos="363"/>
      </w:tabs>
      <w:spacing w:beforeLines="50" w:afterLines="50"/>
      <w:ind w:left="0" w:firstLine="0"/>
      <w:jc w:val="center"/>
    </w:pPr>
    <w:rPr>
      <w:rFonts w:ascii="黑体" w:eastAsia="黑体"/>
      <w:szCs w:val="21"/>
    </w:rPr>
  </w:style>
  <w:style w:type="paragraph" w:customStyle="1" w:styleId="108">
    <w:name w:val="附录五级条标题"/>
    <w:basedOn w:val="104"/>
    <w:next w:val="27"/>
    <w:qFormat/>
    <w:uiPriority w:val="0"/>
    <w:pPr>
      <w:numPr>
        <w:ilvl w:val="0"/>
        <w:numId w:val="0"/>
      </w:numPr>
      <w:outlineLvl w:val="6"/>
    </w:pPr>
  </w:style>
  <w:style w:type="paragraph" w:customStyle="1" w:styleId="109">
    <w:name w:val="附录五级无"/>
    <w:basedOn w:val="108"/>
    <w:qFormat/>
    <w:uiPriority w:val="0"/>
    <w:pPr>
      <w:tabs>
        <w:tab w:val="clear" w:pos="360"/>
      </w:tabs>
      <w:spacing w:beforeLines="0" w:afterLines="0"/>
    </w:pPr>
    <w:rPr>
      <w:rFonts w:ascii="宋体" w:eastAsia="宋体"/>
      <w:szCs w:val="21"/>
    </w:rPr>
  </w:style>
  <w:style w:type="paragraph" w:customStyle="1" w:styleId="110">
    <w:name w:val="附录章标题"/>
    <w:next w:val="27"/>
    <w:qFormat/>
    <w:uiPriority w:val="0"/>
    <w:pPr>
      <w:numPr>
        <w:ilvl w:val="1"/>
        <w:numId w:val="11"/>
      </w:numPr>
      <w:tabs>
        <w:tab w:val="left" w:pos="360"/>
      </w:tabs>
      <w:wordWrap w:val="0"/>
      <w:overflowPunct w:val="0"/>
      <w:autoSpaceDE w:val="0"/>
      <w:spacing w:beforeLines="100" w:afterLines="100"/>
      <w:ind w:left="0"/>
      <w:jc w:val="both"/>
      <w:textAlignment w:val="baseline"/>
      <w:outlineLvl w:val="1"/>
    </w:pPr>
    <w:rPr>
      <w:rFonts w:ascii="黑体" w:hAnsi="Times New Roman" w:eastAsia="黑体" w:cs="Times New Roman"/>
      <w:kern w:val="21"/>
      <w:sz w:val="21"/>
      <w:lang w:val="en-US" w:eastAsia="zh-CN" w:bidi="ar-SA"/>
    </w:rPr>
  </w:style>
  <w:style w:type="paragraph" w:customStyle="1" w:styleId="111">
    <w:name w:val="附录一级条标题"/>
    <w:basedOn w:val="110"/>
    <w:next w:val="27"/>
    <w:qFormat/>
    <w:uiPriority w:val="0"/>
    <w:pPr>
      <w:numPr>
        <w:ilvl w:val="0"/>
        <w:numId w:val="0"/>
      </w:numPr>
      <w:autoSpaceDN w:val="0"/>
      <w:spacing w:beforeLines="50" w:afterLines="50"/>
      <w:outlineLvl w:val="2"/>
    </w:pPr>
  </w:style>
  <w:style w:type="paragraph" w:customStyle="1" w:styleId="112">
    <w:name w:val="附录一级无"/>
    <w:basedOn w:val="111"/>
    <w:qFormat/>
    <w:uiPriority w:val="0"/>
    <w:pPr>
      <w:tabs>
        <w:tab w:val="clear" w:pos="360"/>
      </w:tabs>
      <w:spacing w:beforeLines="0" w:afterLines="0"/>
    </w:pPr>
    <w:rPr>
      <w:rFonts w:ascii="宋体" w:eastAsia="宋体"/>
      <w:szCs w:val="21"/>
    </w:rPr>
  </w:style>
  <w:style w:type="paragraph" w:customStyle="1" w:styleId="113">
    <w:name w:val="附录字母编号列项（一级）"/>
    <w:qFormat/>
    <w:uiPriority w:val="0"/>
    <w:pPr>
      <w:numPr>
        <w:ilvl w:val="0"/>
        <w:numId w:val="13"/>
      </w:numPr>
    </w:pPr>
    <w:rPr>
      <w:rFonts w:ascii="宋体" w:hAnsi="Times New Roman" w:eastAsia="宋体" w:cs="Times New Roman"/>
      <w:sz w:val="21"/>
      <w:lang w:val="en-US" w:eastAsia="zh-CN" w:bidi="ar-SA"/>
    </w:rPr>
  </w:style>
  <w:style w:type="paragraph" w:customStyle="1" w:styleId="114">
    <w:name w:val="列项说明"/>
    <w:basedOn w:val="1"/>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15">
    <w:name w:val="列项说明数字编号"/>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1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17">
    <w:name w:val="其他标准标志"/>
    <w:basedOn w:val="74"/>
    <w:qFormat/>
    <w:uiPriority w:val="0"/>
    <w:pPr>
      <w:framePr w:w="6101" w:vAnchor="page" w:hAnchor="page" w:x="4673" w:y="942"/>
    </w:pPr>
    <w:rPr>
      <w:w w:val="130"/>
    </w:rPr>
  </w:style>
  <w:style w:type="paragraph" w:customStyle="1" w:styleId="118">
    <w:name w:val="其他标准称谓"/>
    <w:next w:val="1"/>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119">
    <w:name w:val="其他发布部门"/>
    <w:basedOn w:val="82"/>
    <w:qFormat/>
    <w:uiPriority w:val="0"/>
    <w:pPr>
      <w:framePr w:y="15310"/>
      <w:spacing w:line="0" w:lineRule="atLeast"/>
    </w:pPr>
    <w:rPr>
      <w:rFonts w:ascii="黑体" w:eastAsia="黑体"/>
      <w:b w:val="0"/>
    </w:rPr>
  </w:style>
  <w:style w:type="paragraph" w:customStyle="1" w:styleId="120">
    <w:name w:val="前言、引言标题"/>
    <w:next w:val="27"/>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21">
    <w:name w:val="三级无"/>
    <w:basedOn w:val="57"/>
    <w:qFormat/>
    <w:uiPriority w:val="0"/>
    <w:pPr>
      <w:spacing w:beforeLines="0" w:afterLines="0"/>
    </w:pPr>
    <w:rPr>
      <w:rFonts w:ascii="宋体" w:eastAsia="宋体"/>
    </w:rPr>
  </w:style>
  <w:style w:type="paragraph" w:customStyle="1" w:styleId="122">
    <w:name w:val="实施日期"/>
    <w:basedOn w:val="83"/>
    <w:qFormat/>
    <w:uiPriority w:val="0"/>
    <w:pPr>
      <w:framePr w:vAnchor="page" w:hAnchor="text"/>
      <w:jc w:val="right"/>
    </w:pPr>
  </w:style>
  <w:style w:type="paragraph" w:customStyle="1" w:styleId="123">
    <w:name w:val="示例后文字"/>
    <w:basedOn w:val="27"/>
    <w:next w:val="27"/>
    <w:qFormat/>
    <w:uiPriority w:val="0"/>
    <w:pPr>
      <w:ind w:firstLine="360"/>
    </w:pPr>
    <w:rPr>
      <w:sz w:val="18"/>
    </w:rPr>
  </w:style>
  <w:style w:type="paragraph" w:customStyle="1" w:styleId="124">
    <w:name w:val="首示例"/>
    <w:next w:val="27"/>
    <w:link w:val="125"/>
    <w:qFormat/>
    <w:uiPriority w:val="0"/>
    <w:pPr>
      <w:numPr>
        <w:ilvl w:val="0"/>
        <w:numId w:val="15"/>
      </w:numPr>
      <w:tabs>
        <w:tab w:val="left" w:pos="360"/>
      </w:tabs>
      <w:ind w:firstLine="0"/>
    </w:pPr>
    <w:rPr>
      <w:rFonts w:ascii="宋体" w:hAnsi="宋体" w:eastAsia="宋体" w:cs="Times New Roman"/>
      <w:kern w:val="2"/>
      <w:sz w:val="18"/>
      <w:szCs w:val="18"/>
      <w:lang w:val="en-US" w:eastAsia="zh-CN" w:bidi="ar-SA"/>
    </w:rPr>
  </w:style>
  <w:style w:type="character" w:customStyle="1" w:styleId="125">
    <w:name w:val="首示例 Char"/>
    <w:link w:val="124"/>
    <w:qFormat/>
    <w:uiPriority w:val="0"/>
    <w:rPr>
      <w:rFonts w:ascii="宋体" w:hAnsi="宋体"/>
      <w:kern w:val="2"/>
      <w:sz w:val="18"/>
      <w:szCs w:val="18"/>
    </w:rPr>
  </w:style>
  <w:style w:type="paragraph" w:customStyle="1" w:styleId="126">
    <w:name w:val="四级无"/>
    <w:basedOn w:val="61"/>
    <w:qFormat/>
    <w:uiPriority w:val="0"/>
    <w:pPr>
      <w:spacing w:beforeLines="0" w:afterLines="0"/>
    </w:pPr>
    <w:rPr>
      <w:rFonts w:ascii="宋体" w:eastAsia="宋体"/>
    </w:rPr>
  </w:style>
  <w:style w:type="paragraph" w:customStyle="1" w:styleId="127">
    <w:name w:val="条文脚注"/>
    <w:basedOn w:val="28"/>
    <w:qFormat/>
    <w:uiPriority w:val="0"/>
    <w:pPr>
      <w:numPr>
        <w:numId w:val="0"/>
      </w:numPr>
      <w:jc w:val="both"/>
    </w:pPr>
  </w:style>
  <w:style w:type="paragraph" w:customStyle="1" w:styleId="128">
    <w:name w:val="图标脚注说明"/>
    <w:basedOn w:val="27"/>
    <w:qFormat/>
    <w:uiPriority w:val="0"/>
    <w:pPr>
      <w:ind w:left="840" w:hanging="420" w:firstLineChars="0"/>
    </w:pPr>
    <w:rPr>
      <w:sz w:val="18"/>
      <w:szCs w:val="18"/>
    </w:rPr>
  </w:style>
  <w:style w:type="paragraph" w:customStyle="1" w:styleId="129">
    <w:name w:val="图表脚注说明"/>
    <w:basedOn w:val="1"/>
    <w:qFormat/>
    <w:uiPriority w:val="0"/>
    <w:pPr>
      <w:numPr>
        <w:ilvl w:val="0"/>
        <w:numId w:val="16"/>
      </w:numPr>
    </w:pPr>
    <w:rPr>
      <w:rFonts w:ascii="宋体"/>
      <w:sz w:val="18"/>
      <w:szCs w:val="18"/>
    </w:rPr>
  </w:style>
  <w:style w:type="paragraph" w:customStyle="1" w:styleId="130">
    <w:name w:val="图的脚注"/>
    <w:next w:val="27"/>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31">
    <w:name w:val="文献分类号"/>
    <w:qFormat/>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132">
    <w:name w:val="五级无"/>
    <w:basedOn w:val="62"/>
    <w:qFormat/>
    <w:uiPriority w:val="0"/>
    <w:pPr>
      <w:spacing w:beforeLines="0" w:afterLines="0"/>
    </w:pPr>
    <w:rPr>
      <w:rFonts w:ascii="宋体" w:eastAsia="宋体"/>
    </w:rPr>
  </w:style>
  <w:style w:type="paragraph" w:customStyle="1" w:styleId="133">
    <w:name w:val="一级无"/>
    <w:basedOn w:val="48"/>
    <w:qFormat/>
    <w:uiPriority w:val="0"/>
    <w:pPr>
      <w:spacing w:beforeLines="0" w:afterLines="0"/>
    </w:pPr>
    <w:rPr>
      <w:rFonts w:ascii="宋体" w:eastAsia="宋体"/>
    </w:rPr>
  </w:style>
  <w:style w:type="paragraph" w:customStyle="1" w:styleId="134">
    <w:name w:val="正文表标题"/>
    <w:next w:val="27"/>
    <w:qFormat/>
    <w:uiPriority w:val="0"/>
    <w:pPr>
      <w:numPr>
        <w:ilvl w:val="0"/>
        <w:numId w:val="17"/>
      </w:num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35">
    <w:name w:val="正文公式编号制表符"/>
    <w:basedOn w:val="27"/>
    <w:next w:val="27"/>
    <w:qFormat/>
    <w:uiPriority w:val="0"/>
    <w:pPr>
      <w:ind w:firstLine="0" w:firstLineChars="0"/>
    </w:pPr>
  </w:style>
  <w:style w:type="paragraph" w:customStyle="1" w:styleId="136">
    <w:name w:val="正文图标题"/>
    <w:next w:val="27"/>
    <w:qFormat/>
    <w:uiPriority w:val="0"/>
    <w:pPr>
      <w:numPr>
        <w:ilvl w:val="0"/>
        <w:numId w:val="18"/>
      </w:num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37">
    <w:name w:val="终结线"/>
    <w:basedOn w:val="1"/>
    <w:qFormat/>
    <w:uiPriority w:val="0"/>
    <w:pPr>
      <w:framePr w:hSpace="181" w:vSpace="181" w:wrap="around" w:vAnchor="text" w:hAnchor="margin" w:xAlign="center" w:y="285"/>
    </w:pPr>
  </w:style>
  <w:style w:type="paragraph" w:customStyle="1" w:styleId="138">
    <w:name w:val="其他发布日期"/>
    <w:basedOn w:val="83"/>
    <w:qFormat/>
    <w:uiPriority w:val="0"/>
    <w:pPr>
      <w:framePr w:vAnchor="page" w:hAnchor="text" w:x="1419"/>
    </w:pPr>
  </w:style>
  <w:style w:type="paragraph" w:customStyle="1" w:styleId="139">
    <w:name w:val="其他实施日期"/>
    <w:basedOn w:val="122"/>
    <w:qFormat/>
    <w:uiPriority w:val="0"/>
  </w:style>
  <w:style w:type="paragraph" w:customStyle="1" w:styleId="140">
    <w:name w:val="封面标准名称2"/>
    <w:basedOn w:val="86"/>
    <w:qFormat/>
    <w:uiPriority w:val="0"/>
    <w:pPr>
      <w:framePr w:y="4469"/>
      <w:spacing w:beforeLines="630"/>
    </w:pPr>
  </w:style>
  <w:style w:type="paragraph" w:customStyle="1" w:styleId="141">
    <w:name w:val="封面标准英文名称2"/>
    <w:basedOn w:val="87"/>
    <w:qFormat/>
    <w:uiPriority w:val="0"/>
    <w:pPr>
      <w:framePr w:y="4469"/>
    </w:pPr>
  </w:style>
  <w:style w:type="paragraph" w:customStyle="1" w:styleId="142">
    <w:name w:val="封面一致性程度标识2"/>
    <w:basedOn w:val="88"/>
    <w:qFormat/>
    <w:uiPriority w:val="0"/>
    <w:pPr>
      <w:framePr w:y="4469"/>
    </w:pPr>
  </w:style>
  <w:style w:type="paragraph" w:customStyle="1" w:styleId="143">
    <w:name w:val="封面标准文稿类别2"/>
    <w:basedOn w:val="89"/>
    <w:qFormat/>
    <w:uiPriority w:val="0"/>
    <w:pPr>
      <w:framePr w:y="4469"/>
    </w:pPr>
  </w:style>
  <w:style w:type="paragraph" w:customStyle="1" w:styleId="144">
    <w:name w:val="封面标准文稿编辑信息2"/>
    <w:basedOn w:val="90"/>
    <w:qFormat/>
    <w:uiPriority w:val="0"/>
    <w:pPr>
      <w:framePr w:y="4469"/>
    </w:pPr>
  </w:style>
  <w:style w:type="character" w:customStyle="1" w:styleId="145">
    <w:name w:val="批注框文本 Char"/>
    <w:link w:val="20"/>
    <w:qFormat/>
    <w:uiPriority w:val="0"/>
    <w:rPr>
      <w:kern w:val="2"/>
      <w:sz w:val="18"/>
      <w:szCs w:val="18"/>
    </w:rPr>
  </w:style>
  <w:style w:type="character" w:customStyle="1" w:styleId="146">
    <w:name w:val="批注文字 Char"/>
    <w:link w:val="11"/>
    <w:qFormat/>
    <w:uiPriority w:val="0"/>
    <w:rPr>
      <w:kern w:val="2"/>
      <w:sz w:val="21"/>
      <w:szCs w:val="24"/>
    </w:rPr>
  </w:style>
  <w:style w:type="character" w:customStyle="1" w:styleId="147">
    <w:name w:val="批注主题 Char"/>
    <w:link w:val="36"/>
    <w:qFormat/>
    <w:uiPriority w:val="0"/>
    <w:rPr>
      <w:b/>
      <w:bCs/>
      <w:kern w:val="2"/>
      <w:sz w:val="21"/>
      <w:szCs w:val="24"/>
    </w:rPr>
  </w:style>
  <w:style w:type="paragraph" w:customStyle="1" w:styleId="148">
    <w:name w:val="List Paragraph"/>
    <w:basedOn w:val="1"/>
    <w:qFormat/>
    <w:uiPriority w:val="34"/>
    <w:pPr>
      <w:ind w:firstLine="420" w:firstLineChars="200"/>
    </w:pPr>
  </w:style>
  <w:style w:type="paragraph" w:customStyle="1" w:styleId="149">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150">
    <w:name w:val="正文格式"/>
    <w:basedOn w:val="1"/>
    <w:link w:val="151"/>
    <w:qFormat/>
    <w:uiPriority w:val="0"/>
    <w:pPr>
      <w:topLinePunct/>
      <w:ind w:firstLine="420" w:firstLineChars="200"/>
    </w:pPr>
    <w:rPr>
      <w:rFonts w:ascii="宋体" w:hAnsi="宋体"/>
      <w:bCs/>
      <w:szCs w:val="21"/>
    </w:rPr>
  </w:style>
  <w:style w:type="character" w:customStyle="1" w:styleId="151">
    <w:name w:val="正文格式 Char"/>
    <w:link w:val="150"/>
    <w:qFormat/>
    <w:uiPriority w:val="0"/>
    <w:rPr>
      <w:rFonts w:ascii="宋体" w:hAnsi="宋体"/>
      <w:bCs/>
      <w:kern w:val="2"/>
      <w:sz w:val="21"/>
      <w:szCs w:val="21"/>
    </w:rPr>
  </w:style>
  <w:style w:type="paragraph" w:customStyle="1" w:styleId="152">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153">
    <w:name w:val="样式 标题 2"/>
    <w:basedOn w:val="3"/>
    <w:qFormat/>
    <w:uiPriority w:val="0"/>
    <w:rPr>
      <w:b w:val="0"/>
      <w:bCs w:val="0"/>
    </w:rPr>
  </w:style>
  <w:style w:type="paragraph" w:customStyle="1" w:styleId="154">
    <w:name w:val="样式1"/>
    <w:basedOn w:val="1"/>
    <w:qFormat/>
    <w:uiPriority w:val="0"/>
    <w:pPr>
      <w:numPr>
        <w:ilvl w:val="2"/>
        <w:numId w:val="1"/>
      </w:numPr>
    </w:p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microsoft.com/office/2006/relationships/keyMapCustomizations" Target="customizations.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C7C544-B7A4-4307-8A67-7DA7E0B64A81}">
  <ds:schemaRefs/>
</ds:datastoreItem>
</file>

<file path=docProps/app.xml><?xml version="1.0" encoding="utf-8"?>
<Properties xmlns="http://schemas.openxmlformats.org/officeDocument/2006/extended-properties" xmlns:vt="http://schemas.openxmlformats.org/officeDocument/2006/docPropsVTypes">
  <Template>Normal</Template>
  <Company>zle</Company>
  <Pages>9</Pages>
  <Words>760</Words>
  <Characters>4334</Characters>
  <Lines>36</Lines>
  <Paragraphs>10</Paragraphs>
  <TotalTime>0</TotalTime>
  <ScaleCrop>false</ScaleCrop>
  <LinksUpToDate>false</LinksUpToDate>
  <CharactersWithSpaces>5084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2017-03-20T06:44:00Z</dcterms:created>
  <dc:creator>CNIS</dc:creator>
  <cp:lastModifiedBy>刘水根</cp:lastModifiedBy>
  <cp:lastPrinted>2016-01-20T02:14:00Z</cp:lastPrinted>
  <dcterms:modified xsi:type="dcterms:W3CDTF">2026-04-28T06:39:13Z</dcterms:modified>
  <dc:title>标准名称</dc:title>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384B2235868F4F12806ADBA2C6859677</vt:lpwstr>
  </property>
</Properties>
</file>