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keepNext w:val="0"/>
        <w:keepLines w:val="0"/>
        <w:pageBreakBefore w:val="0"/>
        <w:widowControl w:val="0"/>
        <w:kinsoku/>
        <w:wordWrap/>
        <w:overflowPunct/>
        <w:topLinePunct w:val="0"/>
        <w:autoSpaceDE/>
        <w:autoSpaceDN/>
        <w:bidi w:val="0"/>
        <w:adjustRightInd/>
        <w:snapToGrid/>
        <w:spacing w:line="560" w:lineRule="exact"/>
        <w:ind w:left="2200" w:hanging="1400" w:hangingChars="500"/>
        <w:jc w:val="center"/>
        <w:textAlignment w:val="auto"/>
        <w:rPr>
          <w:rFonts w:hint="eastAsia" w:hAnsi="宋体"/>
          <w:color w:val="auto"/>
          <w:sz w:val="28"/>
          <w:szCs w:val="2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ind w:left="2200" w:hanging="1400" w:hangingChars="500"/>
        <w:jc w:val="center"/>
        <w:textAlignment w:val="auto"/>
        <w:rPr>
          <w:rFonts w:hint="eastAsia" w:hAnsi="宋体"/>
          <w:color w:val="auto"/>
          <w:sz w:val="28"/>
          <w:szCs w:val="2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ind w:left="2200" w:hanging="1400" w:hangingChars="500"/>
        <w:jc w:val="center"/>
        <w:textAlignment w:val="auto"/>
        <w:rPr>
          <w:rFonts w:hint="eastAsia" w:hAnsi="宋体"/>
          <w:color w:val="auto"/>
          <w:sz w:val="28"/>
          <w:szCs w:val="2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ind w:left="2200" w:hanging="1400" w:hangingChars="500"/>
        <w:jc w:val="center"/>
        <w:textAlignment w:val="auto"/>
        <w:rPr>
          <w:rFonts w:hint="eastAsia" w:hAnsi="宋体"/>
          <w:color w:val="auto"/>
          <w:sz w:val="28"/>
          <w:szCs w:val="2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hAnsi="宋体"/>
          <w:color w:val="auto"/>
          <w:sz w:val="36"/>
          <w:szCs w:val="36"/>
          <w:highlight w:val="none"/>
          <w:lang w:val="en-US" w:eastAsia="zh-CN"/>
        </w:rPr>
      </w:pPr>
      <w:r>
        <w:rPr>
          <w:rFonts w:hint="eastAsia" w:hAnsi="宋体"/>
          <w:color w:val="auto"/>
          <w:sz w:val="36"/>
          <w:szCs w:val="36"/>
          <w:highlight w:val="none"/>
          <w:lang w:val="en-US" w:eastAsia="zh-CN"/>
        </w:rPr>
        <w:t>广西博联信息通信技术有限责任公司2026年供电局催费技术支持号码认证服务框架零星采购项目</w:t>
      </w:r>
    </w:p>
    <w:p>
      <w:pPr>
        <w:pStyle w:val="11"/>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hAnsi="宋体"/>
          <w:color w:val="auto"/>
          <w:sz w:val="18"/>
          <w:szCs w:val="18"/>
          <w:highlight w:val="none"/>
          <w:lang w:val="en-US" w:eastAsia="zh-CN"/>
        </w:rPr>
      </w:pPr>
      <w:r>
        <w:rPr>
          <w:rFonts w:hint="eastAsia" w:hAnsi="宋体"/>
          <w:color w:val="auto"/>
          <w:sz w:val="36"/>
          <w:szCs w:val="36"/>
          <w:highlight w:val="none"/>
          <w:lang w:val="en-US" w:eastAsia="zh-CN"/>
        </w:rPr>
        <w:t>服务要求</w:t>
      </w:r>
    </w:p>
    <w:p>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hAnsi="宋体"/>
          <w:color w:val="auto"/>
          <w:sz w:val="18"/>
          <w:szCs w:val="1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hAnsi="宋体"/>
          <w:color w:val="auto"/>
          <w:sz w:val="18"/>
          <w:szCs w:val="1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hAnsi="宋体"/>
          <w:color w:val="auto"/>
          <w:sz w:val="18"/>
          <w:szCs w:val="1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ind w:firstLine="2240" w:firstLineChars="800"/>
        <w:textAlignment w:val="auto"/>
        <w:rPr>
          <w:rFonts w:hint="eastAsia" w:hAnsi="宋体"/>
          <w:color w:val="auto"/>
          <w:sz w:val="28"/>
          <w:szCs w:val="2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ind w:firstLine="2240" w:firstLineChars="800"/>
        <w:textAlignment w:val="auto"/>
        <w:rPr>
          <w:rFonts w:hint="eastAsia" w:hAnsi="宋体"/>
          <w:color w:val="auto"/>
          <w:sz w:val="28"/>
          <w:szCs w:val="2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hAnsi="宋体"/>
          <w:color w:val="auto"/>
          <w:sz w:val="18"/>
          <w:szCs w:val="1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hAnsi="宋体"/>
          <w:color w:val="auto"/>
          <w:sz w:val="18"/>
          <w:szCs w:val="1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hAnsi="宋体"/>
          <w:color w:val="auto"/>
          <w:sz w:val="18"/>
          <w:szCs w:val="1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hAnsi="宋体"/>
          <w:color w:val="auto"/>
          <w:sz w:val="18"/>
          <w:szCs w:val="1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hAnsi="宋体"/>
          <w:color w:val="auto"/>
          <w:sz w:val="18"/>
          <w:szCs w:val="18"/>
          <w:highlight w:val="none"/>
          <w:lang w:val="en-US" w:eastAsia="zh-CN"/>
        </w:rPr>
      </w:pPr>
    </w:p>
    <w:p>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hAnsi="宋体"/>
          <w:color w:val="auto"/>
          <w:sz w:val="18"/>
          <w:szCs w:val="18"/>
          <w:highlight w:val="none"/>
          <w:lang w:val="en-US" w:eastAsia="zh-CN"/>
        </w:rPr>
      </w:pP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t>广西博联信息通信技术有限责任公司</w:t>
      </w:r>
    </w:p>
    <w:p>
      <w:pPr>
        <w:ind w:firstLine="3520" w:firstLineChars="1100"/>
        <w:jc w:val="both"/>
        <w:rPr>
          <w:rFonts w:ascii="黑体" w:hAnsi="黑体" w:eastAsia="黑体" w:cs="黑体"/>
          <w:color w:val="auto"/>
          <w:sz w:val="32"/>
          <w:szCs w:val="32"/>
        </w:rPr>
      </w:pPr>
      <w:r>
        <w:rPr>
          <w:rFonts w:ascii="黑体" w:hAnsi="黑体" w:eastAsia="黑体" w:cs="黑体"/>
          <w:color w:val="auto"/>
          <w:sz w:val="32"/>
          <w:szCs w:val="32"/>
        </w:rPr>
        <w:t>202</w:t>
      </w:r>
      <w:r>
        <w:rPr>
          <w:rFonts w:hint="eastAsia" w:ascii="黑体" w:hAnsi="黑体" w:eastAsia="黑体" w:cs="黑体"/>
          <w:color w:val="auto"/>
          <w:sz w:val="32"/>
          <w:szCs w:val="32"/>
          <w:lang w:val="en-US" w:eastAsia="zh-CN"/>
        </w:rPr>
        <w:t>6</w:t>
      </w:r>
      <w:r>
        <w:rPr>
          <w:rFonts w:ascii="黑体" w:hAnsi="黑体" w:eastAsia="黑体" w:cs="黑体"/>
          <w:color w:val="auto"/>
          <w:sz w:val="32"/>
          <w:szCs w:val="32"/>
        </w:rPr>
        <w:t>年</w:t>
      </w:r>
      <w:r>
        <w:rPr>
          <w:rFonts w:hint="eastAsia" w:ascii="黑体" w:hAnsi="黑体" w:eastAsia="黑体" w:cs="黑体"/>
          <w:color w:val="auto"/>
          <w:sz w:val="32"/>
          <w:szCs w:val="32"/>
          <w:lang w:val="en-US" w:eastAsia="zh-CN"/>
        </w:rPr>
        <w:t>4</w:t>
      </w:r>
      <w:r>
        <w:rPr>
          <w:rFonts w:ascii="黑体" w:hAnsi="黑体" w:eastAsia="黑体" w:cs="黑体"/>
          <w:color w:val="auto"/>
          <w:sz w:val="32"/>
          <w:szCs w:val="32"/>
        </w:rPr>
        <w:t>月</w:t>
      </w:r>
    </w:p>
    <w:p>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hAnsi="宋体"/>
          <w:color w:val="auto"/>
          <w:sz w:val="18"/>
          <w:szCs w:val="18"/>
          <w:highlight w:val="none"/>
          <w:lang w:val="en-US" w:eastAsia="zh-CN"/>
        </w:rPr>
      </w:pPr>
    </w:p>
    <w:p>
      <w:pPr>
        <w:pStyle w:val="12"/>
        <w:spacing w:line="360" w:lineRule="auto"/>
        <w:rPr>
          <w:rFonts w:ascii="Times New Roman" w:hAnsi="Times New Roman"/>
          <w:color w:val="auto"/>
          <w:sz w:val="18"/>
          <w:szCs w:val="18"/>
        </w:rPr>
      </w:pPr>
      <w:bookmarkStart w:id="0" w:name="_Toc2343263"/>
    </w:p>
    <w:p>
      <w:pPr>
        <w:pStyle w:val="12"/>
        <w:spacing w:line="360" w:lineRule="auto"/>
        <w:rPr>
          <w:rFonts w:ascii="Times New Roman" w:hAnsi="Times New Roman"/>
          <w:color w:val="auto"/>
          <w:sz w:val="18"/>
          <w:szCs w:val="18"/>
        </w:rPr>
      </w:pPr>
    </w:p>
    <w:p>
      <w:pPr>
        <w:pStyle w:val="12"/>
        <w:spacing w:line="360" w:lineRule="auto"/>
        <w:rPr>
          <w:rFonts w:ascii="Times New Roman" w:hAnsi="Times New Roman"/>
          <w:color w:val="auto"/>
          <w:sz w:val="18"/>
          <w:szCs w:val="18"/>
        </w:rPr>
      </w:pPr>
      <w:r>
        <w:rPr>
          <w:rFonts w:ascii="Times New Roman" w:hAnsi="Times New Roman"/>
          <w:color w:val="auto"/>
          <w:sz w:val="18"/>
          <w:szCs w:val="18"/>
        </w:rPr>
        <w:t>总则</w:t>
      </w:r>
      <w:bookmarkEnd w:id="0"/>
    </w:p>
    <w:p>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478" w:firstLineChars="228"/>
        <w:jc w:val="left"/>
        <w:textAlignment w:val="auto"/>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1.1 本文件主要描述</w:t>
      </w:r>
      <w:r>
        <w:rPr>
          <w:rFonts w:hint="eastAsia" w:hAnsi="宋体" w:cs="宋体"/>
          <w:snapToGrid w:val="0"/>
          <w:color w:val="auto"/>
          <w:kern w:val="0"/>
          <w:sz w:val="21"/>
          <w:szCs w:val="21"/>
          <w:highlight w:val="none"/>
          <w:u w:val="single"/>
          <w:lang w:val="en-US" w:eastAsia="zh-CN" w:bidi="ar-SA"/>
        </w:rPr>
        <w:t>广西博联信息通信技术有限责任公司2026年供电局催费技术支持号码认证服务框架零星采购项目</w:t>
      </w:r>
      <w:r>
        <w:rPr>
          <w:rFonts w:hint="eastAsia" w:ascii="宋体" w:hAnsi="宋体" w:eastAsia="宋体" w:cs="宋体"/>
          <w:snapToGrid w:val="0"/>
          <w:color w:val="auto"/>
          <w:kern w:val="0"/>
          <w:sz w:val="21"/>
          <w:szCs w:val="21"/>
          <w:highlight w:val="none"/>
          <w:lang w:val="en-US" w:eastAsia="zh-CN" w:bidi="ar-SA"/>
        </w:rPr>
        <w:t>要求有关事项，</w:t>
      </w:r>
      <w:r>
        <w:rPr>
          <w:rFonts w:hint="eastAsia" w:hAnsi="宋体" w:cs="宋体"/>
          <w:snapToGrid w:val="0"/>
          <w:color w:val="auto"/>
          <w:kern w:val="0"/>
          <w:sz w:val="21"/>
          <w:szCs w:val="21"/>
          <w:highlight w:val="none"/>
          <w:lang w:val="en-US" w:eastAsia="zh-CN" w:bidi="ar-SA"/>
        </w:rPr>
        <w:t>报价人</w:t>
      </w:r>
      <w:r>
        <w:rPr>
          <w:rFonts w:hint="eastAsia" w:ascii="宋体" w:hAnsi="宋体" w:eastAsia="宋体" w:cs="宋体"/>
          <w:snapToGrid w:val="0"/>
          <w:color w:val="auto"/>
          <w:kern w:val="0"/>
          <w:sz w:val="21"/>
          <w:szCs w:val="21"/>
          <w:highlight w:val="none"/>
          <w:lang w:val="en-US" w:eastAsia="zh-CN" w:bidi="ar-SA"/>
        </w:rPr>
        <w:t>应充分理解本</w:t>
      </w:r>
      <w:r>
        <w:rPr>
          <w:rFonts w:hint="eastAsia" w:hAnsi="宋体" w:cs="宋体"/>
          <w:snapToGrid w:val="0"/>
          <w:color w:val="auto"/>
          <w:kern w:val="0"/>
          <w:sz w:val="21"/>
          <w:szCs w:val="21"/>
          <w:highlight w:val="none"/>
          <w:lang w:val="en-US" w:eastAsia="zh-CN" w:bidi="ar-SA"/>
        </w:rPr>
        <w:t>服务要求</w:t>
      </w:r>
      <w:r>
        <w:rPr>
          <w:rFonts w:hint="eastAsia" w:ascii="宋体" w:hAnsi="宋体" w:eastAsia="宋体" w:cs="宋体"/>
          <w:snapToGrid w:val="0"/>
          <w:color w:val="auto"/>
          <w:kern w:val="0"/>
          <w:sz w:val="21"/>
          <w:szCs w:val="21"/>
          <w:highlight w:val="none"/>
          <w:lang w:val="en-US" w:eastAsia="zh-CN" w:bidi="ar-SA"/>
        </w:rPr>
        <w:t>并按具体条款、格式要求填写响应文件。</w:t>
      </w:r>
      <w:r>
        <w:rPr>
          <w:rFonts w:hint="eastAsia" w:hAnsi="宋体" w:cs="宋体"/>
          <w:snapToGrid w:val="0"/>
          <w:color w:val="auto"/>
          <w:kern w:val="0"/>
          <w:sz w:val="21"/>
          <w:szCs w:val="21"/>
          <w:highlight w:val="none"/>
          <w:lang w:val="en-US" w:eastAsia="zh-CN" w:bidi="ar-SA"/>
        </w:rPr>
        <w:t>采购人</w:t>
      </w:r>
      <w:r>
        <w:rPr>
          <w:rFonts w:hint="eastAsia" w:ascii="宋体" w:hAnsi="宋体" w:eastAsia="宋体" w:cs="宋体"/>
          <w:snapToGrid w:val="0"/>
          <w:color w:val="auto"/>
          <w:kern w:val="0"/>
          <w:sz w:val="21"/>
          <w:szCs w:val="21"/>
          <w:highlight w:val="none"/>
          <w:lang w:val="en-US" w:eastAsia="zh-CN" w:bidi="ar-SA"/>
        </w:rPr>
        <w:t>在任何时候保留和拥有对本</w:t>
      </w:r>
      <w:r>
        <w:rPr>
          <w:rFonts w:hint="eastAsia" w:hAnsi="宋体" w:cs="宋体"/>
          <w:snapToGrid w:val="0"/>
          <w:color w:val="auto"/>
          <w:kern w:val="0"/>
          <w:sz w:val="21"/>
          <w:szCs w:val="21"/>
          <w:highlight w:val="none"/>
          <w:lang w:val="en-US" w:eastAsia="zh-CN" w:bidi="ar-SA"/>
        </w:rPr>
        <w:t>服务要求</w:t>
      </w:r>
      <w:r>
        <w:rPr>
          <w:rFonts w:hint="eastAsia" w:ascii="宋体" w:hAnsi="宋体" w:eastAsia="宋体" w:cs="宋体"/>
          <w:snapToGrid w:val="0"/>
          <w:color w:val="auto"/>
          <w:kern w:val="0"/>
          <w:sz w:val="21"/>
          <w:szCs w:val="21"/>
          <w:highlight w:val="none"/>
          <w:lang w:val="en-US" w:eastAsia="zh-CN" w:bidi="ar-SA"/>
        </w:rPr>
        <w:t>的解释权，</w:t>
      </w:r>
      <w:r>
        <w:rPr>
          <w:rFonts w:hint="eastAsia" w:hAnsi="宋体" w:cs="宋体"/>
          <w:snapToGrid w:val="0"/>
          <w:color w:val="auto"/>
          <w:kern w:val="0"/>
          <w:sz w:val="21"/>
          <w:szCs w:val="21"/>
          <w:highlight w:val="none"/>
          <w:lang w:val="en-US" w:eastAsia="zh-CN" w:bidi="ar-SA"/>
        </w:rPr>
        <w:t>报价人</w:t>
      </w:r>
      <w:r>
        <w:rPr>
          <w:rFonts w:hint="eastAsia" w:ascii="宋体" w:hAnsi="宋体" w:eastAsia="宋体" w:cs="宋体"/>
          <w:snapToGrid w:val="0"/>
          <w:color w:val="auto"/>
          <w:kern w:val="0"/>
          <w:sz w:val="21"/>
          <w:szCs w:val="21"/>
          <w:highlight w:val="none"/>
          <w:lang w:val="en-US" w:eastAsia="zh-CN" w:bidi="ar-SA"/>
        </w:rPr>
        <w:t>未经</w:t>
      </w:r>
      <w:r>
        <w:rPr>
          <w:rFonts w:hint="eastAsia" w:hAnsi="宋体" w:cs="宋体"/>
          <w:snapToGrid w:val="0"/>
          <w:color w:val="auto"/>
          <w:kern w:val="0"/>
          <w:sz w:val="21"/>
          <w:szCs w:val="21"/>
          <w:highlight w:val="none"/>
          <w:lang w:val="en-US" w:eastAsia="zh-CN" w:bidi="ar-SA"/>
        </w:rPr>
        <w:t>采购人</w:t>
      </w:r>
      <w:r>
        <w:rPr>
          <w:rFonts w:hint="eastAsia" w:ascii="宋体" w:hAnsi="宋体" w:eastAsia="宋体" w:cs="宋体"/>
          <w:snapToGrid w:val="0"/>
          <w:color w:val="auto"/>
          <w:kern w:val="0"/>
          <w:sz w:val="21"/>
          <w:szCs w:val="21"/>
          <w:highlight w:val="none"/>
          <w:lang w:val="en-US" w:eastAsia="zh-CN" w:bidi="ar-SA"/>
        </w:rPr>
        <w:t>同意，不得以任何形式向第三方公开本</w:t>
      </w:r>
      <w:r>
        <w:rPr>
          <w:rFonts w:hint="eastAsia" w:hAnsi="宋体" w:cs="宋体"/>
          <w:snapToGrid w:val="0"/>
          <w:color w:val="auto"/>
          <w:kern w:val="0"/>
          <w:sz w:val="21"/>
          <w:szCs w:val="21"/>
          <w:highlight w:val="none"/>
          <w:lang w:val="en-US" w:eastAsia="zh-CN" w:bidi="ar-SA"/>
        </w:rPr>
        <w:t>服务要求</w:t>
      </w:r>
      <w:r>
        <w:rPr>
          <w:rFonts w:hint="eastAsia" w:ascii="宋体" w:hAnsi="宋体" w:eastAsia="宋体" w:cs="宋体"/>
          <w:snapToGrid w:val="0"/>
          <w:color w:val="auto"/>
          <w:kern w:val="0"/>
          <w:sz w:val="21"/>
          <w:szCs w:val="21"/>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1.2 本</w:t>
      </w:r>
      <w:r>
        <w:rPr>
          <w:rFonts w:hint="eastAsia" w:ascii="宋体" w:hAnsi="宋体" w:cs="宋体"/>
          <w:snapToGrid w:val="0"/>
          <w:color w:val="auto"/>
          <w:sz w:val="21"/>
          <w:szCs w:val="21"/>
          <w:highlight w:val="none"/>
          <w:lang w:val="en-US" w:eastAsia="zh-CN" w:bidi="ar-SA"/>
        </w:rPr>
        <w:t>服务要求</w:t>
      </w:r>
      <w:r>
        <w:rPr>
          <w:rFonts w:hint="eastAsia" w:ascii="宋体" w:hAnsi="宋体" w:eastAsia="宋体" w:cs="宋体"/>
          <w:snapToGrid w:val="0"/>
          <w:color w:val="auto"/>
          <w:sz w:val="21"/>
          <w:szCs w:val="21"/>
          <w:highlight w:val="none"/>
          <w:lang w:val="en-US" w:eastAsia="zh-CN" w:bidi="ar-SA"/>
        </w:rPr>
        <w:t>提出的是最低限度的技术要求, 并未对一切技术细节作出规定，也未充分引述有关标准和规范的条文。</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应提供符合本招标技术文件和工业标准的优质产品、服务，认真阅读，逐条准确回答和陈述，必须清楚地说明是否满足本</w:t>
      </w:r>
      <w:r>
        <w:rPr>
          <w:rFonts w:hint="eastAsia" w:ascii="宋体" w:hAnsi="宋体" w:cs="宋体"/>
          <w:snapToGrid w:val="0"/>
          <w:color w:val="auto"/>
          <w:sz w:val="21"/>
          <w:szCs w:val="21"/>
          <w:highlight w:val="none"/>
          <w:lang w:val="en-US" w:eastAsia="zh-CN" w:bidi="ar-SA"/>
        </w:rPr>
        <w:t>服务要求</w:t>
      </w:r>
      <w:r>
        <w:rPr>
          <w:rFonts w:hint="eastAsia" w:ascii="宋体" w:hAnsi="宋体" w:eastAsia="宋体" w:cs="宋体"/>
          <w:snapToGrid w:val="0"/>
          <w:color w:val="auto"/>
          <w:sz w:val="21"/>
          <w:szCs w:val="21"/>
          <w:highlight w:val="none"/>
          <w:lang w:val="en-US" w:eastAsia="zh-CN" w:bidi="ar-SA"/>
        </w:rPr>
        <w:t>的每一项具体要求。如果不满足要求，除在逐条应答时予以说明外，还需以“差异表”的形式另外列出。</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1.3 如果</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没有以书面形式对本</w:t>
      </w:r>
      <w:r>
        <w:rPr>
          <w:rFonts w:hint="eastAsia" w:ascii="宋体" w:hAnsi="宋体" w:cs="宋体"/>
          <w:snapToGrid w:val="0"/>
          <w:color w:val="auto"/>
          <w:sz w:val="21"/>
          <w:szCs w:val="21"/>
          <w:highlight w:val="none"/>
          <w:lang w:val="en-US" w:eastAsia="zh-CN" w:bidi="ar-SA"/>
        </w:rPr>
        <w:t>服务要求</w:t>
      </w:r>
      <w:r>
        <w:rPr>
          <w:rFonts w:hint="eastAsia" w:ascii="宋体" w:hAnsi="宋体" w:eastAsia="宋体" w:cs="宋体"/>
          <w:snapToGrid w:val="0"/>
          <w:color w:val="auto"/>
          <w:sz w:val="21"/>
          <w:szCs w:val="21"/>
          <w:highlight w:val="none"/>
          <w:lang w:val="en-US" w:eastAsia="zh-CN" w:bidi="ar-SA"/>
        </w:rPr>
        <w:t>的条文提出异议，则意味着</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提供的服务完全满足或高于本</w:t>
      </w:r>
      <w:r>
        <w:rPr>
          <w:rFonts w:hint="eastAsia" w:ascii="宋体" w:hAnsi="宋体" w:cs="宋体"/>
          <w:snapToGrid w:val="0"/>
          <w:color w:val="auto"/>
          <w:sz w:val="21"/>
          <w:szCs w:val="21"/>
          <w:highlight w:val="none"/>
          <w:lang w:val="en-US" w:eastAsia="zh-CN" w:bidi="ar-SA"/>
        </w:rPr>
        <w:t>服务要求</w:t>
      </w:r>
      <w:r>
        <w:rPr>
          <w:rFonts w:hint="eastAsia" w:ascii="宋体" w:hAnsi="宋体" w:eastAsia="宋体" w:cs="宋体"/>
          <w:snapToGrid w:val="0"/>
          <w:color w:val="auto"/>
          <w:sz w:val="21"/>
          <w:szCs w:val="21"/>
          <w:highlight w:val="none"/>
          <w:lang w:val="en-US" w:eastAsia="zh-CN" w:bidi="ar-SA"/>
        </w:rPr>
        <w:t>的要求。如有异议，不管是多么微小，都应在响应文件中以“技术差异表”为标题的专门章节中加以详细描述。如果</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没有提出技术差异，而在执行合同的过程中，</w:t>
      </w:r>
      <w:r>
        <w:rPr>
          <w:rFonts w:hint="eastAsia" w:ascii="宋体" w:hAnsi="宋体" w:cs="宋体"/>
          <w:snapToGrid w:val="0"/>
          <w:color w:val="auto"/>
          <w:sz w:val="21"/>
          <w:szCs w:val="21"/>
          <w:highlight w:val="none"/>
          <w:lang w:val="en-US" w:eastAsia="zh-CN" w:bidi="ar-SA"/>
        </w:rPr>
        <w:t>采购人</w:t>
      </w:r>
      <w:r>
        <w:rPr>
          <w:rFonts w:hint="eastAsia" w:ascii="宋体" w:hAnsi="宋体" w:eastAsia="宋体" w:cs="宋体"/>
          <w:snapToGrid w:val="0"/>
          <w:color w:val="auto"/>
          <w:sz w:val="21"/>
          <w:szCs w:val="21"/>
          <w:highlight w:val="none"/>
          <w:lang w:val="en-US" w:eastAsia="zh-CN" w:bidi="ar-SA"/>
        </w:rPr>
        <w:t>发现</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提供的服务与其</w:t>
      </w:r>
      <w:r>
        <w:rPr>
          <w:rFonts w:hint="eastAsia" w:ascii="宋体" w:hAnsi="宋体" w:cs="宋体"/>
          <w:snapToGrid w:val="0"/>
          <w:color w:val="auto"/>
          <w:sz w:val="21"/>
          <w:szCs w:val="21"/>
          <w:highlight w:val="none"/>
          <w:lang w:val="en-US" w:eastAsia="zh-CN" w:bidi="ar-SA"/>
        </w:rPr>
        <w:t>响应</w:t>
      </w:r>
      <w:r>
        <w:rPr>
          <w:rFonts w:hint="eastAsia" w:ascii="宋体" w:hAnsi="宋体" w:eastAsia="宋体" w:cs="宋体"/>
          <w:snapToGrid w:val="0"/>
          <w:color w:val="auto"/>
          <w:sz w:val="21"/>
          <w:szCs w:val="21"/>
          <w:highlight w:val="none"/>
          <w:lang w:val="en-US" w:eastAsia="zh-CN" w:bidi="ar-SA"/>
        </w:rPr>
        <w:t>技术文件的条文存在差异，</w:t>
      </w:r>
      <w:r>
        <w:rPr>
          <w:rFonts w:hint="eastAsia" w:ascii="宋体" w:hAnsi="宋体" w:cs="宋体"/>
          <w:snapToGrid w:val="0"/>
          <w:color w:val="auto"/>
          <w:sz w:val="21"/>
          <w:szCs w:val="21"/>
          <w:highlight w:val="none"/>
          <w:lang w:val="en-US" w:eastAsia="zh-CN" w:bidi="ar-SA"/>
        </w:rPr>
        <w:t>采购人</w:t>
      </w:r>
      <w:r>
        <w:rPr>
          <w:rFonts w:hint="eastAsia" w:ascii="宋体" w:hAnsi="宋体" w:eastAsia="宋体" w:cs="宋体"/>
          <w:snapToGrid w:val="0"/>
          <w:color w:val="auto"/>
          <w:sz w:val="21"/>
          <w:szCs w:val="21"/>
          <w:highlight w:val="none"/>
          <w:lang w:val="en-US" w:eastAsia="zh-CN" w:bidi="ar-SA"/>
        </w:rPr>
        <w:t>有权利追究</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违约责任。</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 xml:space="preserve">1.4 </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应保证提供的所有资料真实、完整、准确无误，否则</w:t>
      </w:r>
      <w:r>
        <w:rPr>
          <w:rFonts w:hint="eastAsia" w:ascii="宋体" w:hAnsi="宋体" w:cs="宋体"/>
          <w:snapToGrid w:val="0"/>
          <w:color w:val="auto"/>
          <w:sz w:val="21"/>
          <w:szCs w:val="21"/>
          <w:highlight w:val="none"/>
          <w:lang w:val="en-US" w:eastAsia="zh-CN" w:bidi="ar-SA"/>
        </w:rPr>
        <w:t>采购人</w:t>
      </w:r>
      <w:r>
        <w:rPr>
          <w:rFonts w:hint="eastAsia" w:ascii="宋体" w:hAnsi="宋体" w:eastAsia="宋体" w:cs="宋体"/>
          <w:snapToGrid w:val="0"/>
          <w:color w:val="auto"/>
          <w:sz w:val="21"/>
          <w:szCs w:val="21"/>
          <w:highlight w:val="none"/>
          <w:lang w:val="en-US" w:eastAsia="zh-CN" w:bidi="ar-SA"/>
        </w:rPr>
        <w:t>将有权取消</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的</w:t>
      </w:r>
      <w:r>
        <w:rPr>
          <w:rFonts w:hint="eastAsia" w:ascii="宋体" w:hAnsi="宋体" w:cs="宋体"/>
          <w:snapToGrid w:val="0"/>
          <w:color w:val="auto"/>
          <w:sz w:val="21"/>
          <w:szCs w:val="21"/>
          <w:highlight w:val="none"/>
          <w:lang w:val="en-US" w:eastAsia="zh-CN" w:bidi="ar-SA"/>
        </w:rPr>
        <w:t>报价响应</w:t>
      </w:r>
      <w:r>
        <w:rPr>
          <w:rFonts w:hint="eastAsia" w:ascii="宋体" w:hAnsi="宋体" w:eastAsia="宋体" w:cs="宋体"/>
          <w:snapToGrid w:val="0"/>
          <w:color w:val="auto"/>
          <w:sz w:val="21"/>
          <w:szCs w:val="21"/>
          <w:highlight w:val="none"/>
          <w:lang w:val="en-US" w:eastAsia="zh-CN" w:bidi="ar-SA"/>
        </w:rPr>
        <w:t>资格，由此产生的一切后果由</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承担。</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 xml:space="preserve">1.5 </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提供的服务及服务过程中使用的软硬件产品应满足国家及</w:t>
      </w:r>
      <w:r>
        <w:rPr>
          <w:rFonts w:hint="eastAsia" w:ascii="宋体" w:hAnsi="宋体" w:cs="宋体"/>
          <w:snapToGrid w:val="0"/>
          <w:color w:val="auto"/>
          <w:sz w:val="21"/>
          <w:szCs w:val="21"/>
          <w:highlight w:val="none"/>
          <w:lang w:val="en-US" w:eastAsia="zh-CN" w:bidi="ar-SA"/>
        </w:rPr>
        <w:t>采购人</w:t>
      </w:r>
      <w:r>
        <w:rPr>
          <w:rFonts w:hint="eastAsia" w:ascii="宋体" w:hAnsi="宋体" w:eastAsia="宋体" w:cs="宋体"/>
          <w:snapToGrid w:val="0"/>
          <w:color w:val="auto"/>
          <w:sz w:val="21"/>
          <w:szCs w:val="21"/>
          <w:highlight w:val="none"/>
          <w:lang w:val="en-US" w:eastAsia="zh-CN" w:bidi="ar-SA"/>
        </w:rPr>
        <w:t>提出的有关质量标准要求，提供服务质量承诺，并且服务过程中使用的所有软硬件产品必须具有在中国境内的合法使用权。</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 xml:space="preserve">1.6 </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在中标后应提供的服务应满足国家及</w:t>
      </w:r>
      <w:r>
        <w:rPr>
          <w:rFonts w:hint="eastAsia" w:ascii="宋体" w:hAnsi="宋体" w:cs="宋体"/>
          <w:snapToGrid w:val="0"/>
          <w:color w:val="auto"/>
          <w:sz w:val="21"/>
          <w:szCs w:val="21"/>
          <w:highlight w:val="none"/>
          <w:lang w:val="en-US" w:eastAsia="zh-CN" w:bidi="ar-SA"/>
        </w:rPr>
        <w:t>采购人</w:t>
      </w:r>
      <w:r>
        <w:rPr>
          <w:rFonts w:hint="eastAsia" w:ascii="宋体" w:hAnsi="宋体" w:eastAsia="宋体" w:cs="宋体"/>
          <w:snapToGrid w:val="0"/>
          <w:color w:val="auto"/>
          <w:sz w:val="21"/>
          <w:szCs w:val="21"/>
          <w:highlight w:val="none"/>
          <w:lang w:val="en-US" w:eastAsia="zh-CN" w:bidi="ar-SA"/>
        </w:rPr>
        <w:t>提出安全和保密要求，提供保密承诺书。</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对在响应或技术服务过程中所获悉的属于</w:t>
      </w:r>
      <w:r>
        <w:rPr>
          <w:rFonts w:hint="eastAsia" w:ascii="宋体" w:hAnsi="宋体" w:cs="宋体"/>
          <w:snapToGrid w:val="0"/>
          <w:color w:val="auto"/>
          <w:sz w:val="21"/>
          <w:szCs w:val="21"/>
          <w:highlight w:val="none"/>
          <w:lang w:val="en-US" w:eastAsia="zh-CN" w:bidi="ar-SA"/>
        </w:rPr>
        <w:t>采购人</w:t>
      </w:r>
      <w:r>
        <w:rPr>
          <w:rFonts w:hint="eastAsia" w:ascii="宋体" w:hAnsi="宋体" w:eastAsia="宋体" w:cs="宋体"/>
          <w:snapToGrid w:val="0"/>
          <w:color w:val="auto"/>
          <w:sz w:val="21"/>
          <w:szCs w:val="21"/>
          <w:highlight w:val="none"/>
          <w:lang w:val="en-US" w:eastAsia="zh-CN" w:bidi="ar-SA"/>
        </w:rPr>
        <w:t>的商业秘密、技术秘密和其他经营管理信息、技术信息等一切暂未对外公开的信息和资料均属于保密信息，不得向其他单位公布或泄漏服务过程资料文件和有关信息。</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 xml:space="preserve">1.7 </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在中标后所提供的服务人员应具备1年及以上终端设备维护经验，能够按照</w:t>
      </w:r>
      <w:r>
        <w:rPr>
          <w:rFonts w:hint="eastAsia" w:ascii="宋体" w:hAnsi="宋体" w:cs="宋体"/>
          <w:snapToGrid w:val="0"/>
          <w:color w:val="auto"/>
          <w:sz w:val="21"/>
          <w:szCs w:val="21"/>
          <w:highlight w:val="none"/>
          <w:lang w:val="en-US" w:eastAsia="zh-CN" w:bidi="ar-SA"/>
        </w:rPr>
        <w:t>采购人</w:t>
      </w:r>
      <w:r>
        <w:rPr>
          <w:rFonts w:hint="eastAsia" w:ascii="宋体" w:hAnsi="宋体" w:eastAsia="宋体" w:cs="宋体"/>
          <w:snapToGrid w:val="0"/>
          <w:color w:val="auto"/>
          <w:sz w:val="21"/>
          <w:szCs w:val="21"/>
          <w:highlight w:val="none"/>
          <w:lang w:val="en-US" w:eastAsia="zh-CN" w:bidi="ar-SA"/>
        </w:rPr>
        <w:t>的规范要求快速开展服务实施工作。</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 xml:space="preserve">1.8 </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在中标后应保证竣工验收后资料移交的准确性和完整性，并</w:t>
      </w:r>
      <w:r>
        <w:rPr>
          <w:rFonts w:hint="eastAsia" w:ascii="宋体" w:hAnsi="宋体" w:cs="宋体"/>
          <w:snapToGrid w:val="0"/>
          <w:color w:val="auto"/>
          <w:sz w:val="21"/>
          <w:szCs w:val="21"/>
          <w:highlight w:val="none"/>
          <w:lang w:val="en-US" w:eastAsia="zh-CN" w:bidi="ar-SA"/>
        </w:rPr>
        <w:t>协助采购人</w:t>
      </w:r>
      <w:r>
        <w:rPr>
          <w:rFonts w:hint="eastAsia" w:ascii="宋体" w:hAnsi="宋体" w:eastAsia="宋体" w:cs="宋体"/>
          <w:snapToGrid w:val="0"/>
          <w:color w:val="auto"/>
          <w:sz w:val="21"/>
          <w:szCs w:val="21"/>
          <w:highlight w:val="none"/>
          <w:lang w:val="en-US" w:eastAsia="zh-CN" w:bidi="ar-SA"/>
        </w:rPr>
        <w:t>所指定的实施人员提供免费的培训。</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1.9 本</w:t>
      </w:r>
      <w:r>
        <w:rPr>
          <w:rFonts w:hint="eastAsia" w:ascii="宋体" w:hAnsi="宋体" w:cs="宋体"/>
          <w:snapToGrid w:val="0"/>
          <w:color w:val="auto"/>
          <w:sz w:val="21"/>
          <w:szCs w:val="21"/>
          <w:highlight w:val="none"/>
          <w:lang w:val="en-US" w:eastAsia="zh-CN" w:bidi="ar-SA"/>
        </w:rPr>
        <w:t>服务要求</w:t>
      </w:r>
      <w:r>
        <w:rPr>
          <w:rFonts w:hint="eastAsia" w:ascii="宋体" w:hAnsi="宋体" w:eastAsia="宋体" w:cs="宋体"/>
          <w:snapToGrid w:val="0"/>
          <w:color w:val="auto"/>
          <w:sz w:val="21"/>
          <w:szCs w:val="21"/>
          <w:highlight w:val="none"/>
          <w:lang w:val="en-US" w:eastAsia="zh-CN" w:bidi="ar-SA"/>
        </w:rPr>
        <w:t>未尽事宜，由</w:t>
      </w:r>
      <w:r>
        <w:rPr>
          <w:rFonts w:hint="eastAsia" w:ascii="宋体" w:hAnsi="宋体" w:cs="宋体"/>
          <w:snapToGrid w:val="0"/>
          <w:color w:val="auto"/>
          <w:sz w:val="21"/>
          <w:szCs w:val="21"/>
          <w:highlight w:val="none"/>
          <w:lang w:val="en-US" w:eastAsia="zh-CN" w:bidi="ar-SA"/>
        </w:rPr>
        <w:t>采购人</w:t>
      </w:r>
      <w:r>
        <w:rPr>
          <w:rFonts w:hint="eastAsia" w:ascii="宋体" w:hAnsi="宋体" w:eastAsia="宋体" w:cs="宋体"/>
          <w:snapToGrid w:val="0"/>
          <w:color w:val="auto"/>
          <w:sz w:val="21"/>
          <w:szCs w:val="21"/>
          <w:highlight w:val="none"/>
          <w:lang w:val="en-US" w:eastAsia="zh-CN" w:bidi="ar-SA"/>
        </w:rPr>
        <w:t>、</w:t>
      </w: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双方协商确定。</w:t>
      </w:r>
    </w:p>
    <w:p>
      <w:pPr>
        <w:pStyle w:val="12"/>
        <w:spacing w:line="360" w:lineRule="auto"/>
        <w:rPr>
          <w:rFonts w:ascii="Times New Roman" w:hAnsi="Times New Roman"/>
          <w:color w:val="auto"/>
          <w:sz w:val="18"/>
          <w:szCs w:val="18"/>
        </w:rPr>
      </w:pPr>
      <w:r>
        <w:rPr>
          <w:rFonts w:hint="eastAsia" w:ascii="Times New Roman" w:hAnsi="Times New Roman"/>
          <w:color w:val="auto"/>
          <w:sz w:val="18"/>
          <w:szCs w:val="18"/>
        </w:rPr>
        <w:t>定义</w:t>
      </w:r>
    </w:p>
    <w:p>
      <w:pPr>
        <w:pStyle w:val="13"/>
        <w:spacing w:line="360" w:lineRule="auto"/>
        <w:rPr>
          <w:rFonts w:ascii="Times New Roman" w:hAnsi="Times New Roman"/>
          <w:color w:val="auto"/>
          <w:sz w:val="18"/>
          <w:szCs w:val="18"/>
        </w:rPr>
      </w:pPr>
      <w:r>
        <w:rPr>
          <w:rFonts w:hint="eastAsia" w:ascii="宋体" w:hAnsi="宋体" w:cs="宋体"/>
          <w:color w:val="auto"/>
          <w:sz w:val="18"/>
          <w:szCs w:val="18"/>
          <w:lang w:eastAsia="zh-CN"/>
        </w:rPr>
        <w:t>采购人</w:t>
      </w:r>
      <w:r>
        <w:rPr>
          <w:rFonts w:hint="eastAsia" w:ascii="宋体" w:hAnsi="宋体" w:cs="宋体"/>
          <w:color w:val="auto"/>
          <w:sz w:val="18"/>
          <w:szCs w:val="18"/>
        </w:rPr>
        <w:t>定义</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cs="宋体"/>
          <w:snapToGrid w:val="0"/>
          <w:color w:val="auto"/>
          <w:sz w:val="21"/>
          <w:szCs w:val="21"/>
          <w:highlight w:val="none"/>
          <w:lang w:val="en-US" w:eastAsia="zh-CN" w:bidi="ar-SA"/>
        </w:rPr>
        <w:t>采购人</w:t>
      </w:r>
      <w:r>
        <w:rPr>
          <w:rFonts w:hint="eastAsia" w:ascii="宋体" w:hAnsi="宋体" w:eastAsia="宋体" w:cs="宋体"/>
          <w:snapToGrid w:val="0"/>
          <w:color w:val="auto"/>
          <w:sz w:val="21"/>
          <w:szCs w:val="21"/>
          <w:highlight w:val="none"/>
          <w:lang w:val="en-US" w:eastAsia="zh-CN" w:bidi="ar-SA"/>
        </w:rPr>
        <w:t>：广西博联信息通信技术有限责任公司</w:t>
      </w:r>
    </w:p>
    <w:p>
      <w:pPr>
        <w:pStyle w:val="13"/>
        <w:spacing w:line="360" w:lineRule="auto"/>
        <w:rPr>
          <w:rFonts w:ascii="Times New Roman" w:hAnsi="Times New Roman"/>
          <w:color w:val="auto"/>
          <w:sz w:val="18"/>
          <w:szCs w:val="18"/>
        </w:rPr>
      </w:pPr>
      <w:r>
        <w:rPr>
          <w:rFonts w:hint="eastAsia" w:ascii="宋体" w:hAnsi="宋体" w:cs="宋体"/>
          <w:color w:val="auto"/>
          <w:sz w:val="18"/>
          <w:szCs w:val="18"/>
          <w:lang w:eastAsia="zh-CN"/>
        </w:rPr>
        <w:t>报价人</w:t>
      </w:r>
      <w:r>
        <w:rPr>
          <w:rFonts w:hint="eastAsia" w:ascii="宋体" w:hAnsi="宋体" w:cs="宋体"/>
          <w:color w:val="auto"/>
          <w:sz w:val="18"/>
          <w:szCs w:val="18"/>
        </w:rPr>
        <w:t>定义</w:t>
      </w:r>
    </w:p>
    <w:p>
      <w:pPr>
        <w:spacing w:line="360" w:lineRule="auto"/>
        <w:ind w:firstLine="420" w:firstLineChars="200"/>
        <w:rPr>
          <w:rFonts w:ascii="Times New Roman" w:hAnsi="Times New Roman"/>
          <w:color w:val="auto"/>
          <w:sz w:val="18"/>
          <w:szCs w:val="18"/>
        </w:rPr>
      </w:pPr>
      <w:r>
        <w:rPr>
          <w:rFonts w:hint="eastAsia" w:ascii="宋体" w:hAnsi="宋体" w:cs="宋体"/>
          <w:snapToGrid w:val="0"/>
          <w:color w:val="auto"/>
          <w:sz w:val="21"/>
          <w:szCs w:val="21"/>
          <w:highlight w:val="none"/>
          <w:lang w:val="en-US" w:eastAsia="zh-CN" w:bidi="ar-SA"/>
        </w:rPr>
        <w:t>报价人</w:t>
      </w:r>
      <w:r>
        <w:rPr>
          <w:rFonts w:hint="eastAsia" w:ascii="宋体" w:hAnsi="宋体" w:eastAsia="宋体" w:cs="宋体"/>
          <w:snapToGrid w:val="0"/>
          <w:color w:val="auto"/>
          <w:sz w:val="21"/>
          <w:szCs w:val="21"/>
          <w:highlight w:val="none"/>
          <w:lang w:val="en-US" w:eastAsia="zh-CN" w:bidi="ar-SA"/>
        </w:rPr>
        <w:t>：指响应</w:t>
      </w:r>
      <w:r>
        <w:rPr>
          <w:rFonts w:hint="eastAsia" w:ascii="宋体" w:hAnsi="宋体" w:cs="宋体"/>
          <w:snapToGrid w:val="0"/>
          <w:color w:val="auto"/>
          <w:sz w:val="21"/>
          <w:szCs w:val="21"/>
          <w:highlight w:val="none"/>
          <w:lang w:val="en-US" w:eastAsia="zh-CN" w:bidi="ar-SA"/>
        </w:rPr>
        <w:t>采购</w:t>
      </w:r>
      <w:r>
        <w:rPr>
          <w:rFonts w:hint="eastAsia" w:ascii="宋体" w:hAnsi="宋体" w:eastAsia="宋体" w:cs="宋体"/>
          <w:snapToGrid w:val="0"/>
          <w:color w:val="auto"/>
          <w:sz w:val="21"/>
          <w:szCs w:val="21"/>
          <w:highlight w:val="none"/>
          <w:lang w:val="en-US" w:eastAsia="zh-CN" w:bidi="ar-SA"/>
        </w:rPr>
        <w:t>、参加</w:t>
      </w:r>
      <w:r>
        <w:rPr>
          <w:rFonts w:hint="eastAsia" w:ascii="宋体" w:hAnsi="宋体" w:cs="宋体"/>
          <w:snapToGrid w:val="0"/>
          <w:color w:val="auto"/>
          <w:sz w:val="21"/>
          <w:szCs w:val="21"/>
          <w:highlight w:val="none"/>
          <w:lang w:val="en-US" w:eastAsia="zh-CN" w:bidi="ar-SA"/>
        </w:rPr>
        <w:t>报价</w:t>
      </w:r>
      <w:r>
        <w:rPr>
          <w:rFonts w:hint="eastAsia" w:ascii="宋体" w:hAnsi="宋体" w:eastAsia="宋体" w:cs="宋体"/>
          <w:snapToGrid w:val="0"/>
          <w:color w:val="auto"/>
          <w:sz w:val="21"/>
          <w:szCs w:val="21"/>
          <w:highlight w:val="none"/>
          <w:lang w:val="en-US" w:eastAsia="zh-CN" w:bidi="ar-SA"/>
        </w:rPr>
        <w:t>竞争的法人。</w:t>
      </w:r>
    </w:p>
    <w:p>
      <w:pPr>
        <w:pStyle w:val="12"/>
        <w:spacing w:line="360" w:lineRule="auto"/>
        <w:rPr>
          <w:rFonts w:ascii="Times New Roman" w:hAnsi="Times New Roman"/>
          <w:color w:val="auto"/>
          <w:sz w:val="18"/>
          <w:szCs w:val="18"/>
        </w:rPr>
      </w:pPr>
      <w:r>
        <w:rPr>
          <w:rFonts w:ascii="Times New Roman" w:hAnsi="Times New Roman"/>
          <w:color w:val="auto"/>
          <w:sz w:val="18"/>
          <w:szCs w:val="18"/>
        </w:rPr>
        <w:t>范围和内容</w:t>
      </w:r>
    </w:p>
    <w:p>
      <w:pPr>
        <w:pStyle w:val="13"/>
        <w:spacing w:line="360" w:lineRule="auto"/>
        <w:rPr>
          <w:rFonts w:ascii="Times New Roman" w:hAnsi="Times New Roman"/>
          <w:color w:val="auto"/>
          <w:sz w:val="18"/>
          <w:szCs w:val="18"/>
        </w:rPr>
      </w:pPr>
      <w:r>
        <w:rPr>
          <w:rFonts w:hint="eastAsia" w:hAnsi="Times New Roman"/>
          <w:color w:val="auto"/>
          <w:sz w:val="18"/>
          <w:szCs w:val="18"/>
          <w:lang w:val="en-US" w:eastAsia="zh-CN"/>
        </w:rPr>
        <w:t>采购范围</w:t>
      </w:r>
      <w:bookmarkStart w:id="9" w:name="_GoBack"/>
      <w:bookmarkEnd w:id="9"/>
    </w:p>
    <w:p>
      <w:pPr>
        <w:spacing w:line="360" w:lineRule="auto"/>
        <w:ind w:firstLine="420" w:firstLineChars="200"/>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本次广西博联信息通信技术有限责任公司2026年供电局催费技术支持号码认证服务</w:t>
      </w:r>
      <w:r>
        <w:rPr>
          <w:rFonts w:hint="eastAsia" w:ascii="宋体" w:hAnsi="宋体" w:cs="宋体"/>
          <w:snapToGrid w:val="0"/>
          <w:color w:val="auto"/>
          <w:sz w:val="21"/>
          <w:szCs w:val="21"/>
          <w:highlight w:val="none"/>
          <w:lang w:val="en-US" w:eastAsia="zh-CN" w:bidi="ar-SA"/>
        </w:rPr>
        <w:t>零星</w:t>
      </w:r>
      <w:r>
        <w:rPr>
          <w:rFonts w:hint="eastAsia" w:ascii="宋体" w:hAnsi="宋体" w:eastAsia="宋体" w:cs="宋体"/>
          <w:snapToGrid w:val="0"/>
          <w:color w:val="auto"/>
          <w:sz w:val="21"/>
          <w:szCs w:val="21"/>
          <w:highlight w:val="none"/>
          <w:lang w:val="en-US" w:eastAsia="zh-CN" w:bidi="ar-SA"/>
        </w:rPr>
        <w:t>框架采购项目采购范围和内容如下：</w:t>
      </w:r>
    </w:p>
    <w:tbl>
      <w:tblPr>
        <w:tblStyle w:val="7"/>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5632"/>
        <w:gridCol w:w="990"/>
        <w:gridCol w:w="1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812" w:type="dxa"/>
            <w:tcBorders>
              <w:top w:val="single" w:color="auto" w:sz="4" w:space="0"/>
              <w:left w:val="single" w:color="auto" w:sz="4" w:space="0"/>
              <w:bottom w:val="single" w:color="auto" w:sz="4" w:space="0"/>
              <w:right w:val="single" w:color="auto" w:sz="4" w:space="0"/>
            </w:tcBorders>
            <w:vAlign w:val="top"/>
          </w:tcPr>
          <w:p>
            <w:pPr>
              <w:spacing w:line="360" w:lineRule="auto"/>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序号</w:t>
            </w:r>
          </w:p>
        </w:tc>
        <w:tc>
          <w:tcPr>
            <w:tcW w:w="56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内容</w:t>
            </w:r>
          </w:p>
        </w:tc>
        <w:tc>
          <w:tcPr>
            <w:tcW w:w="9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数量</w:t>
            </w:r>
          </w:p>
        </w:tc>
        <w:tc>
          <w:tcPr>
            <w:tcW w:w="10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1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1</w:t>
            </w:r>
          </w:p>
        </w:tc>
        <w:tc>
          <w:tcPr>
            <w:tcW w:w="5632" w:type="dxa"/>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jc w:val="center"/>
              <w:rPr>
                <w:rFonts w:hint="default"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号码认证服务</w:t>
            </w:r>
          </w:p>
        </w:tc>
        <w:tc>
          <w:tcPr>
            <w:tcW w:w="9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1</w:t>
            </w:r>
          </w:p>
        </w:tc>
        <w:tc>
          <w:tcPr>
            <w:tcW w:w="10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项</w:t>
            </w:r>
          </w:p>
        </w:tc>
      </w:tr>
    </w:tbl>
    <w:p>
      <w:pPr>
        <w:spacing w:line="360" w:lineRule="auto"/>
        <w:ind w:firstLine="420" w:firstLineChars="200"/>
        <w:rPr>
          <w:rFonts w:ascii="Times New Roman" w:hAnsi="Times New Roman"/>
          <w:color w:val="auto"/>
          <w:sz w:val="18"/>
          <w:szCs w:val="18"/>
        </w:rPr>
      </w:pPr>
      <w:r>
        <w:rPr>
          <w:rFonts w:hint="eastAsia" w:ascii="宋体" w:hAnsi="宋体" w:eastAsia="宋体" w:cs="宋体"/>
          <w:snapToGrid w:val="0"/>
          <w:color w:val="auto"/>
          <w:sz w:val="21"/>
          <w:szCs w:val="21"/>
          <w:highlight w:val="none"/>
          <w:lang w:val="en-US" w:eastAsia="zh-CN" w:bidi="ar-SA"/>
        </w:rPr>
        <w:t xml:space="preserve">本项目服务期：合同签订之日起至2027年12月31日止。 </w:t>
      </w:r>
    </w:p>
    <w:p>
      <w:pPr>
        <w:pStyle w:val="13"/>
        <w:spacing w:line="360" w:lineRule="auto"/>
        <w:rPr>
          <w:rFonts w:ascii="Times New Roman" w:hAnsi="Times New Roman"/>
          <w:color w:val="auto"/>
          <w:sz w:val="18"/>
          <w:szCs w:val="18"/>
        </w:rPr>
      </w:pPr>
      <w:r>
        <w:rPr>
          <w:rFonts w:hint="eastAsia" w:hAnsi="Times New Roman"/>
          <w:color w:val="auto"/>
          <w:sz w:val="18"/>
          <w:szCs w:val="18"/>
          <w:lang w:val="en-US" w:eastAsia="zh-CN"/>
        </w:rPr>
        <w:t>服务</w:t>
      </w:r>
      <w:r>
        <w:rPr>
          <w:rFonts w:ascii="Times New Roman" w:hAnsi="Times New Roman"/>
          <w:color w:val="auto"/>
          <w:sz w:val="18"/>
          <w:szCs w:val="18"/>
        </w:rPr>
        <w:t>内容</w:t>
      </w:r>
      <w:r>
        <w:rPr>
          <w:rFonts w:hint="eastAsia" w:hAnsi="Times New Roman"/>
          <w:color w:val="auto"/>
          <w:sz w:val="18"/>
          <w:szCs w:val="18"/>
          <w:lang w:val="en-US" w:eastAsia="zh-CN"/>
        </w:rPr>
        <w:t>与采购规模</w:t>
      </w:r>
    </w:p>
    <w:p>
      <w:pPr>
        <w:rPr>
          <w:rFonts w:hint="default"/>
          <w:b/>
          <w:bCs/>
          <w:lang w:val="en-US"/>
        </w:rPr>
      </w:pPr>
      <w:r>
        <w:rPr>
          <w:rFonts w:hint="eastAsia"/>
          <w:b/>
          <w:bCs/>
          <w:color w:val="auto"/>
          <w:sz w:val="18"/>
          <w:szCs w:val="18"/>
          <w:lang w:val="en-US" w:eastAsia="zh-CN"/>
        </w:rPr>
        <w:t>1.4.1服务内容</w:t>
      </w:r>
    </w:p>
    <w:p>
      <w:pPr>
        <w:numPr>
          <w:ilvl w:val="0"/>
          <w:numId w:val="3"/>
        </w:numPr>
        <w:spacing w:line="360" w:lineRule="auto"/>
        <w:ind w:firstLine="420" w:firstLineChars="20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需基于采购人提供的必要材料，包括企业营业执照、经办人身份证，对采购人指定的固话号码进行专项认证，认证标识统一规范为“XX供电局电费服务热线”（其中“XX”替换为对应供电局具体名称，由采购人明确提供）。</w:t>
      </w:r>
    </w:p>
    <w:p>
      <w:pPr>
        <w:numPr>
          <w:ilvl w:val="0"/>
          <w:numId w:val="3"/>
        </w:numPr>
        <w:spacing w:line="360" w:lineRule="auto"/>
        <w:ind w:firstLine="420" w:firstLineChars="20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认证服务需实现以下核心目标：确保认证后的固话号码在用户手机来电界面，精准、清晰展示“XX供电局电费服务热线”标识，同时可搭配供电局官方Logo（由采购人提供），明确号码官方属性，消除用户对来电号码的疑虑，提升电费催收、用电咨询等场景的来电接通率，强化供电局服务品牌辨识度。</w:t>
      </w:r>
    </w:p>
    <w:p>
      <w:pPr>
        <w:rPr>
          <w:rFonts w:hint="eastAsia"/>
          <w:b/>
          <w:bCs/>
          <w:color w:val="auto"/>
          <w:sz w:val="18"/>
          <w:szCs w:val="18"/>
          <w:lang w:val="en-US" w:eastAsia="zh-CN"/>
        </w:rPr>
      </w:pPr>
      <w:r>
        <w:rPr>
          <w:rFonts w:hint="eastAsia"/>
          <w:b/>
          <w:bCs/>
          <w:color w:val="auto"/>
          <w:sz w:val="18"/>
          <w:szCs w:val="18"/>
          <w:lang w:val="en-US" w:eastAsia="zh-CN"/>
        </w:rPr>
        <w:t>1.4.2采购规模</w:t>
      </w:r>
    </w:p>
    <w:p>
      <w:pPr>
        <w:numPr>
          <w:ilvl w:val="0"/>
          <w:numId w:val="4"/>
        </w:numPr>
        <w:spacing w:line="360" w:lineRule="auto"/>
        <w:ind w:firstLine="420" w:firstLineChars="20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服务模式</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本项目采用“框架协议+按实结算”模式，合同服务期内，采购人确定号码认证服务的最高采购数量与单价，根据广西各供电局实际催费、客服需求，分批向供应商下达号码认证订单，按需开通、按实际认证的固话号码数量结算费用。</w:t>
      </w:r>
    </w:p>
    <w:p>
      <w:pPr>
        <w:numPr>
          <w:ilvl w:val="0"/>
          <w:numId w:val="4"/>
        </w:numPr>
        <w:spacing w:line="360" w:lineRule="auto"/>
        <w:ind w:firstLine="420" w:firstLineChars="20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单个固话号码认证有效期：自该号认证之日起1年，到期后可按采购人需求，由供应商协助完成续期，续期费用按合同约定执行。</w:t>
      </w:r>
    </w:p>
    <w:p>
      <w:pPr>
        <w:numPr>
          <w:ilvl w:val="0"/>
          <w:numId w:val="4"/>
        </w:numPr>
        <w:spacing w:line="360" w:lineRule="auto"/>
        <w:ind w:firstLine="420" w:firstLineChars="200"/>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采购数量上限：合同服务期内，采购人累计采购的固话号码认证服务总数不超过28个，单个批次采购数量最少2个、最多28个，具体采购数量、开通时间以采购人书面订单或系统下达的指令为准。</w:t>
      </w:r>
    </w:p>
    <w:p>
      <w:pPr>
        <w:pStyle w:val="13"/>
        <w:spacing w:line="360" w:lineRule="auto"/>
        <w:rPr>
          <w:rFonts w:ascii="Times New Roman" w:hAnsi="Times New Roman"/>
          <w:color w:val="auto"/>
          <w:sz w:val="18"/>
          <w:szCs w:val="18"/>
        </w:rPr>
      </w:pPr>
      <w:r>
        <w:rPr>
          <w:rFonts w:hint="eastAsia" w:ascii="Times New Roman" w:hAnsi="Times New Roman"/>
          <w:color w:val="auto"/>
          <w:sz w:val="18"/>
          <w:szCs w:val="18"/>
        </w:rPr>
        <w:t>主要技术要求</w:t>
      </w:r>
    </w:p>
    <w:p>
      <w:pPr>
        <w:numPr>
          <w:ilvl w:val="0"/>
          <w:numId w:val="0"/>
        </w:numPr>
        <w:spacing w:line="360" w:lineRule="auto"/>
        <w:ind w:firstLine="420" w:firstLineChars="200"/>
        <w:jc w:val="both"/>
        <w:rPr>
          <w:rFonts w:hint="eastAsia" w:asciiTheme="minorEastAsia" w:hAnsiTheme="minorEastAsia" w:eastAsiaTheme="minorEastAsia" w:cstheme="minorEastAsia"/>
          <w:sz w:val="21"/>
          <w:szCs w:val="21"/>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号码认证服务：供应商需基于采购人提供的必要材料（企业营业执照、经办人身份证），对采购人指定的固话号码进行“XX供电局电费服务热线”专项认证（其中“XX”替换为对应供电局具体名称，由采购人明确提供）。</w:t>
      </w:r>
    </w:p>
    <w:p>
      <w:pPr>
        <w:pStyle w:val="12"/>
        <w:rPr>
          <w:rFonts w:ascii="Times New Roman" w:hAnsi="Times New Roman"/>
          <w:color w:val="auto"/>
          <w:sz w:val="21"/>
          <w:szCs w:val="21"/>
        </w:rPr>
      </w:pPr>
      <w:r>
        <w:rPr>
          <w:rFonts w:hint="eastAsia" w:ascii="Times New Roman" w:hAnsi="Times New Roman"/>
          <w:color w:val="auto"/>
          <w:sz w:val="21"/>
          <w:szCs w:val="21"/>
        </w:rPr>
        <w:t>项目</w:t>
      </w:r>
      <w:r>
        <w:rPr>
          <w:rFonts w:ascii="Times New Roman" w:hAnsi="Times New Roman"/>
          <w:color w:val="auto"/>
          <w:sz w:val="21"/>
          <w:szCs w:val="21"/>
        </w:rPr>
        <w:t>要求</w:t>
      </w:r>
    </w:p>
    <w:p>
      <w:pPr>
        <w:pStyle w:val="13"/>
        <w:spacing w:line="360" w:lineRule="auto"/>
        <w:rPr>
          <w:rFonts w:hint="eastAsia" w:ascii="Times New Roman" w:hAnsi="Times New Roman"/>
          <w:color w:val="auto"/>
          <w:sz w:val="21"/>
          <w:szCs w:val="21"/>
        </w:rPr>
      </w:pPr>
      <w:r>
        <w:rPr>
          <w:rFonts w:hint="eastAsia" w:ascii="Times New Roman" w:hAnsi="Times New Roman"/>
          <w:color w:val="auto"/>
          <w:sz w:val="21"/>
          <w:szCs w:val="21"/>
        </w:rPr>
        <w:t>核心条款说明</w:t>
      </w:r>
    </w:p>
    <w:p>
      <w:pPr>
        <w:pStyle w:val="14"/>
        <w:spacing w:line="360" w:lineRule="auto"/>
        <w:ind w:left="0"/>
        <w:rPr>
          <w:rFonts w:hint="eastAsia"/>
          <w:color w:val="auto"/>
          <w:sz w:val="21"/>
          <w:szCs w:val="21"/>
          <w:lang w:val="en-US" w:eastAsia="zh-CN"/>
        </w:rPr>
      </w:pPr>
      <w:r>
        <w:rPr>
          <w:rFonts w:hint="eastAsia"/>
          <w:color w:val="auto"/>
          <w:sz w:val="21"/>
          <w:szCs w:val="21"/>
          <w:lang w:val="en-US" w:eastAsia="zh-CN"/>
        </w:rPr>
        <w:t>本文件采用以下特殊标注方式标识核心条款：标有"★"符号的条款 上述标注内容均属于具有约束力的技术要求，报价人须进行专项确认并确保绝对符合。</w:t>
      </w:r>
    </w:p>
    <w:p>
      <w:pPr>
        <w:numPr>
          <w:ilvl w:val="0"/>
          <w:numId w:val="0"/>
        </w:numPr>
        <w:spacing w:line="360" w:lineRule="auto"/>
        <w:ind w:leftChars="0"/>
        <w:rPr>
          <w:rFonts w:hint="default" w:ascii="Times New Roman" w:hAnsi="Times New Roman"/>
          <w:color w:val="auto"/>
          <w:sz w:val="21"/>
          <w:szCs w:val="21"/>
          <w:lang w:val="en-US"/>
        </w:rPr>
      </w:pPr>
      <w:r>
        <w:rPr>
          <w:rFonts w:hint="eastAsia" w:ascii="宋体" w:hAnsi="宋体" w:cs="宋体"/>
          <w:color w:val="auto"/>
          <w:sz w:val="21"/>
          <w:szCs w:val="21"/>
          <w:lang w:val="en-US" w:eastAsia="zh-CN"/>
        </w:rPr>
        <w:t>1.6.2 报价人需按《附录B：报价表》格式进行报价。</w:t>
      </w:r>
    </w:p>
    <w:p>
      <w:pPr>
        <w:pStyle w:val="13"/>
        <w:spacing w:line="360" w:lineRule="auto"/>
        <w:rPr>
          <w:rFonts w:ascii="Times New Roman" w:hAnsi="Times New Roman"/>
          <w:color w:val="auto"/>
          <w:sz w:val="21"/>
          <w:szCs w:val="21"/>
        </w:rPr>
      </w:pPr>
      <w:r>
        <w:rPr>
          <w:rFonts w:hint="eastAsia" w:hAnsi="Times New Roman"/>
          <w:color w:val="auto"/>
          <w:sz w:val="21"/>
          <w:szCs w:val="21"/>
          <w:lang w:val="en-US" w:eastAsia="zh-CN"/>
        </w:rPr>
        <w:t>服务</w:t>
      </w:r>
      <w:r>
        <w:rPr>
          <w:rFonts w:ascii="Times New Roman" w:hAnsi="Times New Roman"/>
          <w:color w:val="auto"/>
          <w:sz w:val="21"/>
          <w:szCs w:val="21"/>
        </w:rPr>
        <w:t>要求</w:t>
      </w:r>
    </w:p>
    <w:p>
      <w:pPr>
        <w:pStyle w:val="14"/>
        <w:spacing w:line="360" w:lineRule="auto"/>
        <w:ind w:left="0"/>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报</w:t>
      </w:r>
      <w:r>
        <w:rPr>
          <w:rFonts w:hint="eastAsia" w:ascii="Times New Roman" w:hAnsi="Times New Roman" w:eastAsia="宋体" w:cs="Times New Roman"/>
          <w:color w:val="auto"/>
          <w:sz w:val="21"/>
          <w:szCs w:val="21"/>
          <w:lang w:val="en-US" w:eastAsia="zh-CN"/>
        </w:rPr>
        <w:t>报价人应严格遵守协议中关于项目中的若干技术质量规定，制定严格的质量安全措施。</w:t>
      </w:r>
    </w:p>
    <w:p>
      <w:pPr>
        <w:pStyle w:val="14"/>
        <w:spacing w:line="360" w:lineRule="auto"/>
        <w:ind w:left="0"/>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由于报价人质量安全措施不力造成研究质量安全事故的责任，以及由此发生的费用和损失，由报价人承担。</w:t>
      </w:r>
    </w:p>
    <w:p>
      <w:pPr>
        <w:pStyle w:val="14"/>
        <w:spacing w:line="360" w:lineRule="auto"/>
        <w:ind w:left="0"/>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报价人提供7×24小时技术支撑，故障响应、中继调整、号码配置、路由变更等须及时配合完成。</w:t>
      </w:r>
    </w:p>
    <w:p>
      <w:pPr>
        <w:pStyle w:val="14"/>
        <w:spacing w:line="360" w:lineRule="auto"/>
        <w:ind w:left="0"/>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报价人提供准确完整的月度话单明细，支持对账、稽核与回溯。</w:t>
      </w:r>
    </w:p>
    <w:p>
      <w:pPr>
        <w:pStyle w:val="14"/>
        <w:spacing w:line="360" w:lineRule="auto"/>
        <w:ind w:left="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报价人承诺在框架协议最大分钟量内资源充足、持续稳定供给，不得以资源不足为由限制服务。</w:t>
      </w:r>
    </w:p>
    <w:p>
      <w:pPr>
        <w:pStyle w:val="13"/>
        <w:spacing w:line="360" w:lineRule="auto"/>
        <w:rPr>
          <w:rFonts w:ascii="Times New Roman" w:hAnsi="Times New Roman"/>
          <w:color w:val="auto"/>
          <w:sz w:val="21"/>
          <w:szCs w:val="21"/>
        </w:rPr>
      </w:pPr>
      <w:r>
        <w:rPr>
          <w:rFonts w:ascii="Times New Roman" w:hAnsi="Times New Roman"/>
          <w:color w:val="auto"/>
          <w:sz w:val="21"/>
          <w:szCs w:val="21"/>
        </w:rPr>
        <w:t>进度要求</w:t>
      </w:r>
    </w:p>
    <w:p>
      <w:pPr>
        <w:pStyle w:val="14"/>
        <w:spacing w:line="360" w:lineRule="auto"/>
        <w:ind w:left="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服务交付时限：自合同签订之日起</w:t>
      </w:r>
      <w:r>
        <w:rPr>
          <w:rFonts w:hint="eastAsia" w:cs="Times New Roman"/>
          <w:color w:val="auto"/>
          <w:sz w:val="21"/>
          <w:szCs w:val="21"/>
          <w:lang w:val="en-US" w:eastAsia="zh-CN"/>
        </w:rPr>
        <w:t>30</w:t>
      </w:r>
      <w:r>
        <w:rPr>
          <w:rFonts w:hint="eastAsia" w:ascii="Times New Roman" w:hAnsi="Times New Roman" w:eastAsia="宋体" w:cs="Times New Roman"/>
          <w:color w:val="auto"/>
          <w:sz w:val="21"/>
          <w:szCs w:val="21"/>
        </w:rPr>
        <w:t>日内，报价人须完成本项目所有服务内容，全面履约并提供各项约定服务。</w:t>
      </w:r>
    </w:p>
    <w:p>
      <w:pPr>
        <w:pStyle w:val="14"/>
        <w:spacing w:line="360" w:lineRule="auto"/>
        <w:ind w:left="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工期顺延：若非报价人原因（如采购人提供资料延迟</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不可抗力原因等</w:t>
      </w:r>
      <w:r>
        <w:rPr>
          <w:rFonts w:hint="eastAsia" w:ascii="Times New Roman" w:hAnsi="Times New Roman" w:eastAsia="宋体" w:cs="Times New Roman"/>
          <w:color w:val="auto"/>
          <w:sz w:val="21"/>
          <w:szCs w:val="21"/>
        </w:rPr>
        <w:t>）导致无法按期履约，经采购人书面确认后，服务开始日期可相应顺延。</w:t>
      </w:r>
    </w:p>
    <w:p>
      <w:pPr>
        <w:pStyle w:val="14"/>
        <w:spacing w:line="360" w:lineRule="auto"/>
        <w:ind w:left="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违约责任：因报价人自身原因，未按本协议约定的服务开始日期或经采购人同意顺延的期限完成履约的，报价人应承担全部违约责任，并赔偿由此给采购人造成的一切损失，采购人有权按合同约定追究违约金、暂停付款或单方解除合同。</w:t>
      </w:r>
    </w:p>
    <w:p>
      <w:pPr>
        <w:pStyle w:val="13"/>
        <w:spacing w:line="360" w:lineRule="auto"/>
        <w:rPr>
          <w:rFonts w:ascii="Times New Roman" w:hAnsi="Times New Roman"/>
          <w:color w:val="auto"/>
          <w:sz w:val="21"/>
          <w:szCs w:val="21"/>
        </w:rPr>
      </w:pPr>
      <w:r>
        <w:rPr>
          <w:rFonts w:hint="eastAsia" w:ascii="Times New Roman" w:hAnsi="Times New Roman"/>
          <w:color w:val="auto"/>
          <w:sz w:val="21"/>
          <w:szCs w:val="21"/>
        </w:rPr>
        <w:t>遵循的主要标准</w:t>
      </w:r>
    </w:p>
    <w:p>
      <w:pPr>
        <w:pStyle w:val="14"/>
        <w:numPr>
          <w:ilvl w:val="0"/>
          <w:numId w:val="0"/>
        </w:numPr>
        <w:spacing w:line="360" w:lineRule="auto"/>
        <w:ind w:firstLine="420" w:firstLineChars="200"/>
        <w:rPr>
          <w:rFonts w:ascii="Times New Roman" w:hAnsi="Times New Roman"/>
          <w:color w:val="auto"/>
          <w:sz w:val="21"/>
          <w:szCs w:val="21"/>
        </w:rPr>
      </w:pPr>
      <w:r>
        <w:rPr>
          <w:rFonts w:hint="eastAsia"/>
          <w:color w:val="auto"/>
          <w:sz w:val="21"/>
          <w:szCs w:val="21"/>
          <w:lang w:eastAsia="zh-CN"/>
        </w:rPr>
        <w:t>报价人</w:t>
      </w:r>
      <w:r>
        <w:rPr>
          <w:rFonts w:hint="eastAsia" w:ascii="Times New Roman" w:hAnsi="Times New Roman"/>
          <w:color w:val="auto"/>
          <w:sz w:val="21"/>
          <w:szCs w:val="21"/>
        </w:rPr>
        <w:t>在运维服务工作过程中提供的所有服务、技术支持、工作产品，除本规范书中规定的技术参数和要求外，其余均应遵照最新版本的国际电信联盟(ITU)、国际电工委员会标准(IEC)、国际公制(SI)、国际标准化组织（ISO）、国家标准及广西电网有限责任公司的相关管理制度。如果</w:t>
      </w:r>
      <w:r>
        <w:rPr>
          <w:rFonts w:hint="eastAsia"/>
          <w:color w:val="auto"/>
          <w:sz w:val="21"/>
          <w:szCs w:val="21"/>
          <w:lang w:eastAsia="zh-CN"/>
        </w:rPr>
        <w:t>报价人</w:t>
      </w:r>
      <w:r>
        <w:rPr>
          <w:rFonts w:hint="eastAsia" w:ascii="Times New Roman" w:hAnsi="Times New Roman"/>
          <w:color w:val="auto"/>
          <w:sz w:val="21"/>
          <w:szCs w:val="21"/>
        </w:rPr>
        <w:t>有自己的标准或规范经</w:t>
      </w:r>
      <w:r>
        <w:rPr>
          <w:rFonts w:hint="eastAsia"/>
          <w:color w:val="auto"/>
          <w:sz w:val="21"/>
          <w:szCs w:val="21"/>
          <w:lang w:eastAsia="zh-CN"/>
        </w:rPr>
        <w:t>采购人</w:t>
      </w:r>
      <w:r>
        <w:rPr>
          <w:rFonts w:hint="eastAsia" w:ascii="Times New Roman" w:hAnsi="Times New Roman"/>
          <w:color w:val="auto"/>
          <w:sz w:val="21"/>
          <w:szCs w:val="21"/>
        </w:rPr>
        <w:t>同意方可采用，但原则上均不能低于上述标准的有关规定，特别是这些规定或规程中互相矛盾的地方，应先征得</w:t>
      </w:r>
      <w:r>
        <w:rPr>
          <w:rFonts w:hint="eastAsia"/>
          <w:color w:val="auto"/>
          <w:sz w:val="21"/>
          <w:szCs w:val="21"/>
          <w:lang w:eastAsia="zh-CN"/>
        </w:rPr>
        <w:t>采购人</w:t>
      </w:r>
      <w:r>
        <w:rPr>
          <w:rFonts w:hint="eastAsia" w:ascii="Times New Roman" w:hAnsi="Times New Roman"/>
          <w:color w:val="auto"/>
          <w:sz w:val="21"/>
          <w:szCs w:val="21"/>
        </w:rPr>
        <w:t>同意，再开展运维服务工作。本项目的工作应遵循以下标准和文件要求</w:t>
      </w:r>
      <w:r>
        <w:rPr>
          <w:rFonts w:ascii="Times New Roman" w:hAnsi="Times New Roman"/>
          <w:color w:val="auto"/>
          <w:sz w:val="21"/>
          <w:szCs w:val="21"/>
        </w:rPr>
        <w:t>（包括但不限于）：</w:t>
      </w:r>
    </w:p>
    <w:tbl>
      <w:tblPr>
        <w:tblStyle w:val="15"/>
        <w:tblW w:w="85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5801"/>
        <w:gridCol w:w="2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46" w:hRule="atLeast"/>
          <w:tblHeader/>
          <w:jc w:val="center"/>
        </w:trPr>
        <w:tc>
          <w:tcPr>
            <w:tcW w:w="5801" w:type="dxa"/>
            <w:shd w:val="clear" w:color="auto" w:fill="C7DAF1"/>
            <w:noWrap w:val="0"/>
          </w:tcPr>
          <w:p>
            <w:pPr>
              <w:jc w:val="center"/>
              <w:rPr>
                <w:rFonts w:hint="eastAsia" w:ascii="宋体" w:hAnsi="宋体" w:cs="宋体"/>
                <w:b/>
                <w:bCs/>
                <w:color w:val="auto"/>
                <w:sz w:val="21"/>
                <w:szCs w:val="21"/>
              </w:rPr>
            </w:pPr>
            <w:r>
              <w:rPr>
                <w:rFonts w:hint="eastAsia" w:ascii="宋体" w:hAnsi="宋体" w:cs="宋体"/>
                <w:b/>
                <w:bCs/>
                <w:color w:val="auto"/>
                <w:sz w:val="21"/>
                <w:szCs w:val="21"/>
              </w:rPr>
              <w:t>标准名称</w:t>
            </w:r>
          </w:p>
        </w:tc>
        <w:tc>
          <w:tcPr>
            <w:tcW w:w="2731" w:type="dxa"/>
            <w:shd w:val="clear" w:color="auto" w:fill="C7DAF1"/>
            <w:noWrap w:val="0"/>
            <w:vAlign w:val="top"/>
          </w:tcPr>
          <w:p>
            <w:pPr>
              <w:tabs>
                <w:tab w:val="right" w:pos="2019"/>
              </w:tabs>
              <w:jc w:val="center"/>
              <w:rPr>
                <w:rFonts w:hint="eastAsia" w:ascii="宋体" w:hAnsi="宋体" w:eastAsia="宋体" w:cs="宋体"/>
                <w:b/>
                <w:bCs/>
                <w:snapToGrid w:val="0"/>
                <w:color w:val="auto"/>
                <w:sz w:val="21"/>
                <w:szCs w:val="21"/>
                <w:lang w:val="en-US" w:eastAsia="zh-CN" w:bidi="ar-SA"/>
              </w:rPr>
            </w:pPr>
            <w:r>
              <w:rPr>
                <w:rFonts w:hint="eastAsia" w:ascii="宋体" w:hAnsi="宋体" w:cs="宋体"/>
                <w:b/>
                <w:bCs/>
                <w:color w:val="auto"/>
                <w:sz w:val="21"/>
                <w:szCs w:val="21"/>
              </w:rPr>
              <w:t>标准号或文号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580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zh-CN" w:eastAsia="zh-CN" w:bidi="ar-SA"/>
              </w:rPr>
              <w:t>《南方电网有限责任公司电力安全工作规程》</w:t>
            </w:r>
          </w:p>
        </w:tc>
        <w:tc>
          <w:tcPr>
            <w:tcW w:w="2731" w:type="dxa"/>
            <w:shd w:val="clear" w:color="auto" w:fill="auto"/>
            <w:noWrap w:val="0"/>
            <w:vAlign w:val="top"/>
          </w:tcPr>
          <w:p>
            <w:pPr>
              <w:rPr>
                <w:rFonts w:hint="eastAsia" w:ascii="Times New Roman" w:hAnsi="Times New Roman" w:eastAsia="宋体" w:cs="Times New Roman"/>
                <w:snapToGrid w:val="0"/>
                <w:color w:val="auto"/>
                <w:sz w:val="21"/>
                <w:szCs w:val="21"/>
                <w:lang w:val="zh-CN" w:eastAsia="zh-CN" w:bidi="ar-SA"/>
              </w:rPr>
            </w:pPr>
            <w:r>
              <w:rPr>
                <w:rFonts w:hint="eastAsia" w:ascii="Times New Roman" w:hAnsi="Times New Roman" w:eastAsia="宋体" w:cs="Times New Roman"/>
                <w:snapToGrid w:val="0"/>
                <w:color w:val="auto"/>
                <w:sz w:val="21"/>
                <w:szCs w:val="21"/>
                <w:lang w:val="en-US" w:eastAsia="zh-CN" w:bidi="ar-SA"/>
              </w:rPr>
              <w:t>Q/CSG510001-2015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580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zh-CN" w:eastAsia="zh-CN" w:bidi="ar-SA"/>
              </w:rPr>
              <w:t>《中国南方电网有限责任公司发供电企业业务外委管理办法》</w:t>
            </w:r>
          </w:p>
        </w:tc>
        <w:tc>
          <w:tcPr>
            <w:tcW w:w="2731" w:type="dxa"/>
            <w:shd w:val="clear" w:color="auto" w:fill="auto"/>
            <w:noWrap w:val="0"/>
            <w:vAlign w:val="top"/>
          </w:tcPr>
          <w:p>
            <w:pPr>
              <w:rPr>
                <w:rFonts w:hint="eastAsia" w:ascii="Times New Roman" w:hAnsi="Times New Roman" w:eastAsia="宋体" w:cs="Times New Roman"/>
                <w:snapToGrid w:val="0"/>
                <w:color w:val="auto"/>
                <w:sz w:val="21"/>
                <w:szCs w:val="21"/>
                <w:lang w:val="zh-CN" w:eastAsia="zh-CN" w:bidi="ar-SA"/>
              </w:rPr>
            </w:pPr>
            <w:r>
              <w:rPr>
                <w:rFonts w:hint="eastAsia" w:ascii="Times New Roman" w:hAnsi="Times New Roman" w:eastAsia="宋体" w:cs="Times New Roman"/>
                <w:snapToGrid w:val="0"/>
                <w:color w:val="auto"/>
                <w:sz w:val="21"/>
                <w:szCs w:val="21"/>
                <w:lang w:val="en-US" w:eastAsia="zh-CN" w:bidi="ar-SA"/>
              </w:rPr>
              <w:t>Q/CSG215001-2016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580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zh-CN" w:eastAsia="zh-CN" w:bidi="ar-SA"/>
              </w:rPr>
              <w:t>《中国南方电网有限责任公司信息运维服务外包管理指导意见》</w:t>
            </w:r>
          </w:p>
        </w:tc>
        <w:tc>
          <w:tcPr>
            <w:tcW w:w="2731" w:type="dxa"/>
            <w:shd w:val="clear" w:color="auto" w:fill="auto"/>
            <w:noWrap w:val="0"/>
            <w:vAlign w:val="top"/>
          </w:tcPr>
          <w:p>
            <w:pPr>
              <w:rPr>
                <w:rFonts w:hint="eastAsia" w:ascii="Times New Roman" w:hAnsi="Times New Roman" w:eastAsia="宋体" w:cs="Times New Roman"/>
                <w:snapToGrid w:val="0"/>
                <w:color w:val="auto"/>
                <w:sz w:val="21"/>
                <w:szCs w:val="21"/>
                <w:lang w:val="zh-CN" w:eastAsia="zh-CN" w:bidi="ar-SA"/>
              </w:rPr>
            </w:pPr>
            <w:r>
              <w:rPr>
                <w:rFonts w:hint="eastAsia" w:ascii="Times New Roman" w:hAnsi="Times New Roman" w:eastAsia="宋体" w:cs="Times New Roman"/>
                <w:snapToGrid w:val="0"/>
                <w:color w:val="auto"/>
                <w:sz w:val="21"/>
                <w:szCs w:val="21"/>
                <w:lang w:val="en-US" w:eastAsia="zh-CN" w:bidi="ar-SA"/>
              </w:rPr>
              <w:t>南方电网公司信息[2015]31号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580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《广西电网有限责任公司信息化项目进度管理细则》</w:t>
            </w:r>
          </w:p>
        </w:tc>
        <w:tc>
          <w:tcPr>
            <w:tcW w:w="273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Q/CSG-GXPG218004-2014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jc w:val="center"/>
        </w:trPr>
        <w:tc>
          <w:tcPr>
            <w:tcW w:w="580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《广西电网有限责任公司信息化项目实施管理细则》</w:t>
            </w:r>
          </w:p>
        </w:tc>
        <w:tc>
          <w:tcPr>
            <w:tcW w:w="273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Q/CSG-GXPG218009-2014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3" w:hRule="atLeast"/>
          <w:jc w:val="center"/>
        </w:trPr>
        <w:tc>
          <w:tcPr>
            <w:tcW w:w="580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《广西电网有限责任公司信息化项目质量管理细则》</w:t>
            </w:r>
          </w:p>
        </w:tc>
        <w:tc>
          <w:tcPr>
            <w:tcW w:w="273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Q/CSG-GXPG218012-2014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3" w:hRule="atLeast"/>
          <w:jc w:val="center"/>
        </w:trPr>
        <w:tc>
          <w:tcPr>
            <w:tcW w:w="580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《广西电网有限责任公司信息化项目验收管理细则》</w:t>
            </w:r>
          </w:p>
        </w:tc>
        <w:tc>
          <w:tcPr>
            <w:tcW w:w="273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Q/CSG—GXPG218011-2014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3" w:hRule="atLeast"/>
          <w:jc w:val="center"/>
        </w:trPr>
        <w:tc>
          <w:tcPr>
            <w:tcW w:w="580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《广西电网有限责任公司信息安全防护管理管理细则》</w:t>
            </w:r>
          </w:p>
        </w:tc>
        <w:tc>
          <w:tcPr>
            <w:tcW w:w="273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Q/CSG-GXPG218008-2014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3" w:hRule="atLeast"/>
          <w:jc w:val="center"/>
        </w:trPr>
        <w:tc>
          <w:tcPr>
            <w:tcW w:w="5801" w:type="dxa"/>
            <w:shd w:val="clear" w:color="auto" w:fill="auto"/>
            <w:noWrap w:val="0"/>
            <w:vAlign w:val="top"/>
          </w:tcPr>
          <w:p>
            <w:pPr>
              <w:rPr>
                <w:rFonts w:hint="eastAsia" w:ascii="Times New Roman" w:hAnsi="Times New Roman" w:eastAsia="宋体" w:cs="Times New Roman"/>
                <w:snapToGrid w:val="0"/>
                <w:color w:val="auto"/>
                <w:sz w:val="21"/>
                <w:szCs w:val="21"/>
                <w:lang w:val="zh-CN" w:eastAsia="zh-CN" w:bidi="ar-SA"/>
              </w:rPr>
            </w:pPr>
            <w:r>
              <w:rPr>
                <w:rFonts w:hint="eastAsia" w:ascii="Times New Roman" w:hAnsi="Times New Roman" w:eastAsia="宋体" w:cs="Times New Roman"/>
                <w:snapToGrid w:val="0"/>
                <w:color w:val="auto"/>
                <w:sz w:val="21"/>
                <w:szCs w:val="21"/>
                <w:lang w:val="en-US" w:eastAsia="zh-CN" w:bidi="ar-SA"/>
              </w:rPr>
              <w:t>《计算机终端及外设定期巡检作业指导书》</w:t>
            </w:r>
          </w:p>
        </w:tc>
        <w:tc>
          <w:tcPr>
            <w:tcW w:w="273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QCSG-GXPG-YLG-416009-2014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3" w:hRule="atLeast"/>
          <w:jc w:val="center"/>
        </w:trPr>
        <w:tc>
          <w:tcPr>
            <w:tcW w:w="5801" w:type="dxa"/>
            <w:shd w:val="clear" w:color="auto" w:fill="auto"/>
            <w:noWrap w:val="0"/>
            <w:vAlign w:val="top"/>
          </w:tcPr>
          <w:p>
            <w:pPr>
              <w:rPr>
                <w:rFonts w:hint="eastAsia" w:ascii="Times New Roman" w:hAnsi="Times New Roman" w:eastAsia="宋体" w:cs="Times New Roman"/>
                <w:snapToGrid w:val="0"/>
                <w:color w:val="auto"/>
                <w:sz w:val="21"/>
                <w:szCs w:val="21"/>
                <w:lang w:val="zh-CN" w:eastAsia="zh-CN" w:bidi="ar-SA"/>
              </w:rPr>
            </w:pPr>
            <w:r>
              <w:rPr>
                <w:rFonts w:hint="eastAsia" w:ascii="Times New Roman" w:hAnsi="Times New Roman" w:eastAsia="宋体" w:cs="Times New Roman"/>
                <w:snapToGrid w:val="0"/>
                <w:color w:val="auto"/>
                <w:sz w:val="21"/>
                <w:szCs w:val="21"/>
                <w:lang w:val="en-US" w:eastAsia="zh-CN" w:bidi="ar-SA"/>
              </w:rPr>
              <w:t>《计算机终端初始化配置作业指导书》</w:t>
            </w:r>
          </w:p>
        </w:tc>
        <w:tc>
          <w:tcPr>
            <w:tcW w:w="273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QCSG-GXPG-YLG-4160011-2014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3" w:hRule="atLeast"/>
          <w:jc w:val="center"/>
        </w:trPr>
        <w:tc>
          <w:tcPr>
            <w:tcW w:w="5801" w:type="dxa"/>
            <w:shd w:val="clear" w:color="auto" w:fill="auto"/>
            <w:noWrap w:val="0"/>
            <w:vAlign w:val="top"/>
          </w:tcPr>
          <w:p>
            <w:pPr>
              <w:rPr>
                <w:rFonts w:hint="eastAsia" w:ascii="Times New Roman" w:hAnsi="Times New Roman" w:eastAsia="宋体" w:cs="Times New Roman"/>
                <w:snapToGrid w:val="0"/>
                <w:color w:val="auto"/>
                <w:sz w:val="21"/>
                <w:szCs w:val="21"/>
                <w:lang w:val="zh-CN" w:eastAsia="zh-CN" w:bidi="ar-SA"/>
              </w:rPr>
            </w:pPr>
            <w:r>
              <w:rPr>
                <w:rFonts w:hint="eastAsia" w:ascii="Times New Roman" w:hAnsi="Times New Roman" w:eastAsia="宋体" w:cs="Times New Roman"/>
                <w:snapToGrid w:val="0"/>
                <w:color w:val="auto"/>
                <w:sz w:val="21"/>
                <w:szCs w:val="21"/>
                <w:lang w:val="en-US" w:eastAsia="zh-CN" w:bidi="ar-SA"/>
              </w:rPr>
              <w:t>《计算机终端报废作业指导书》</w:t>
            </w:r>
          </w:p>
        </w:tc>
        <w:tc>
          <w:tcPr>
            <w:tcW w:w="2731" w:type="dxa"/>
            <w:shd w:val="clear" w:color="auto" w:fill="auto"/>
            <w:noWrap w:val="0"/>
            <w:vAlign w:val="top"/>
          </w:tcPr>
          <w:p>
            <w:pPr>
              <w:rPr>
                <w:rFonts w:hint="eastAsia" w:ascii="Times New Roman" w:hAnsi="Times New Roman" w:eastAsia="宋体" w:cs="Times New Roman"/>
                <w:snapToGrid w:val="0"/>
                <w:color w:val="auto"/>
                <w:sz w:val="21"/>
                <w:szCs w:val="21"/>
                <w:lang w:val="en-US" w:eastAsia="zh-CN" w:bidi="ar-SA"/>
              </w:rPr>
            </w:pPr>
            <w:r>
              <w:rPr>
                <w:rFonts w:hint="eastAsia" w:ascii="Times New Roman" w:hAnsi="Times New Roman" w:eastAsia="宋体" w:cs="Times New Roman"/>
                <w:snapToGrid w:val="0"/>
                <w:color w:val="auto"/>
                <w:sz w:val="21"/>
                <w:szCs w:val="21"/>
                <w:lang w:val="en-US" w:eastAsia="zh-CN" w:bidi="ar-SA"/>
              </w:rPr>
              <w:t>QCSG-GXPG-YLG-4160012-2014</w:t>
            </w:r>
          </w:p>
        </w:tc>
      </w:tr>
    </w:tbl>
    <w:p>
      <w:pPr>
        <w:pStyle w:val="14"/>
        <w:numPr>
          <w:ilvl w:val="2"/>
          <w:numId w:val="0"/>
        </w:numPr>
        <w:spacing w:line="360" w:lineRule="auto"/>
        <w:ind w:leftChars="0"/>
        <w:rPr>
          <w:rFonts w:hint="default" w:ascii="Times New Roman" w:hAnsi="Times New Roman"/>
          <w:color w:val="auto"/>
          <w:sz w:val="21"/>
          <w:szCs w:val="21"/>
        </w:rPr>
      </w:pPr>
    </w:p>
    <w:p>
      <w:pPr>
        <w:pStyle w:val="13"/>
        <w:spacing w:line="360" w:lineRule="auto"/>
        <w:rPr>
          <w:rFonts w:hint="eastAsia" w:ascii="Times New Roman" w:hAnsi="Times New Roman"/>
          <w:color w:val="auto"/>
          <w:sz w:val="21"/>
          <w:szCs w:val="21"/>
        </w:rPr>
      </w:pPr>
      <w:r>
        <w:rPr>
          <w:rFonts w:hint="eastAsia" w:ascii="Times New Roman" w:hAnsi="Times New Roman"/>
          <w:color w:val="auto"/>
          <w:sz w:val="21"/>
          <w:szCs w:val="21"/>
        </w:rPr>
        <w:t>验收要求</w:t>
      </w:r>
    </w:p>
    <w:p>
      <w:pPr>
        <w:pStyle w:val="14"/>
        <w:spacing w:line="360" w:lineRule="auto"/>
        <w:ind w:left="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eastAsia="zh-CN"/>
        </w:rPr>
        <w:t>报</w:t>
      </w:r>
      <w:r>
        <w:rPr>
          <w:rFonts w:hint="eastAsia" w:ascii="Times New Roman" w:hAnsi="Times New Roman" w:eastAsia="宋体" w:cs="Times New Roman"/>
          <w:color w:val="auto"/>
          <w:sz w:val="21"/>
          <w:szCs w:val="21"/>
          <w:lang w:val="en-US" w:eastAsia="zh-CN"/>
        </w:rPr>
        <w:t>当项目达到合同约定的验收条件时，报价人应先完成自检，并在验收前30个工作日，以书面形式通知采购人组织验收或付款，通知应明确验收内容、时间及地点。报价人须准备完整的验收资料（包括但不限于：拨打号码显示正确的认证信息佐证材料等），并承担相关费用。</w:t>
      </w:r>
    </w:p>
    <w:p>
      <w:pPr>
        <w:pStyle w:val="14"/>
        <w:spacing w:line="360" w:lineRule="auto"/>
        <w:ind w:left="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项目验收标准：</w:t>
      </w:r>
      <w:r>
        <w:rPr>
          <w:rFonts w:hint="eastAsia" w:ascii="Times New Roman" w:hAnsi="Times New Roman" w:eastAsia="宋体" w:cs="Times New Roman"/>
          <w:color w:val="auto"/>
          <w:sz w:val="21"/>
          <w:szCs w:val="21"/>
        </w:rPr>
        <w:t>项目过程文档齐全、规范</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rPr>
        <w:t>按技术指标要求提供佐证材料，内容完整、真实、准确。</w:t>
      </w:r>
    </w:p>
    <w:p>
      <w:pPr>
        <w:pStyle w:val="14"/>
        <w:spacing w:line="360" w:lineRule="auto"/>
        <w:ind w:left="0"/>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因非报价人原因导致项目验收未达标准及约定要求的，采购人可要求相关单位整改，报价人应配合按整改意见落实。</w:t>
      </w:r>
    </w:p>
    <w:p>
      <w:pPr>
        <w:pStyle w:val="14"/>
        <w:spacing w:line="360" w:lineRule="auto"/>
        <w:ind w:left="0"/>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因报价人原因导致项目验收未达标准及约定要求的，报价人须按采购人要求及时补救或返工，并承担由此产生的返工、复测及重新验收等全部费用。</w:t>
      </w:r>
    </w:p>
    <w:p>
      <w:pPr>
        <w:pStyle w:val="13"/>
        <w:spacing w:line="360" w:lineRule="auto"/>
        <w:rPr>
          <w:color w:val="auto"/>
        </w:rPr>
      </w:pPr>
      <w:r>
        <w:rPr>
          <w:rFonts w:hint="eastAsia" w:ascii="Times New Roman" w:hAnsi="Times New Roman"/>
          <w:color w:val="auto"/>
          <w:sz w:val="21"/>
          <w:szCs w:val="21"/>
        </w:rPr>
        <w:t>其他要求</w:t>
      </w:r>
      <w:bookmarkStart w:id="1" w:name="_Toc2343267"/>
      <w:r>
        <w:rPr>
          <w:rFonts w:hint="default"/>
          <w:color w:val="auto"/>
        </w:rPr>
        <w:t>‌</w:t>
      </w:r>
    </w:p>
    <w:p>
      <w:pPr>
        <w:pStyle w:val="13"/>
        <w:numPr>
          <w:ilvl w:val="1"/>
          <w:numId w:val="0"/>
        </w:numPr>
        <w:spacing w:line="360" w:lineRule="auto"/>
        <w:ind w:leftChars="0"/>
        <w:outlineLvl w:val="2"/>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1.11.1</w:t>
      </w:r>
      <w:r>
        <w:rPr>
          <w:rFonts w:hint="eastAsia" w:ascii="Times New Roman" w:hAnsi="Times New Roman" w:eastAsia="宋体" w:cs="Times New Roman"/>
          <w:color w:val="auto"/>
          <w:sz w:val="21"/>
          <w:szCs w:val="21"/>
          <w:lang w:eastAsia="zh-CN"/>
        </w:rPr>
        <w:t>报价人</w:t>
      </w:r>
      <w:r>
        <w:rPr>
          <w:rFonts w:hint="eastAsia" w:ascii="Times New Roman" w:hAnsi="Times New Roman" w:eastAsia="宋体" w:cs="Times New Roman"/>
          <w:color w:val="auto"/>
          <w:sz w:val="21"/>
          <w:szCs w:val="21"/>
        </w:rPr>
        <w:t>的责任</w:t>
      </w:r>
      <w:r>
        <w:rPr>
          <w:rFonts w:hint="eastAsia" w:ascii="Times New Roman" w:hAnsi="Times New Roman" w:eastAsia="宋体" w:cs="Times New Roman"/>
          <w:color w:val="auto"/>
          <w:sz w:val="21"/>
          <w:szCs w:val="21"/>
          <w:lang w:val="en-US" w:eastAsia="zh-CN"/>
        </w:rPr>
        <w:t>要求</w:t>
      </w:r>
    </w:p>
    <w:p>
      <w:pPr>
        <w:numPr>
          <w:ilvl w:val="0"/>
          <w:numId w:val="5"/>
        </w:num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按照合同约定，完成投标工作范围内的全部工作。</w:t>
      </w:r>
    </w:p>
    <w:p>
      <w:pPr>
        <w:numPr>
          <w:ilvl w:val="0"/>
          <w:numId w:val="5"/>
        </w:num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报价人</w:t>
      </w:r>
      <w:r>
        <w:rPr>
          <w:rFonts w:hint="eastAsia" w:ascii="宋体" w:hAnsi="宋体" w:eastAsia="宋体" w:cs="宋体"/>
          <w:sz w:val="21"/>
          <w:szCs w:val="21"/>
          <w:highlight w:val="none"/>
        </w:rPr>
        <w:t>负责在整个项目过程中保证项目的质量。若由于</w:t>
      </w:r>
      <w:r>
        <w:rPr>
          <w:rFonts w:hint="eastAsia" w:ascii="宋体" w:hAnsi="宋体" w:eastAsia="宋体" w:cs="宋体"/>
          <w:sz w:val="21"/>
          <w:szCs w:val="21"/>
          <w:highlight w:val="none"/>
          <w:lang w:eastAsia="zh-CN"/>
        </w:rPr>
        <w:t>报价人</w:t>
      </w:r>
      <w:r>
        <w:rPr>
          <w:rFonts w:hint="eastAsia" w:ascii="宋体" w:hAnsi="宋体" w:eastAsia="宋体" w:cs="宋体"/>
          <w:sz w:val="21"/>
          <w:szCs w:val="21"/>
          <w:highlight w:val="none"/>
        </w:rPr>
        <w:t>自身原因出现了项目质量事故由</w:t>
      </w:r>
      <w:r>
        <w:rPr>
          <w:rFonts w:hint="eastAsia" w:ascii="宋体" w:hAnsi="宋体" w:eastAsia="宋体" w:cs="宋体"/>
          <w:sz w:val="21"/>
          <w:szCs w:val="21"/>
          <w:highlight w:val="none"/>
          <w:lang w:eastAsia="zh-CN"/>
        </w:rPr>
        <w:t>报价人</w:t>
      </w:r>
      <w:r>
        <w:rPr>
          <w:rFonts w:hint="eastAsia" w:ascii="宋体" w:hAnsi="宋体" w:eastAsia="宋体" w:cs="宋体"/>
          <w:sz w:val="21"/>
          <w:szCs w:val="21"/>
          <w:highlight w:val="none"/>
        </w:rPr>
        <w:t>负责。</w:t>
      </w:r>
    </w:p>
    <w:p>
      <w:pPr>
        <w:numPr>
          <w:ilvl w:val="0"/>
          <w:numId w:val="5"/>
        </w:num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本项目不得转让或分包，如违约转让或分包，由</w:t>
      </w:r>
      <w:r>
        <w:rPr>
          <w:rFonts w:hint="eastAsia" w:ascii="宋体" w:hAnsi="宋体" w:eastAsia="宋体" w:cs="宋体"/>
          <w:sz w:val="21"/>
          <w:szCs w:val="21"/>
          <w:highlight w:val="none"/>
          <w:lang w:eastAsia="zh-CN"/>
        </w:rPr>
        <w:t>报价人</w:t>
      </w:r>
      <w:r>
        <w:rPr>
          <w:rFonts w:hint="eastAsia" w:ascii="宋体" w:hAnsi="宋体" w:eastAsia="宋体" w:cs="宋体"/>
          <w:sz w:val="21"/>
          <w:szCs w:val="21"/>
          <w:highlight w:val="none"/>
        </w:rPr>
        <w:t>承担违约责任。</w:t>
      </w:r>
    </w:p>
    <w:p>
      <w:pPr>
        <w:pStyle w:val="13"/>
        <w:spacing w:line="360" w:lineRule="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r>
        <w:rPr>
          <w:rFonts w:hint="eastAsia" w:ascii="Times New Roman" w:hAnsi="Times New Roman" w:eastAsia="宋体" w:cs="Times New Roman"/>
          <w:color w:val="auto"/>
          <w:sz w:val="21"/>
          <w:szCs w:val="21"/>
          <w:lang w:val="en-US" w:eastAsia="zh-CN"/>
        </w:rPr>
        <w:t>项目</w:t>
      </w:r>
      <w:r>
        <w:rPr>
          <w:rFonts w:hint="eastAsia" w:ascii="Times New Roman" w:hAnsi="Times New Roman" w:eastAsia="宋体" w:cs="Times New Roman"/>
          <w:color w:val="auto"/>
          <w:sz w:val="21"/>
          <w:szCs w:val="21"/>
        </w:rPr>
        <w:t>资料和文件</w:t>
      </w:r>
      <w:r>
        <w:rPr>
          <w:rFonts w:hint="eastAsia" w:ascii="Times New Roman" w:hAnsi="Times New Roman" w:eastAsia="宋体" w:cs="Times New Roman"/>
          <w:color w:val="auto"/>
          <w:sz w:val="21"/>
          <w:szCs w:val="21"/>
          <w:lang w:val="en-US" w:eastAsia="zh-CN"/>
        </w:rPr>
        <w:t>要求</w:t>
      </w:r>
    </w:p>
    <w:p>
      <w:pPr>
        <w:pStyle w:val="14"/>
        <w:spacing w:line="360" w:lineRule="auto"/>
        <w:ind w:left="0"/>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报价人报价人须准备完整的验收资料（包括但不限于：拨打号码显示正确的认证信息佐证材料等）。</w:t>
      </w:r>
    </w:p>
    <w:p>
      <w:pPr>
        <w:pStyle w:val="14"/>
        <w:spacing w:line="360" w:lineRule="auto"/>
        <w:ind w:left="0"/>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报价人应向采购人需求提供项目的全部过程资料的电子版。</w:t>
      </w:r>
    </w:p>
    <w:p>
      <w:pPr>
        <w:pStyle w:val="13"/>
        <w:spacing w:line="360" w:lineRule="auto"/>
        <w:rPr>
          <w:rFonts w:ascii="Times New Roman" w:hAnsi="Times New Roman"/>
          <w:color w:val="auto"/>
          <w:sz w:val="21"/>
          <w:szCs w:val="21"/>
        </w:rPr>
      </w:pPr>
      <w:r>
        <w:rPr>
          <w:rFonts w:ascii="Times New Roman" w:hAnsi="Times New Roman"/>
          <w:color w:val="auto"/>
          <w:sz w:val="21"/>
          <w:szCs w:val="21"/>
        </w:rPr>
        <w:t>违规行为追究要求</w:t>
      </w:r>
    </w:p>
    <w:p>
      <w:pPr>
        <w:pStyle w:val="14"/>
        <w:numPr>
          <w:ilvl w:val="0"/>
          <w:numId w:val="0"/>
        </w:numPr>
        <w:spacing w:line="360" w:lineRule="auto"/>
        <w:rPr>
          <w:rFonts w:ascii="Times New Roman" w:hAnsi="Times New Roman"/>
          <w:color w:val="auto"/>
          <w:sz w:val="21"/>
          <w:szCs w:val="21"/>
        </w:rPr>
      </w:pPr>
      <w:r>
        <w:rPr>
          <w:rFonts w:hint="eastAsia"/>
          <w:color w:val="auto"/>
          <w:sz w:val="21"/>
          <w:szCs w:val="21"/>
          <w:lang w:eastAsia="zh-CN"/>
        </w:rPr>
        <w:t>报价人</w:t>
      </w:r>
      <w:r>
        <w:rPr>
          <w:rFonts w:ascii="Times New Roman" w:hAnsi="Times New Roman"/>
          <w:color w:val="auto"/>
          <w:sz w:val="21"/>
          <w:szCs w:val="21"/>
        </w:rPr>
        <w:t>如出现以下违规行为，</w:t>
      </w:r>
      <w:r>
        <w:rPr>
          <w:rFonts w:hint="eastAsia"/>
          <w:color w:val="auto"/>
          <w:sz w:val="21"/>
          <w:szCs w:val="21"/>
          <w:lang w:eastAsia="zh-CN"/>
        </w:rPr>
        <w:t>采购人</w:t>
      </w:r>
      <w:r>
        <w:rPr>
          <w:rFonts w:ascii="Times New Roman" w:hAnsi="Times New Roman"/>
          <w:color w:val="auto"/>
          <w:sz w:val="21"/>
          <w:szCs w:val="21"/>
        </w:rPr>
        <w:t>将追究</w:t>
      </w:r>
      <w:r>
        <w:rPr>
          <w:rFonts w:hint="eastAsia"/>
          <w:color w:val="auto"/>
          <w:sz w:val="21"/>
          <w:szCs w:val="21"/>
          <w:lang w:eastAsia="zh-CN"/>
        </w:rPr>
        <w:t>报价人</w:t>
      </w:r>
      <w:r>
        <w:rPr>
          <w:rFonts w:ascii="Times New Roman" w:hAnsi="Times New Roman"/>
          <w:color w:val="auto"/>
          <w:sz w:val="21"/>
          <w:szCs w:val="21"/>
        </w:rPr>
        <w:t>责任。</w:t>
      </w:r>
    </w:p>
    <w:p>
      <w:pPr>
        <w:pStyle w:val="14"/>
        <w:spacing w:line="360" w:lineRule="auto"/>
        <w:ind w:left="0"/>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项目管理混乱，致使建设严重拖期。</w:t>
      </w:r>
    </w:p>
    <w:p>
      <w:pPr>
        <w:pStyle w:val="14"/>
        <w:spacing w:line="360" w:lineRule="auto"/>
        <w:ind w:left="0"/>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报价人提供的人员因未按照采购人及驻点单位管理要求开展工作，导致被用户投诉或造成采购人其他方面的损失，采购人有权追究报价人责任。</w:t>
      </w:r>
      <w:bookmarkEnd w:id="1"/>
    </w:p>
    <w:p>
      <w:pPr>
        <w:pStyle w:val="12"/>
        <w:spacing w:line="360" w:lineRule="auto"/>
        <w:rPr>
          <w:rFonts w:ascii="Times New Roman" w:hAnsi="Times New Roman"/>
          <w:color w:val="auto"/>
          <w:sz w:val="21"/>
          <w:szCs w:val="21"/>
        </w:rPr>
      </w:pPr>
      <w:bookmarkStart w:id="2" w:name="_Toc93490630"/>
      <w:bookmarkStart w:id="3" w:name="_Toc93490580"/>
      <w:bookmarkStart w:id="4" w:name="_Toc351129176"/>
      <w:bookmarkStart w:id="5" w:name="_Toc93490801"/>
      <w:bookmarkStart w:id="6" w:name="_Toc137397828"/>
      <w:bookmarkStart w:id="7" w:name="_Toc167003829"/>
      <w:bookmarkStart w:id="8" w:name="_Toc2343270"/>
      <w:r>
        <w:rPr>
          <w:rFonts w:ascii="Times New Roman" w:hAnsi="Times New Roman"/>
          <w:color w:val="auto"/>
          <w:sz w:val="21"/>
          <w:szCs w:val="21"/>
        </w:rPr>
        <w:t>附件</w:t>
      </w:r>
      <w:bookmarkEnd w:id="2"/>
      <w:bookmarkEnd w:id="3"/>
      <w:bookmarkEnd w:id="4"/>
      <w:bookmarkEnd w:id="5"/>
      <w:bookmarkEnd w:id="6"/>
      <w:bookmarkEnd w:id="7"/>
      <w:bookmarkEnd w:id="8"/>
    </w:p>
    <w:p>
      <w:pPr>
        <w:pStyle w:val="13"/>
        <w:spacing w:line="360" w:lineRule="auto"/>
        <w:rPr>
          <w:rFonts w:hint="eastAsia" w:ascii="宋体" w:hAnsi="宋体" w:cs="宋体"/>
          <w:color w:val="auto"/>
          <w:sz w:val="21"/>
          <w:szCs w:val="21"/>
        </w:rPr>
      </w:pPr>
      <w:r>
        <w:rPr>
          <w:rFonts w:hint="eastAsia" w:ascii="宋体" w:hAnsi="宋体" w:cs="宋体"/>
          <w:color w:val="auto"/>
          <w:sz w:val="21"/>
          <w:szCs w:val="21"/>
          <w:lang w:eastAsia="zh-CN"/>
        </w:rPr>
        <w:t>采购</w:t>
      </w:r>
      <w:r>
        <w:rPr>
          <w:rFonts w:hint="eastAsia" w:ascii="宋体" w:hAnsi="宋体" w:cs="宋体"/>
          <w:color w:val="auto"/>
          <w:sz w:val="21"/>
          <w:szCs w:val="21"/>
        </w:rPr>
        <w:t>差异表</w:t>
      </w:r>
    </w:p>
    <w:p>
      <w:pPr>
        <w:autoSpaceDE w:val="0"/>
        <w:autoSpaceDN w:val="0"/>
        <w:adjustRightInd w:val="0"/>
        <w:spacing w:line="360" w:lineRule="auto"/>
        <w:jc w:val="center"/>
        <w:rPr>
          <w:rFonts w:ascii="Times New Roman" w:hAnsi="Times New Roman"/>
          <w:color w:val="auto"/>
          <w:sz w:val="21"/>
          <w:szCs w:val="21"/>
        </w:rPr>
      </w:pPr>
      <w:r>
        <w:rPr>
          <w:rFonts w:ascii="Times New Roman" w:hAnsi="Times New Roman"/>
          <w:color w:val="auto"/>
          <w:sz w:val="21"/>
          <w:szCs w:val="21"/>
        </w:rPr>
        <w:t xml:space="preserve">         </w:t>
      </w:r>
    </w:p>
    <w:tbl>
      <w:tblPr>
        <w:tblStyle w:val="15"/>
        <w:tblW w:w="8591"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856"/>
        <w:gridCol w:w="1863"/>
        <w:gridCol w:w="1847"/>
        <w:gridCol w:w="2012"/>
        <w:gridCol w:w="2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56" w:hRule="exact"/>
        </w:trPr>
        <w:tc>
          <w:tcPr>
            <w:tcW w:w="856" w:type="dxa"/>
            <w:shd w:val="clear" w:color="auto" w:fill="auto"/>
            <w:noWrap w:val="0"/>
            <w:vAlign w:val="center"/>
          </w:tcPr>
          <w:p>
            <w:pPr>
              <w:pStyle w:val="16"/>
              <w:spacing w:line="360" w:lineRule="auto"/>
              <w:jc w:val="center"/>
              <w:rPr>
                <w:rFonts w:ascii="Times New Roman" w:hAnsi="Times New Roman"/>
                <w:color w:val="auto"/>
                <w:sz w:val="21"/>
                <w:szCs w:val="21"/>
              </w:rPr>
            </w:pPr>
            <w:r>
              <w:rPr>
                <w:rFonts w:ascii="Times New Roman" w:hAnsi="Times New Roman"/>
                <w:color w:val="auto"/>
                <w:sz w:val="21"/>
                <w:szCs w:val="21"/>
              </w:rPr>
              <w:t>序号</w:t>
            </w:r>
          </w:p>
        </w:tc>
        <w:tc>
          <w:tcPr>
            <w:tcW w:w="1863" w:type="dxa"/>
            <w:shd w:val="clear" w:color="auto" w:fill="auto"/>
            <w:noWrap w:val="0"/>
            <w:vAlign w:val="center"/>
          </w:tcPr>
          <w:p>
            <w:pPr>
              <w:pStyle w:val="16"/>
              <w:spacing w:line="360" w:lineRule="auto"/>
              <w:jc w:val="center"/>
              <w:rPr>
                <w:rFonts w:ascii="Times New Roman" w:hAnsi="Times New Roman"/>
                <w:color w:val="auto"/>
                <w:sz w:val="21"/>
                <w:szCs w:val="21"/>
              </w:rPr>
            </w:pPr>
            <w:r>
              <w:rPr>
                <w:rFonts w:hint="eastAsia"/>
                <w:color w:val="auto"/>
                <w:sz w:val="21"/>
                <w:szCs w:val="21"/>
                <w:lang w:eastAsia="zh-CN"/>
              </w:rPr>
              <w:t>采购文件</w:t>
            </w:r>
            <w:r>
              <w:rPr>
                <w:rFonts w:ascii="Times New Roman" w:hAnsi="Times New Roman"/>
                <w:color w:val="auto"/>
                <w:sz w:val="21"/>
                <w:szCs w:val="21"/>
              </w:rPr>
              <w:t>条目</w:t>
            </w:r>
          </w:p>
        </w:tc>
        <w:tc>
          <w:tcPr>
            <w:tcW w:w="1847" w:type="dxa"/>
            <w:shd w:val="clear" w:color="auto" w:fill="auto"/>
            <w:noWrap w:val="0"/>
            <w:vAlign w:val="center"/>
          </w:tcPr>
          <w:p>
            <w:pPr>
              <w:pStyle w:val="16"/>
              <w:spacing w:line="360" w:lineRule="auto"/>
              <w:jc w:val="center"/>
              <w:rPr>
                <w:rFonts w:ascii="Times New Roman" w:hAnsi="Times New Roman"/>
                <w:color w:val="auto"/>
                <w:sz w:val="21"/>
                <w:szCs w:val="21"/>
              </w:rPr>
            </w:pPr>
            <w:r>
              <w:rPr>
                <w:rFonts w:hint="eastAsia"/>
                <w:color w:val="auto"/>
                <w:sz w:val="21"/>
                <w:szCs w:val="21"/>
                <w:lang w:eastAsia="zh-CN"/>
              </w:rPr>
              <w:t>采购文件</w:t>
            </w:r>
            <w:r>
              <w:rPr>
                <w:rFonts w:ascii="Times New Roman" w:hAnsi="Times New Roman"/>
                <w:color w:val="auto"/>
                <w:sz w:val="21"/>
                <w:szCs w:val="21"/>
              </w:rPr>
              <w:t>条款</w:t>
            </w:r>
          </w:p>
        </w:tc>
        <w:tc>
          <w:tcPr>
            <w:tcW w:w="2012" w:type="dxa"/>
            <w:shd w:val="clear" w:color="auto" w:fill="auto"/>
            <w:noWrap w:val="0"/>
            <w:vAlign w:val="center"/>
          </w:tcPr>
          <w:p>
            <w:pPr>
              <w:pStyle w:val="16"/>
              <w:spacing w:line="360" w:lineRule="auto"/>
              <w:jc w:val="center"/>
              <w:rPr>
                <w:rFonts w:ascii="Times New Roman" w:hAnsi="Times New Roman"/>
                <w:color w:val="auto"/>
                <w:sz w:val="21"/>
                <w:szCs w:val="21"/>
              </w:rPr>
            </w:pPr>
            <w:r>
              <w:rPr>
                <w:rFonts w:ascii="Times New Roman" w:hAnsi="Times New Roman"/>
                <w:color w:val="auto"/>
                <w:sz w:val="21"/>
                <w:szCs w:val="21"/>
                <w:lang w:eastAsia="zh-CN"/>
              </w:rPr>
              <w:t>响应文件</w:t>
            </w:r>
            <w:r>
              <w:rPr>
                <w:rFonts w:ascii="Times New Roman" w:hAnsi="Times New Roman"/>
                <w:color w:val="auto"/>
                <w:sz w:val="21"/>
                <w:szCs w:val="21"/>
              </w:rPr>
              <w:t>条款</w:t>
            </w:r>
          </w:p>
        </w:tc>
        <w:tc>
          <w:tcPr>
            <w:tcW w:w="2013" w:type="dxa"/>
            <w:shd w:val="clear" w:color="auto" w:fill="auto"/>
            <w:noWrap w:val="0"/>
            <w:vAlign w:val="center"/>
          </w:tcPr>
          <w:p>
            <w:pPr>
              <w:pStyle w:val="16"/>
              <w:spacing w:line="360" w:lineRule="auto"/>
              <w:jc w:val="center"/>
              <w:rPr>
                <w:rFonts w:ascii="Times New Roman" w:hAnsi="Times New Roman"/>
                <w:color w:val="auto"/>
                <w:sz w:val="21"/>
                <w:szCs w:val="21"/>
              </w:rPr>
            </w:pPr>
            <w:r>
              <w:rPr>
                <w:rFonts w:ascii="Times New Roman" w:hAnsi="Times New Roman"/>
                <w:color w:val="auto"/>
                <w:sz w:val="21"/>
                <w:szCs w:val="21"/>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70" w:hRule="exact"/>
        </w:trPr>
        <w:tc>
          <w:tcPr>
            <w:tcW w:w="856" w:type="dxa"/>
            <w:shd w:val="clear" w:color="auto" w:fill="auto"/>
            <w:noWrap w:val="0"/>
          </w:tcPr>
          <w:p>
            <w:pPr>
              <w:spacing w:line="360" w:lineRule="auto"/>
              <w:rPr>
                <w:rFonts w:ascii="Times New Roman" w:hAnsi="Times New Roman"/>
                <w:color w:val="auto"/>
                <w:sz w:val="21"/>
                <w:szCs w:val="21"/>
              </w:rPr>
            </w:pPr>
          </w:p>
        </w:tc>
        <w:tc>
          <w:tcPr>
            <w:tcW w:w="1863" w:type="dxa"/>
            <w:shd w:val="clear" w:color="auto" w:fill="auto"/>
            <w:noWrap w:val="0"/>
          </w:tcPr>
          <w:p>
            <w:pPr>
              <w:spacing w:line="360" w:lineRule="auto"/>
              <w:rPr>
                <w:rFonts w:ascii="Times New Roman" w:hAnsi="Times New Roman"/>
                <w:color w:val="auto"/>
                <w:sz w:val="21"/>
                <w:szCs w:val="21"/>
              </w:rPr>
            </w:pPr>
          </w:p>
        </w:tc>
        <w:tc>
          <w:tcPr>
            <w:tcW w:w="1847" w:type="dxa"/>
            <w:shd w:val="clear" w:color="auto" w:fill="auto"/>
            <w:noWrap w:val="0"/>
          </w:tcPr>
          <w:p>
            <w:pPr>
              <w:spacing w:line="360" w:lineRule="auto"/>
              <w:rPr>
                <w:rFonts w:ascii="Times New Roman" w:hAnsi="Times New Roman"/>
                <w:color w:val="auto"/>
                <w:sz w:val="21"/>
                <w:szCs w:val="21"/>
              </w:rPr>
            </w:pPr>
          </w:p>
        </w:tc>
        <w:tc>
          <w:tcPr>
            <w:tcW w:w="2012" w:type="dxa"/>
            <w:shd w:val="clear" w:color="auto" w:fill="auto"/>
            <w:noWrap w:val="0"/>
          </w:tcPr>
          <w:p>
            <w:pPr>
              <w:spacing w:line="360" w:lineRule="auto"/>
              <w:rPr>
                <w:rFonts w:ascii="Times New Roman" w:hAnsi="Times New Roman"/>
                <w:color w:val="auto"/>
                <w:sz w:val="21"/>
                <w:szCs w:val="21"/>
              </w:rPr>
            </w:pPr>
          </w:p>
        </w:tc>
        <w:tc>
          <w:tcPr>
            <w:tcW w:w="2013" w:type="dxa"/>
            <w:shd w:val="clear" w:color="auto" w:fill="auto"/>
            <w:noWrap w:val="0"/>
          </w:tcPr>
          <w:p>
            <w:pPr>
              <w:spacing w:line="360" w:lineRule="auto"/>
              <w:rPr>
                <w:rFonts w:ascii="Times New Roman" w:hAnsi="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exact"/>
        </w:trPr>
        <w:tc>
          <w:tcPr>
            <w:tcW w:w="856" w:type="dxa"/>
            <w:shd w:val="clear" w:color="auto" w:fill="auto"/>
            <w:noWrap w:val="0"/>
          </w:tcPr>
          <w:p>
            <w:pPr>
              <w:spacing w:line="360" w:lineRule="auto"/>
              <w:rPr>
                <w:rFonts w:ascii="Times New Roman" w:hAnsi="Times New Roman"/>
                <w:color w:val="auto"/>
                <w:sz w:val="21"/>
                <w:szCs w:val="21"/>
              </w:rPr>
            </w:pPr>
          </w:p>
        </w:tc>
        <w:tc>
          <w:tcPr>
            <w:tcW w:w="1863" w:type="dxa"/>
            <w:shd w:val="clear" w:color="auto" w:fill="auto"/>
            <w:noWrap w:val="0"/>
          </w:tcPr>
          <w:p>
            <w:pPr>
              <w:spacing w:line="360" w:lineRule="auto"/>
              <w:rPr>
                <w:rFonts w:ascii="Times New Roman" w:hAnsi="Times New Roman"/>
                <w:color w:val="auto"/>
                <w:sz w:val="21"/>
                <w:szCs w:val="21"/>
              </w:rPr>
            </w:pPr>
          </w:p>
        </w:tc>
        <w:tc>
          <w:tcPr>
            <w:tcW w:w="1847" w:type="dxa"/>
            <w:shd w:val="clear" w:color="auto" w:fill="auto"/>
            <w:noWrap w:val="0"/>
          </w:tcPr>
          <w:p>
            <w:pPr>
              <w:spacing w:line="360" w:lineRule="auto"/>
              <w:rPr>
                <w:rFonts w:ascii="Times New Roman" w:hAnsi="Times New Roman"/>
                <w:color w:val="auto"/>
                <w:sz w:val="21"/>
                <w:szCs w:val="21"/>
              </w:rPr>
            </w:pPr>
          </w:p>
        </w:tc>
        <w:tc>
          <w:tcPr>
            <w:tcW w:w="2012" w:type="dxa"/>
            <w:shd w:val="clear" w:color="auto" w:fill="auto"/>
            <w:noWrap w:val="0"/>
          </w:tcPr>
          <w:p>
            <w:pPr>
              <w:spacing w:line="360" w:lineRule="auto"/>
              <w:rPr>
                <w:rFonts w:ascii="Times New Roman" w:hAnsi="Times New Roman"/>
                <w:color w:val="auto"/>
                <w:sz w:val="21"/>
                <w:szCs w:val="21"/>
              </w:rPr>
            </w:pPr>
          </w:p>
        </w:tc>
        <w:tc>
          <w:tcPr>
            <w:tcW w:w="2013" w:type="dxa"/>
            <w:shd w:val="clear" w:color="auto" w:fill="auto"/>
            <w:noWrap w:val="0"/>
          </w:tcPr>
          <w:p>
            <w:pPr>
              <w:spacing w:line="360" w:lineRule="auto"/>
              <w:rPr>
                <w:rFonts w:ascii="Times New Roman" w:hAnsi="Times New Roman"/>
                <w:color w:val="auto"/>
                <w:sz w:val="21"/>
                <w:szCs w:val="21"/>
              </w:rPr>
            </w:pPr>
          </w:p>
        </w:tc>
      </w:tr>
    </w:tbl>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EB8556"/>
    <w:multiLevelType w:val="singleLevel"/>
    <w:tmpl w:val="8FEB8556"/>
    <w:lvl w:ilvl="0" w:tentative="0">
      <w:start w:val="1"/>
      <w:numFmt w:val="decimal"/>
      <w:suff w:val="nothing"/>
      <w:lvlText w:val="（%1）"/>
      <w:lvlJc w:val="left"/>
    </w:lvl>
  </w:abstractNum>
  <w:abstractNum w:abstractNumId="1">
    <w:nsid w:val="F2DA5AFF"/>
    <w:multiLevelType w:val="singleLevel"/>
    <w:tmpl w:val="F2DA5AFF"/>
    <w:lvl w:ilvl="0" w:tentative="0">
      <w:start w:val="1"/>
      <w:numFmt w:val="decimal"/>
      <w:suff w:val="nothing"/>
      <w:lvlText w:val="（%1）"/>
      <w:lvlJc w:val="left"/>
    </w:lvl>
  </w:abstractNum>
  <w:abstractNum w:abstractNumId="2">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0" w:firstLine="0"/>
      </w:pPr>
      <w:rPr>
        <w:rFonts w:hint="eastAsia"/>
      </w:rPr>
    </w:lvl>
    <w:lvl w:ilvl="2" w:tentative="0">
      <w:start w:val="1"/>
      <w:numFmt w:val="decimal"/>
      <w:isLgl/>
      <w:suff w:val="space"/>
      <w:lvlText w:val="%1.%2.%3"/>
      <w:lvlJc w:val="left"/>
      <w:pPr>
        <w:ind w:left="0" w:firstLine="0"/>
      </w:pPr>
      <w:rPr>
        <w:rFonts w:hint="eastAsia"/>
        <w:b w:val="0"/>
        <w:i w:val="0"/>
      </w:rPr>
    </w:lvl>
    <w:lvl w:ilvl="3" w:tentative="0">
      <w:start w:val="1"/>
      <w:numFmt w:val="decimal"/>
      <w:pStyle w:val="17"/>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3">
    <w:nsid w:val="4651AC3F"/>
    <w:multiLevelType w:val="singleLevel"/>
    <w:tmpl w:val="4651AC3F"/>
    <w:lvl w:ilvl="0" w:tentative="0">
      <w:start w:val="1"/>
      <w:numFmt w:val="decimal"/>
      <w:suff w:val="nothing"/>
      <w:lvlText w:val="（%1）"/>
      <w:lvlJc w:val="left"/>
    </w:lvl>
  </w:abstractNum>
  <w:abstractNum w:abstractNumId="4">
    <w:nsid w:val="72183CF9"/>
    <w:multiLevelType w:val="multilevel"/>
    <w:tmpl w:val="72183CF9"/>
    <w:lvl w:ilvl="0" w:tentative="0">
      <w:start w:val="1"/>
      <w:numFmt w:val="decimal"/>
      <w:suff w:val="space"/>
      <w:lvlText w:val="%1."/>
      <w:lvlJc w:val="left"/>
      <w:pPr>
        <w:ind w:left="0" w:firstLine="0"/>
      </w:pPr>
      <w:rPr>
        <w:rFonts w:hint="eastAsia"/>
      </w:rPr>
    </w:lvl>
    <w:lvl w:ilvl="1" w:tentative="0">
      <w:start w:val="1"/>
      <w:numFmt w:val="decimal"/>
      <w:pStyle w:val="13"/>
      <w:isLgl/>
      <w:suff w:val="space"/>
      <w:lvlText w:val="%1.%2"/>
      <w:lvlJc w:val="left"/>
      <w:pPr>
        <w:ind w:left="0" w:firstLine="0"/>
      </w:pPr>
      <w:rPr>
        <w:rFonts w:hint="eastAsia"/>
      </w:rPr>
    </w:lvl>
    <w:lvl w:ilvl="2" w:tentative="0">
      <w:start w:val="1"/>
      <w:numFmt w:val="decimal"/>
      <w:pStyle w:val="14"/>
      <w:isLgl/>
      <w:suff w:val="space"/>
      <w:lvlText w:val="%1.%2.%3"/>
      <w:lvlJc w:val="left"/>
      <w:pPr>
        <w:ind w:left="567" w:firstLine="0"/>
      </w:pPr>
      <w:rPr>
        <w:rFonts w:hint="default" w:ascii="宋体" w:hAnsi="宋体" w:eastAsia="宋体"/>
        <w:b w:val="0"/>
        <w:i w:val="0"/>
        <w:color w:val="000000"/>
        <w:sz w:val="21"/>
        <w:szCs w:val="21"/>
      </w:rPr>
    </w:lvl>
    <w:lvl w:ilvl="3" w:tentative="0">
      <w:start w:val="1"/>
      <w:numFmt w:val="decimal"/>
      <w:isLgl/>
      <w:suff w:val="space"/>
      <w:lvlText w:val="%1.%2.%3.%4"/>
      <w:lvlJc w:val="left"/>
      <w:pPr>
        <w:ind w:left="0" w:firstLine="0"/>
      </w:pPr>
      <w:rPr>
        <w:rFonts w:hint="eastAsia" w:ascii="宋体" w:hAnsi="宋体" w:eastAsia="宋体"/>
        <w:b w:val="0"/>
        <w:color w:val="000000"/>
      </w:rPr>
    </w:lvl>
    <w:lvl w:ilvl="4" w:tentative="0">
      <w:start w:val="1"/>
      <w:numFmt w:val="decimal"/>
      <w:lvlText w:val="%5、"/>
      <w:lvlJc w:val="left"/>
      <w:pPr>
        <w:ind w:left="840" w:hanging="840"/>
      </w:pPr>
      <w:rPr>
        <w:rFonts w:hint="default"/>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454B08"/>
    <w:rsid w:val="008F6EB2"/>
    <w:rsid w:val="01555C14"/>
    <w:rsid w:val="0367585D"/>
    <w:rsid w:val="03983F0B"/>
    <w:rsid w:val="03F6739B"/>
    <w:rsid w:val="04E843F6"/>
    <w:rsid w:val="06522B8B"/>
    <w:rsid w:val="0A173A74"/>
    <w:rsid w:val="0CFB767D"/>
    <w:rsid w:val="0D904269"/>
    <w:rsid w:val="0E850CA3"/>
    <w:rsid w:val="0E8F0A18"/>
    <w:rsid w:val="0EBC440A"/>
    <w:rsid w:val="0F6163B3"/>
    <w:rsid w:val="10EC5C5A"/>
    <w:rsid w:val="184C6FDF"/>
    <w:rsid w:val="18891FE1"/>
    <w:rsid w:val="19404D95"/>
    <w:rsid w:val="19F43519"/>
    <w:rsid w:val="1A6F650A"/>
    <w:rsid w:val="1AAC4C32"/>
    <w:rsid w:val="1D470BF1"/>
    <w:rsid w:val="1DD91DE8"/>
    <w:rsid w:val="1E012619"/>
    <w:rsid w:val="1EEC5ECB"/>
    <w:rsid w:val="1F4E7AE0"/>
    <w:rsid w:val="2119430C"/>
    <w:rsid w:val="21661E6F"/>
    <w:rsid w:val="21AC2CCE"/>
    <w:rsid w:val="21C66941"/>
    <w:rsid w:val="21D835A0"/>
    <w:rsid w:val="232C7AC6"/>
    <w:rsid w:val="26540388"/>
    <w:rsid w:val="26BB5A5B"/>
    <w:rsid w:val="28240F4B"/>
    <w:rsid w:val="28A770F0"/>
    <w:rsid w:val="2AC94165"/>
    <w:rsid w:val="2AEC10A3"/>
    <w:rsid w:val="2B2D3242"/>
    <w:rsid w:val="2B8D4A45"/>
    <w:rsid w:val="2C187F5E"/>
    <w:rsid w:val="2C210A56"/>
    <w:rsid w:val="2F895011"/>
    <w:rsid w:val="347D4BC2"/>
    <w:rsid w:val="3512487E"/>
    <w:rsid w:val="3533320E"/>
    <w:rsid w:val="36C546D4"/>
    <w:rsid w:val="37C11AD9"/>
    <w:rsid w:val="38194620"/>
    <w:rsid w:val="3A8B4283"/>
    <w:rsid w:val="3CD84C49"/>
    <w:rsid w:val="3D0826AA"/>
    <w:rsid w:val="3D3F568C"/>
    <w:rsid w:val="40A26C58"/>
    <w:rsid w:val="439146DC"/>
    <w:rsid w:val="43AE7BF7"/>
    <w:rsid w:val="44130F29"/>
    <w:rsid w:val="44C35AE0"/>
    <w:rsid w:val="47BA0AFE"/>
    <w:rsid w:val="4B3B4DC8"/>
    <w:rsid w:val="4DF41048"/>
    <w:rsid w:val="4F58773C"/>
    <w:rsid w:val="517420AD"/>
    <w:rsid w:val="52795449"/>
    <w:rsid w:val="53486F52"/>
    <w:rsid w:val="537270B7"/>
    <w:rsid w:val="55E73CFD"/>
    <w:rsid w:val="56333E63"/>
    <w:rsid w:val="565B033A"/>
    <w:rsid w:val="572E30E3"/>
    <w:rsid w:val="57DD0C34"/>
    <w:rsid w:val="57E10DA4"/>
    <w:rsid w:val="58276641"/>
    <w:rsid w:val="58474E5E"/>
    <w:rsid w:val="59A87D95"/>
    <w:rsid w:val="59AE0184"/>
    <w:rsid w:val="5A9654FD"/>
    <w:rsid w:val="5C327779"/>
    <w:rsid w:val="5C6B34A4"/>
    <w:rsid w:val="5E221889"/>
    <w:rsid w:val="5F933BD1"/>
    <w:rsid w:val="60454B08"/>
    <w:rsid w:val="604C7149"/>
    <w:rsid w:val="61A92379"/>
    <w:rsid w:val="61D259BF"/>
    <w:rsid w:val="636E0D48"/>
    <w:rsid w:val="640D42B8"/>
    <w:rsid w:val="648A6AA6"/>
    <w:rsid w:val="65CA6D35"/>
    <w:rsid w:val="65CF7C96"/>
    <w:rsid w:val="67414A7A"/>
    <w:rsid w:val="67AB5239"/>
    <w:rsid w:val="68A12969"/>
    <w:rsid w:val="6B8021A4"/>
    <w:rsid w:val="6C133210"/>
    <w:rsid w:val="6C1F4726"/>
    <w:rsid w:val="6C5D546C"/>
    <w:rsid w:val="6CB95B66"/>
    <w:rsid w:val="6E82080A"/>
    <w:rsid w:val="6E8B3795"/>
    <w:rsid w:val="6EC151A6"/>
    <w:rsid w:val="6F3E2352"/>
    <w:rsid w:val="703155AC"/>
    <w:rsid w:val="715E61F6"/>
    <w:rsid w:val="7249798C"/>
    <w:rsid w:val="725956F5"/>
    <w:rsid w:val="734A79B4"/>
    <w:rsid w:val="734E3FFA"/>
    <w:rsid w:val="744C0DAF"/>
    <w:rsid w:val="7468526F"/>
    <w:rsid w:val="77C10E5A"/>
    <w:rsid w:val="79694470"/>
    <w:rsid w:val="7B89704B"/>
    <w:rsid w:val="7C943EFA"/>
    <w:rsid w:val="7DC838D5"/>
    <w:rsid w:val="7E3A2CA5"/>
    <w:rsid w:val="7F6638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napToGrid w:val="0"/>
      <w:sz w:val="24"/>
      <w:lang w:val="en-US" w:eastAsia="zh-CN" w:bidi="ar-SA"/>
    </w:rPr>
  </w:style>
  <w:style w:type="paragraph" w:styleId="4">
    <w:name w:val="heading 2"/>
    <w:basedOn w:val="1"/>
    <w:next w:val="1"/>
    <w:qFormat/>
    <w:uiPriority w:val="0"/>
    <w:pPr>
      <w:keepNext/>
      <w:keepLines/>
      <w:numPr>
        <w:ilvl w:val="1"/>
        <w:numId w:val="1"/>
      </w:numPr>
      <w:outlineLvl w:val="1"/>
    </w:pPr>
    <w:rPr>
      <w:rFonts w:hAnsi="Arial"/>
      <w:b/>
      <w:bCs/>
      <w:szCs w:val="32"/>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300" w:lineRule="auto"/>
    </w:pPr>
    <w:rPr>
      <w:rFonts w:ascii="Calibri" w:eastAsia="仿宋_GB2312"/>
    </w:rPr>
  </w:style>
  <w:style w:type="paragraph" w:styleId="3">
    <w:name w:val="Title"/>
    <w:basedOn w:val="1"/>
    <w:next w:val="1"/>
    <w:qFormat/>
    <w:uiPriority w:val="10"/>
    <w:pPr>
      <w:spacing w:before="240" w:after="60"/>
      <w:jc w:val="center"/>
      <w:outlineLvl w:val="0"/>
    </w:pPr>
    <w:rPr>
      <w:rFonts w:ascii="Calibri Light" w:hAnsi="Calibri Light"/>
      <w:b/>
      <w:bCs/>
      <w:sz w:val="32"/>
      <w:szCs w:val="32"/>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纯文本1"/>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0"/>
      <w:sz w:val="20"/>
      <w:szCs w:val="20"/>
      <w:lang w:val="en-US" w:eastAsia="zh-CN" w:bidi="en-AU"/>
    </w:rPr>
  </w:style>
  <w:style w:type="paragraph" w:customStyle="1" w:styleId="12">
    <w:name w:val="标题 11"/>
    <w:basedOn w:val="1"/>
    <w:next w:val="1"/>
    <w:qFormat/>
    <w:uiPriority w:val="0"/>
    <w:pPr>
      <w:keepNext/>
      <w:keepLines/>
      <w:spacing w:before="120" w:after="120"/>
      <w:jc w:val="center"/>
      <w:outlineLvl w:val="0"/>
    </w:pPr>
    <w:rPr>
      <w:rFonts w:ascii="宋体" w:hAnsi="宋体"/>
      <w:b/>
      <w:bCs/>
      <w:color w:val="000000"/>
      <w:kern w:val="44"/>
      <w:szCs w:val="44"/>
    </w:rPr>
  </w:style>
  <w:style w:type="paragraph" w:customStyle="1" w:styleId="13">
    <w:name w:val="标题 21"/>
    <w:basedOn w:val="1"/>
    <w:next w:val="1"/>
    <w:qFormat/>
    <w:uiPriority w:val="0"/>
    <w:pPr>
      <w:keepNext/>
      <w:keepLines/>
      <w:numPr>
        <w:ilvl w:val="1"/>
        <w:numId w:val="2"/>
      </w:numPr>
      <w:outlineLvl w:val="1"/>
    </w:pPr>
    <w:rPr>
      <w:rFonts w:hAnsi="Arial"/>
      <w:b/>
      <w:bCs/>
      <w:szCs w:val="32"/>
    </w:rPr>
  </w:style>
  <w:style w:type="paragraph" w:customStyle="1" w:styleId="14">
    <w:name w:val="样式1"/>
    <w:basedOn w:val="1"/>
    <w:qFormat/>
    <w:uiPriority w:val="0"/>
    <w:pPr>
      <w:numPr>
        <w:ilvl w:val="2"/>
        <w:numId w:val="2"/>
      </w:numPr>
    </w:pPr>
  </w:style>
  <w:style w:type="table" w:customStyle="1" w:styleId="15">
    <w:name w:val="普通表格1"/>
    <w:semiHidden/>
    <w:qFormat/>
    <w:uiPriority w:val="0"/>
    <w:tblPr>
      <w:tblCellMar>
        <w:top w:w="0" w:type="dxa"/>
        <w:left w:w="108" w:type="dxa"/>
        <w:bottom w:w="0" w:type="dxa"/>
        <w:right w:w="108" w:type="dxa"/>
      </w:tblCellMar>
    </w:tblPr>
  </w:style>
  <w:style w:type="paragraph" w:customStyle="1" w:styleId="16">
    <w:name w:val="Table Paragraph"/>
    <w:basedOn w:val="1"/>
    <w:qFormat/>
    <w:uiPriority w:val="1"/>
    <w:pPr>
      <w:jc w:val="left"/>
    </w:pPr>
    <w:rPr>
      <w:rFonts w:cs="Times New Roman"/>
      <w:kern w:val="0"/>
      <w:sz w:val="22"/>
      <w:lang w:eastAsia="en-US"/>
    </w:rPr>
  </w:style>
  <w:style w:type="paragraph" w:customStyle="1" w:styleId="17">
    <w:name w:val="样式2"/>
    <w:basedOn w:val="1"/>
    <w:qFormat/>
    <w:uiPriority w:val="0"/>
    <w:pPr>
      <w:numPr>
        <w:ilvl w:val="3"/>
        <w:numId w:val="1"/>
      </w:numPr>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3566</Words>
  <Characters>3867</Characters>
  <Lines>0</Lines>
  <Paragraphs>0</Paragraphs>
  <TotalTime>2</TotalTime>
  <ScaleCrop>false</ScaleCrop>
  <LinksUpToDate>false</LinksUpToDate>
  <CharactersWithSpaces>3890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2025-07-02T06:51:00Z</dcterms:created>
  <dc:creator>农学敏</dc:creator>
  <cp:lastModifiedBy>黄玲</cp:lastModifiedBy>
  <dcterms:modified xsi:type="dcterms:W3CDTF">2026-04-24T05:00:52Z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80107BA7C73749F8B13D1F92301E52B1_13</vt:lpwstr>
  </property>
  <property fmtid="{D5CDD505-2E9C-101B-9397-08002B2CF9AE}" pid="4" name="KSOTemplateDocerSaveRecord">
    <vt:lpwstr>eyJoZGlkIjoiMjQxNTllYjMxYTBhNTg4NTI2ZTZmZjg4OTg3ZmQ4ZDYiLCJ1c2VySWQiOiIxMTM5MTMxOTI0In0=</vt:lpwstr>
  </property>
</Properties>
</file>