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黑体" w:hAnsi="黑体" w:eastAsia="黑体" w:cs="黑体"/>
          <w:b w:val="0"/>
          <w:bCs/>
          <w:kern w:val="0"/>
          <w:sz w:val="32"/>
          <w:szCs w:val="32"/>
          <w:lang w:val="en-US" w:eastAsia="zh-CN"/>
        </w:rPr>
      </w:pPr>
      <w:r>
        <w:rPr>
          <w:rFonts w:hint="eastAsia"/>
          <w:b/>
          <w:bCs/>
          <w:sz w:val="40"/>
          <w:szCs w:val="48"/>
          <w:lang w:val="en-US" w:eastAsia="zh-CN"/>
        </w:rPr>
        <w:t>2026年南方电网数据平台与安全（广东）有限公司经营性现金流情况专项审计采购项目技术规范书</w:t>
      </w:r>
    </w:p>
    <w:p>
      <w:pPr>
        <w:rPr>
          <w:rFonts w:hint="eastAsia" w:ascii="黑体" w:hAnsi="黑体" w:eastAsia="黑体" w:cs="黑体"/>
          <w:b w:val="0"/>
          <w:bCs/>
          <w:kern w:val="0"/>
          <w:sz w:val="32"/>
          <w:szCs w:val="32"/>
          <w:lang w:val="en-US" w:eastAsia="zh-CN"/>
        </w:rPr>
      </w:pPr>
    </w:p>
    <w:p>
      <w:pPr>
        <w:pStyle w:val="3"/>
        <w:pageBreakBefore w:val="0"/>
        <w:widowControl w:val="0"/>
        <w:kinsoku/>
        <w:wordWrap/>
        <w:overflowPunct/>
        <w:topLinePunct w:val="0"/>
        <w:autoSpaceDE/>
        <w:autoSpaceDN/>
        <w:bidi w:val="0"/>
        <w:adjustRightInd/>
        <w:snapToGrid/>
        <w:ind w:right="0" w:rightChars="0" w:firstLine="640" w:firstLineChars="200"/>
        <w:textAlignment w:val="auto"/>
        <w:rPr>
          <w:rFonts w:hint="default"/>
          <w:lang w:val="en-US"/>
        </w:rPr>
      </w:pPr>
      <w:r>
        <w:rPr>
          <w:rFonts w:hint="eastAsia"/>
          <w:lang w:val="en-US" w:eastAsia="zh-CN"/>
        </w:rPr>
        <w:t>一、总则</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right="0" w:rightChars="0"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本采购文件适用于南方电网数据平台与安全（广东）有限公司(以下简称采购人)南方电网数据平台与安全（广东）有限公司现金流量表专项审计采购项目技术规范书。本采购文件的所有解释权归南方电网数据平台与安全（广东）有限公司。</w:t>
      </w:r>
    </w:p>
    <w:p>
      <w:pPr>
        <w:pStyle w:val="2"/>
        <w:keepNext w:val="0"/>
        <w:keepLines w:val="0"/>
        <w:pageBreakBefore w:val="0"/>
        <w:widowControl w:val="0"/>
        <w:numPr>
          <w:numId w:val="0"/>
        </w:numPr>
        <w:kinsoku/>
        <w:wordWrap/>
        <w:overflowPunct/>
        <w:topLinePunct w:val="0"/>
        <w:autoSpaceDE/>
        <w:autoSpaceDN/>
        <w:bidi w:val="0"/>
        <w:adjustRightInd/>
        <w:snapToGrid/>
        <w:spacing w:before="0" w:beforeAutospacing="0" w:after="0" w:afterAutospacing="0" w:line="240" w:lineRule="auto"/>
        <w:ind w:right="0" w:rightChars="0"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(1)应答方应保证所提供的所有资料真实、完整、准确无误，否则采购人将有权取消应答方的投标资格，由此产生的一切后果由应答方承担。</w:t>
      </w:r>
    </w:p>
    <w:p>
      <w:pPr>
        <w:pStyle w:val="2"/>
        <w:keepNext w:val="0"/>
        <w:keepLines w:val="0"/>
        <w:pageBreakBefore w:val="0"/>
        <w:widowControl w:val="0"/>
        <w:numPr>
          <w:numId w:val="0"/>
        </w:numPr>
        <w:kinsoku/>
        <w:wordWrap/>
        <w:overflowPunct/>
        <w:topLinePunct w:val="0"/>
        <w:autoSpaceDE/>
        <w:autoSpaceDN/>
        <w:bidi w:val="0"/>
        <w:adjustRightInd/>
        <w:snapToGrid/>
        <w:spacing w:before="0" w:beforeAutospacing="0" w:after="0" w:afterAutospacing="0" w:line="240" w:lineRule="auto"/>
        <w:ind w:right="0" w:rightChars="0"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应答方应按照本技术规范书的要求提供详细、完整的培训方案。所提供的培训方案应完全满足或高于本技术规范书的要求，对于本技术规范书中的条款，应答方如不能满足要求，或有其它替代方案，或有其它修改建议，应在培训方案以及差异表中指出其必须进行修改的理由以及与原要求的差别。对于本技术规范书未规定的有关培训相关内容，应答方应提出补充要求或建议，并陈述其理由。</w:t>
      </w:r>
    </w:p>
    <w:p>
      <w:pPr>
        <w:pStyle w:val="2"/>
        <w:keepNext w:val="0"/>
        <w:keepLines w:val="0"/>
        <w:pageBreakBefore w:val="0"/>
        <w:widowControl w:val="0"/>
        <w:numPr>
          <w:numId w:val="0"/>
        </w:numPr>
        <w:kinsoku/>
        <w:wordWrap/>
        <w:overflowPunct/>
        <w:topLinePunct w:val="0"/>
        <w:autoSpaceDE/>
        <w:autoSpaceDN/>
        <w:bidi w:val="0"/>
        <w:adjustRightInd/>
        <w:snapToGrid/>
        <w:spacing w:before="0" w:beforeAutospacing="0" w:after="0" w:afterAutospacing="0" w:line="240" w:lineRule="auto"/>
        <w:ind w:right="0" w:rightChars="0"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(3)采购人在任何时候保留和拥有对本技术规范书的解释权。采购人有权在签定合同前，根据需要修改和补充本技术规范书，修改补充后的最终技术规范书将作为合同的附件。</w:t>
      </w:r>
    </w:p>
    <w:p>
      <w:pPr>
        <w:pStyle w:val="2"/>
        <w:keepNext w:val="0"/>
        <w:keepLines w:val="0"/>
        <w:pageBreakBefore w:val="0"/>
        <w:widowControl w:val="0"/>
        <w:numPr>
          <w:numId w:val="0"/>
        </w:numPr>
        <w:kinsoku/>
        <w:wordWrap/>
        <w:overflowPunct/>
        <w:topLinePunct w:val="0"/>
        <w:autoSpaceDE/>
        <w:autoSpaceDN/>
        <w:bidi w:val="0"/>
        <w:adjustRightInd/>
        <w:snapToGrid/>
        <w:spacing w:before="0" w:beforeAutospacing="0" w:after="0" w:afterAutospacing="0" w:line="240" w:lineRule="auto"/>
        <w:ind w:right="0" w:rightChars="0"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(4)应答方经采购人同意，不得以任何形式向第三方公开本技术规范书。</w:t>
      </w:r>
    </w:p>
    <w:p>
      <w:pPr>
        <w:pStyle w:val="2"/>
        <w:keepNext w:val="0"/>
        <w:keepLines w:val="0"/>
        <w:pageBreakBefore w:val="0"/>
        <w:widowControl w:val="0"/>
        <w:numPr>
          <w:numId w:val="0"/>
        </w:numPr>
        <w:kinsoku/>
        <w:wordWrap/>
        <w:overflowPunct/>
        <w:topLinePunct w:val="0"/>
        <w:autoSpaceDE/>
        <w:autoSpaceDN/>
        <w:bidi w:val="0"/>
        <w:adjustRightInd/>
        <w:snapToGrid/>
        <w:spacing w:before="0" w:beforeAutospacing="0" w:after="0" w:afterAutospacing="0" w:line="240" w:lineRule="auto"/>
        <w:ind w:right="0" w:rightChars="0"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(5)采购人保留因工作</w:t>
      </w:r>
      <w:bookmarkStart w:id="0" w:name="_GoBack"/>
      <w:bookmarkEnd w:id="0"/>
      <w:r>
        <w:rPr>
          <w:rFonts w:hint="eastAsia" w:ascii="仿宋_GB2312" w:hAnsi="仿宋_GB2312" w:eastAsia="仿宋_GB2312" w:cs="仿宋_GB2312"/>
          <w:kern w:val="2"/>
          <w:sz w:val="32"/>
          <w:szCs w:val="32"/>
          <w:lang w:val="en-US" w:eastAsia="zh-CN" w:bidi="ar-SA"/>
        </w:rPr>
        <w:t>安排的变更，对服务方案、服务质量和服务考核等进行适当调整的权利。</w:t>
      </w:r>
    </w:p>
    <w:p>
      <w:pPr>
        <w:keepNext w:val="0"/>
        <w:keepLines w:val="0"/>
        <w:pageBreakBefore w:val="0"/>
        <w:widowControl w:val="0"/>
        <w:numPr>
          <w:numId w:val="0"/>
        </w:numPr>
        <w:kinsoku/>
        <w:wordWrap/>
        <w:overflowPunct/>
        <w:topLinePunct w:val="0"/>
        <w:autoSpaceDE/>
        <w:autoSpaceDN/>
        <w:bidi w:val="0"/>
        <w:adjustRightInd/>
        <w:snapToGrid/>
        <w:spacing w:beforeAutospacing="0" w:afterAutospacing="0" w:line="240" w:lineRule="auto"/>
        <w:ind w:right="0" w:rightChars="0" w:firstLine="640" w:firstLineChars="200"/>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(6)</w:t>
      </w:r>
      <w:r>
        <w:rPr>
          <w:rFonts w:hint="default" w:ascii="仿宋_GB2312" w:hAnsi="仿宋_GB2312" w:eastAsia="仿宋_GB2312" w:cs="仿宋_GB2312"/>
          <w:kern w:val="2"/>
          <w:sz w:val="32"/>
          <w:szCs w:val="32"/>
          <w:lang w:val="en-US" w:eastAsia="zh-CN" w:bidi="ar-SA"/>
        </w:rPr>
        <w:t>本技术规范书解释权属采购人所有。</w:t>
      </w:r>
    </w:p>
    <w:p>
      <w:pPr>
        <w:keepNext w:val="0"/>
        <w:keepLines w:val="0"/>
        <w:pageBreakBefore w:val="0"/>
        <w:widowControl w:val="0"/>
        <w:numPr>
          <w:numId w:val="0"/>
        </w:numPr>
        <w:kinsoku/>
        <w:wordWrap/>
        <w:overflowPunct/>
        <w:topLinePunct w:val="0"/>
        <w:autoSpaceDE/>
        <w:autoSpaceDN/>
        <w:bidi w:val="0"/>
        <w:adjustRightInd/>
        <w:snapToGrid/>
        <w:spacing w:beforeAutospacing="0" w:afterAutospacing="0" w:line="240" w:lineRule="auto"/>
        <w:ind w:right="0" w:rightChars="0" w:firstLine="640" w:firstLineChars="200"/>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(7)</w:t>
      </w:r>
      <w:r>
        <w:rPr>
          <w:rFonts w:hint="default" w:ascii="仿宋_GB2312" w:hAnsi="仿宋_GB2312" w:eastAsia="仿宋_GB2312" w:cs="仿宋_GB2312"/>
          <w:kern w:val="2"/>
          <w:sz w:val="32"/>
          <w:szCs w:val="32"/>
          <w:lang w:val="en-US" w:eastAsia="zh-CN" w:bidi="ar-SA"/>
        </w:rPr>
        <w:t>本项目不得转让或分包</w:t>
      </w:r>
    </w:p>
    <w:p>
      <w:pPr>
        <w:pStyle w:val="3"/>
        <w:pageBreakBefore w:val="0"/>
        <w:widowControl w:val="0"/>
        <w:kinsoku/>
        <w:wordWrap/>
        <w:overflowPunct/>
        <w:topLinePunct w:val="0"/>
        <w:autoSpaceDE/>
        <w:autoSpaceDN/>
        <w:bidi w:val="0"/>
        <w:adjustRightInd/>
        <w:snapToGrid/>
        <w:ind w:right="0" w:rightChars="0" w:firstLine="640" w:firstLineChars="200"/>
        <w:textAlignment w:val="auto"/>
        <w:rPr>
          <w:rFonts w:hint="default"/>
          <w:lang w:val="en-US"/>
        </w:rPr>
      </w:pPr>
      <w:r>
        <w:rPr>
          <w:rFonts w:hint="eastAsia"/>
          <w:lang w:val="en-US" w:eastAsia="zh-CN"/>
        </w:rPr>
        <w:t>二、项目描述</w:t>
      </w:r>
    </w:p>
    <w:p>
      <w:pPr>
        <w:pStyle w:val="4"/>
        <w:pageBreakBefore w:val="0"/>
        <w:widowControl w:val="0"/>
        <w:kinsoku/>
        <w:wordWrap/>
        <w:overflowPunct/>
        <w:topLinePunct w:val="0"/>
        <w:autoSpaceDE/>
        <w:autoSpaceDN/>
        <w:bidi w:val="0"/>
        <w:adjustRightInd/>
        <w:snapToGrid/>
        <w:ind w:right="0" w:rightChars="0" w:firstLine="640" w:firstLineChars="200"/>
        <w:textAlignment w:val="auto"/>
        <w:rPr>
          <w:rFonts w:hint="eastAsia"/>
          <w:lang w:val="en-US" w:eastAsia="zh-CN"/>
        </w:rPr>
      </w:pPr>
      <w:r>
        <w:rPr>
          <w:rFonts w:hint="eastAsia"/>
          <w:lang w:val="en-US" w:eastAsia="zh-CN"/>
        </w:rPr>
        <w:t>1.项目背景</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right="0" w:rightChars="0"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为保证国有资产安全，根据国资委及南方电网公司资金管理相关规定，公司除政策上有明确存放要求的专项资金外，所有资金均通过金融机构逐级向南方电网公司归集。此外，2022年公司按照业务重组工作要求接收上市资产、业务及人员，以协议价转让方式购买。受到资金归集和集团业务重组的客户因素影响，2022年至2024年财务报表现金流量表不能公允反映公司获得现金流能力。</w:t>
      </w:r>
    </w:p>
    <w:p>
      <w:pPr>
        <w:pStyle w:val="4"/>
        <w:pageBreakBefore w:val="0"/>
        <w:widowControl w:val="0"/>
        <w:kinsoku/>
        <w:wordWrap/>
        <w:overflowPunct/>
        <w:topLinePunct w:val="0"/>
        <w:autoSpaceDE/>
        <w:autoSpaceDN/>
        <w:bidi w:val="0"/>
        <w:adjustRightInd/>
        <w:snapToGrid/>
        <w:ind w:right="0" w:rightChars="0" w:firstLine="640" w:firstLineChars="200"/>
        <w:textAlignment w:val="auto"/>
        <w:rPr>
          <w:rFonts w:hint="eastAsia"/>
          <w:lang w:val="en-US" w:eastAsia="zh-CN"/>
        </w:rPr>
      </w:pPr>
      <w:r>
        <w:rPr>
          <w:rFonts w:hint="eastAsia"/>
          <w:lang w:val="en-US" w:eastAsia="zh-CN"/>
        </w:rPr>
        <w:t>2.项目目标</w:t>
      </w:r>
    </w:p>
    <w:p>
      <w:pPr>
        <w:pStyle w:val="2"/>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240" w:lineRule="auto"/>
        <w:ind w:right="0" w:rightChars="0"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针对公司2022年至2024年财务报表中现金流量表进行专项审计，如实反映资金归集和业务重组等特殊情形对于公司2022年至2024年现金流量的影响。</w:t>
      </w:r>
    </w:p>
    <w:p>
      <w:pPr>
        <w:pStyle w:val="3"/>
        <w:pageBreakBefore w:val="0"/>
        <w:widowControl w:val="0"/>
        <w:kinsoku/>
        <w:wordWrap/>
        <w:overflowPunct/>
        <w:topLinePunct w:val="0"/>
        <w:autoSpaceDE/>
        <w:autoSpaceDN/>
        <w:bidi w:val="0"/>
        <w:adjustRightInd/>
        <w:snapToGrid/>
        <w:ind w:right="0" w:rightChars="0" w:firstLine="640" w:firstLineChars="200"/>
        <w:textAlignment w:val="auto"/>
        <w:rPr>
          <w:rFonts w:hint="eastAsia"/>
          <w:lang w:val="en-US" w:eastAsia="zh-CN"/>
        </w:rPr>
      </w:pPr>
      <w:r>
        <w:rPr>
          <w:rFonts w:hint="eastAsia"/>
          <w:lang w:val="en-US" w:eastAsia="zh-CN"/>
        </w:rPr>
        <w:t>三、项目内容及要求</w:t>
      </w:r>
    </w:p>
    <w:p>
      <w:pPr>
        <w:pStyle w:val="4"/>
        <w:pageBreakBefore w:val="0"/>
        <w:widowControl w:val="0"/>
        <w:kinsoku/>
        <w:wordWrap/>
        <w:overflowPunct/>
        <w:topLinePunct w:val="0"/>
        <w:autoSpaceDE/>
        <w:autoSpaceDN/>
        <w:bidi w:val="0"/>
        <w:adjustRightInd/>
        <w:snapToGrid/>
        <w:ind w:right="0" w:rightChars="0" w:firstLine="640" w:firstLineChars="200"/>
        <w:textAlignment w:val="auto"/>
        <w:rPr>
          <w:rFonts w:hint="eastAsia"/>
          <w:lang w:val="en-US" w:eastAsia="zh-CN"/>
        </w:rPr>
      </w:pPr>
      <w:r>
        <w:rPr>
          <w:rFonts w:hint="eastAsia"/>
          <w:lang w:val="en-US" w:eastAsia="zh-CN"/>
        </w:rPr>
        <w:t>1.服务内容</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right="0" w:rightChars="0"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针对公司2022年至2024年财务报表中现金流量表进行专项审计，核查资金归集和业务重组等特殊情形对于公司 2022年至2024年现金流量的影响金额，还原影响后经营活动产生的现金流量净额、现金及现金等价物净增加额和净现金流动比率，并出具专项审计报告，审计报告须提交有关部门进行备案登记。</w:t>
      </w:r>
    </w:p>
    <w:p>
      <w:pPr>
        <w:pStyle w:val="4"/>
        <w:pageBreakBefore w:val="0"/>
        <w:widowControl w:val="0"/>
        <w:kinsoku/>
        <w:wordWrap/>
        <w:overflowPunct/>
        <w:topLinePunct w:val="0"/>
        <w:autoSpaceDE/>
        <w:autoSpaceDN/>
        <w:bidi w:val="0"/>
        <w:adjustRightInd/>
        <w:snapToGrid/>
        <w:ind w:right="0" w:rightChars="0" w:firstLine="640" w:firstLineChars="200"/>
        <w:textAlignment w:val="auto"/>
        <w:rPr>
          <w:rFonts w:hint="eastAsia"/>
          <w:lang w:val="en-US" w:eastAsia="zh-CN"/>
        </w:rPr>
      </w:pPr>
      <w:r>
        <w:rPr>
          <w:rFonts w:hint="eastAsia"/>
          <w:lang w:val="en-US" w:eastAsia="zh-CN"/>
        </w:rPr>
        <w:t>2.服务要求</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right="0" w:righ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(1)2小时内答复问题，如有必要48小时内到达现场，处理时间应不超过5个工作日。</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right="0" w:righ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(2)应答方需保证项目参与人员的专业技能、工作能力满足其岗位要求。</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right="0" w:righ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应答方必须向需求方保证服务人员组织的稳定性，在本项目服务结束前，参加本项目工作的人员若有变动必须提前书面通知需求方相关负责人，并征得需求方同意后方能进行变动;一般服务人员变动需提前15个工作日通知，项目负责人变动需提前20个工作日通知，并提供水平相当的人员进行替换。</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right="0" w:righ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应答方响应时，必须向需求方提供拟派参加本项目的人员名单，应答方必须承诺服务范围内项目人员的人员数量，应答方应保证所提供的所有服务的人员素质及服务质量均能满足项目要求。确定项目组人员数量不少于3人，其中项目经理1名，需具有中国注册会计师执业资格，本科及以上学历，5年及以上审计相关工作经验;项目其他团队成员不少于2人，应具有满足财务报表审计的专业技能、工作能力满足其岗位要求。</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right="0" w:righ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(5)提供现场服务时，应答方将确保其现场人员遵守招标方有关安全规定，前提是投标方收到招标方提供的有关安全规定。应答方有为招标方保密的义务，未经招标方许可，应答方服务人员不得对招标方的业务经营数据进行增删、修改、复制、传送、记录;应答方不得向任何第三方泄露招标方业务数据内容或在公开场合引用招标方数据。</w:t>
      </w:r>
    </w:p>
    <w:p>
      <w:pPr>
        <w:pStyle w:val="4"/>
        <w:pageBreakBefore w:val="0"/>
        <w:widowControl w:val="0"/>
        <w:kinsoku/>
        <w:wordWrap/>
        <w:overflowPunct/>
        <w:topLinePunct w:val="0"/>
        <w:autoSpaceDE/>
        <w:autoSpaceDN/>
        <w:bidi w:val="0"/>
        <w:adjustRightInd/>
        <w:snapToGrid/>
        <w:ind w:right="0" w:rightChars="0" w:firstLine="640" w:firstLineChars="200"/>
        <w:textAlignment w:val="auto"/>
        <w:rPr>
          <w:rFonts w:hint="eastAsia"/>
          <w:lang w:val="en-US" w:eastAsia="zh-CN"/>
        </w:rPr>
      </w:pPr>
      <w:r>
        <w:rPr>
          <w:rFonts w:hint="eastAsia"/>
          <w:lang w:val="en-US" w:eastAsia="zh-CN"/>
        </w:rPr>
        <w:t>3.服务期间</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right="0" w:righ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本项目工期为自合同签订之日起至1个月内完成项目竣工验收。</w:t>
      </w:r>
    </w:p>
    <w:p>
      <w:pPr>
        <w:pStyle w:val="3"/>
        <w:pageBreakBefore w:val="0"/>
        <w:widowControl w:val="0"/>
        <w:kinsoku/>
        <w:wordWrap/>
        <w:overflowPunct/>
        <w:topLinePunct w:val="0"/>
        <w:autoSpaceDE/>
        <w:autoSpaceDN/>
        <w:bidi w:val="0"/>
        <w:adjustRightInd/>
        <w:snapToGrid/>
        <w:ind w:right="0" w:rightChars="0" w:firstLine="640" w:firstLineChars="200"/>
        <w:textAlignment w:val="auto"/>
        <w:rPr>
          <w:rFonts w:hint="eastAsia"/>
          <w:lang w:val="en-US" w:eastAsia="zh-CN"/>
        </w:rPr>
      </w:pPr>
      <w:r>
        <w:rPr>
          <w:rFonts w:hint="eastAsia"/>
          <w:lang w:val="en-US" w:eastAsia="zh-CN"/>
        </w:rPr>
        <w:t>四、项目交付物</w:t>
      </w:r>
    </w:p>
    <w:p>
      <w:pPr>
        <w:pStyle w:val="2"/>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240" w:lineRule="auto"/>
        <w:ind w:right="0" w:rightChars="0" w:firstLine="640" w:firstLineChars="200"/>
        <w:textAlignment w:val="auto"/>
        <w:rPr>
          <w:rFonts w:hint="eastAsia"/>
          <w:b/>
          <w:bCs/>
          <w:lang w:val="en-US" w:eastAsia="zh-CN"/>
        </w:rPr>
      </w:pPr>
      <w:r>
        <w:rPr>
          <w:rFonts w:hint="eastAsia" w:ascii="仿宋_GB2312" w:hAnsi="仿宋_GB2312" w:eastAsia="仿宋_GB2312" w:cs="仿宋_GB2312"/>
          <w:kern w:val="2"/>
          <w:sz w:val="32"/>
          <w:szCs w:val="32"/>
          <w:lang w:val="en-US" w:eastAsia="zh-CN" w:bidi="ar-SA"/>
        </w:rPr>
        <w:t>南方电网数据平台与安全（广东）有限公司2022年至2024年现金流量表专项审计报告1份。</w:t>
      </w:r>
    </w:p>
    <w:p>
      <w:pPr>
        <w:pStyle w:val="3"/>
        <w:pageBreakBefore w:val="0"/>
        <w:widowControl w:val="0"/>
        <w:kinsoku/>
        <w:wordWrap/>
        <w:overflowPunct/>
        <w:topLinePunct w:val="0"/>
        <w:autoSpaceDE/>
        <w:autoSpaceDN/>
        <w:bidi w:val="0"/>
        <w:adjustRightInd/>
        <w:snapToGrid/>
        <w:ind w:right="0" w:rightChars="0" w:firstLine="640" w:firstLineChars="200"/>
        <w:textAlignment w:val="auto"/>
        <w:rPr>
          <w:rFonts w:hint="eastAsia"/>
          <w:lang w:val="en-US" w:eastAsia="zh-CN"/>
        </w:rPr>
      </w:pPr>
      <w:r>
        <w:rPr>
          <w:rFonts w:hint="eastAsia"/>
          <w:lang w:val="en-US" w:eastAsia="zh-CN"/>
        </w:rPr>
        <w:t>五、保密要求</w:t>
      </w:r>
    </w:p>
    <w:p>
      <w:pPr>
        <w:pStyle w:val="2"/>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240" w:lineRule="auto"/>
        <w:ind w:right="0" w:rightChars="0" w:firstLine="640" w:firstLineChars="200"/>
        <w:jc w:val="both"/>
        <w:textAlignment w:val="auto"/>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参与实施本服务的全体人员若获得接触和知悉与本项工作相关的国家秘密、商业秘密或敏感信息和数</w:t>
      </w:r>
      <w:r>
        <w:rPr>
          <w:rFonts w:hint="default" w:ascii="仿宋_GB2312" w:hAnsi="仿宋_GB2312" w:eastAsia="仿宋_GB2312" w:cs="仿宋_GB2312"/>
          <w:kern w:val="0"/>
          <w:sz w:val="32"/>
          <w:szCs w:val="32"/>
          <w:highlight w:val="none"/>
          <w:lang w:val="en-US" w:eastAsia="zh-CN" w:bidi="ar-SA"/>
        </w:rPr>
        <w:t>据的资格</w:t>
      </w:r>
      <w:r>
        <w:rPr>
          <w:rFonts w:hint="eastAsia" w:ascii="仿宋_GB2312" w:hAnsi="仿宋_GB2312" w:eastAsia="仿宋_GB2312" w:cs="仿宋_GB2312"/>
          <w:kern w:val="0"/>
          <w:sz w:val="32"/>
          <w:szCs w:val="32"/>
          <w:highlight w:val="none"/>
          <w:lang w:val="en-US" w:eastAsia="zh-CN" w:bidi="ar-SA"/>
        </w:rPr>
        <w:t>,</w:t>
      </w:r>
      <w:r>
        <w:rPr>
          <w:rFonts w:hint="default" w:ascii="仿宋_GB2312" w:hAnsi="仿宋_GB2312" w:eastAsia="仿宋_GB2312" w:cs="仿宋_GB2312"/>
          <w:kern w:val="0"/>
          <w:sz w:val="32"/>
          <w:szCs w:val="32"/>
          <w:highlight w:val="none"/>
          <w:lang w:val="en-US" w:eastAsia="zh-CN" w:bidi="ar-SA"/>
        </w:rPr>
        <w:t>为此，</w:t>
      </w:r>
      <w:r>
        <w:rPr>
          <w:rFonts w:hint="eastAsia" w:ascii="仿宋_GB2312" w:hAnsi="仿宋_GB2312" w:eastAsia="仿宋_GB2312" w:cs="仿宋_GB2312"/>
          <w:kern w:val="0"/>
          <w:sz w:val="32"/>
          <w:szCs w:val="32"/>
          <w:highlight w:val="none"/>
          <w:lang w:val="en-US" w:eastAsia="zh-CN" w:bidi="ar-SA"/>
        </w:rPr>
        <w:t>参与实施本合同的全体人员</w:t>
      </w:r>
      <w:r>
        <w:rPr>
          <w:rFonts w:hint="default" w:ascii="仿宋_GB2312" w:hAnsi="仿宋_GB2312" w:eastAsia="仿宋_GB2312" w:cs="仿宋_GB2312"/>
          <w:kern w:val="0"/>
          <w:sz w:val="32"/>
          <w:szCs w:val="32"/>
          <w:highlight w:val="none"/>
          <w:lang w:val="en-US" w:eastAsia="zh-CN" w:bidi="ar-SA"/>
        </w:rPr>
        <w:t>应当承担维护信息安全及保密义务和法律责任，一旦因违反信息安全及保密相关的行为规范，将被南网列入“黑名单”，不被允许参与南网</w:t>
      </w:r>
      <w:r>
        <w:rPr>
          <w:rFonts w:hint="eastAsia" w:ascii="仿宋_GB2312" w:hAnsi="仿宋_GB2312" w:eastAsia="仿宋_GB2312" w:cs="仿宋_GB2312"/>
          <w:kern w:val="0"/>
          <w:sz w:val="32"/>
          <w:szCs w:val="32"/>
          <w:highlight w:val="none"/>
          <w:lang w:val="en-US" w:eastAsia="zh-CN" w:bidi="ar-SA"/>
        </w:rPr>
        <w:t>数字集团</w:t>
      </w:r>
      <w:r>
        <w:rPr>
          <w:rFonts w:hint="default" w:ascii="仿宋_GB2312" w:hAnsi="仿宋_GB2312" w:eastAsia="仿宋_GB2312" w:cs="仿宋_GB2312"/>
          <w:kern w:val="0"/>
          <w:sz w:val="32"/>
          <w:szCs w:val="32"/>
          <w:highlight w:val="none"/>
          <w:lang w:val="en-US" w:eastAsia="zh-CN" w:bidi="ar-SA"/>
        </w:rPr>
        <w:t>的任何业务</w:t>
      </w:r>
      <w:r>
        <w:rPr>
          <w:rFonts w:hint="eastAsia" w:ascii="仿宋_GB2312" w:hAnsi="仿宋_GB2312" w:eastAsia="仿宋_GB2312" w:cs="仿宋_GB2312"/>
          <w:kern w:val="0"/>
          <w:sz w:val="32"/>
          <w:szCs w:val="32"/>
          <w:highlight w:val="none"/>
          <w:lang w:val="en-US" w:eastAsia="zh-CN" w:bidi="ar-SA"/>
        </w:rPr>
        <w:t>。</w:t>
      </w:r>
    </w:p>
    <w:p>
      <w:pPr>
        <w:pStyle w:val="3"/>
        <w:pageBreakBefore w:val="0"/>
        <w:widowControl w:val="0"/>
        <w:kinsoku/>
        <w:wordWrap/>
        <w:overflowPunct/>
        <w:topLinePunct w:val="0"/>
        <w:autoSpaceDE/>
        <w:autoSpaceDN/>
        <w:bidi w:val="0"/>
        <w:adjustRightInd/>
        <w:snapToGrid/>
        <w:ind w:right="0" w:rightChars="0" w:firstLine="640" w:firstLineChars="200"/>
        <w:textAlignment w:val="auto"/>
        <w:rPr>
          <w:rFonts w:hint="eastAsia"/>
          <w:lang w:val="en-US" w:eastAsia="zh-CN"/>
        </w:rPr>
      </w:pPr>
      <w:r>
        <w:rPr>
          <w:rFonts w:hint="eastAsia"/>
          <w:lang w:val="en-US" w:eastAsia="zh-CN"/>
        </w:rPr>
        <w:t>六、验收要求</w:t>
      </w:r>
    </w:p>
    <w:p>
      <w:pPr>
        <w:pStyle w:val="2"/>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240" w:lineRule="auto"/>
        <w:ind w:left="0" w:leftChars="0" w:right="0" w:rightChars="0" w:firstLine="640" w:firstLineChars="200"/>
        <w:textAlignment w:val="auto"/>
        <w:rPr>
          <w:rFonts w:hint="default"/>
          <w:lang w:val="en-US" w:eastAsia="zh-CN"/>
        </w:rPr>
      </w:pPr>
      <w:r>
        <w:rPr>
          <w:rFonts w:hint="default" w:ascii="仿宋_GB2312" w:hAnsi="仿宋_GB2312" w:eastAsia="仿宋_GB2312" w:cs="仿宋_GB2312"/>
          <w:kern w:val="0"/>
          <w:sz w:val="32"/>
          <w:szCs w:val="32"/>
          <w:highlight w:val="none"/>
          <w:lang w:val="en-US" w:eastAsia="zh-CN" w:bidi="ar-SA"/>
        </w:rPr>
        <w:t>成交人按照合同要求出具</w:t>
      </w:r>
      <w:r>
        <w:rPr>
          <w:rFonts w:hint="eastAsia" w:ascii="仿宋_GB2312" w:hAnsi="仿宋_GB2312" w:eastAsia="仿宋_GB2312" w:cs="仿宋_GB2312"/>
          <w:kern w:val="2"/>
          <w:sz w:val="32"/>
          <w:szCs w:val="32"/>
          <w:lang w:val="en-US" w:eastAsia="zh-CN" w:bidi="ar-SA"/>
        </w:rPr>
        <w:t>2022年至2024年现金流量表专项审计报告1份</w:t>
      </w:r>
      <w:r>
        <w:rPr>
          <w:rFonts w:hint="default" w:ascii="仿宋_GB2312" w:hAnsi="仿宋_GB2312" w:eastAsia="仿宋_GB2312" w:cs="仿宋_GB2312"/>
          <w:kern w:val="0"/>
          <w:sz w:val="32"/>
          <w:szCs w:val="32"/>
          <w:highlight w:val="none"/>
          <w:lang w:val="en-US" w:eastAsia="zh-CN" w:bidi="ar-SA"/>
        </w:rPr>
        <w:t>，经</w:t>
      </w:r>
      <w:r>
        <w:rPr>
          <w:rFonts w:hint="eastAsia" w:ascii="仿宋_GB2312" w:hAnsi="仿宋_GB2312" w:eastAsia="仿宋_GB2312" w:cs="仿宋_GB2312"/>
          <w:kern w:val="0"/>
          <w:sz w:val="32"/>
          <w:szCs w:val="32"/>
          <w:highlight w:val="none"/>
          <w:lang w:val="en-US" w:eastAsia="zh-CN" w:bidi="ar-SA"/>
        </w:rPr>
        <w:t>数据</w:t>
      </w:r>
      <w:r>
        <w:rPr>
          <w:rFonts w:hint="default" w:ascii="仿宋_GB2312" w:hAnsi="仿宋_GB2312" w:eastAsia="仿宋_GB2312" w:cs="仿宋_GB2312"/>
          <w:kern w:val="0"/>
          <w:sz w:val="32"/>
          <w:szCs w:val="32"/>
          <w:highlight w:val="none"/>
          <w:lang w:val="en-US" w:eastAsia="zh-CN" w:bidi="ar-SA"/>
        </w:rPr>
        <w:t>公司计划财务部审核通过，成交方出具结算单，双方签字盖章。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4002EFF" w:usb1="C000247B" w:usb2="00000009" w:usb3="00000000" w:csb0="200001FF" w:csb1="00000000"/>
  </w:font>
  <w:font w:name="+中文正文">
    <w:altName w:val="Segoe Print"/>
    <w:panose1 w:val="00000000000000000000"/>
    <w:charset w:val="00"/>
    <w:family w:val="auto"/>
    <w:pitch w:val="default"/>
    <w:sig w:usb0="00000000" w:usb1="00000000" w:usb2="00000000" w:usb3="00000000" w:csb0="00000000" w:csb1="00000000"/>
  </w:font>
  <w:font w:name="+西文正文">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Sans Serif">
    <w:panose1 w:val="020B0604020202020204"/>
    <w:charset w:val="00"/>
    <w:family w:val="auto"/>
    <w:pitch w:val="default"/>
    <w:sig w:usb0="E5002EFF" w:usb1="C000605B" w:usb2="00000029" w:usb3="00000000" w:csb0="200101FF" w:csb1="20280000"/>
  </w:font>
  <w:font w:name="Lucida Sans Unicode">
    <w:panose1 w:val="020B0602030504020204"/>
    <w:charset w:val="00"/>
    <w:family w:val="auto"/>
    <w:pitch w:val="default"/>
    <w:sig w:usb0="80001AFF" w:usb1="0000396B" w:usb2="00000000" w:usb3="00000000" w:csb0="200000BF" w:csb1="D7F70000"/>
  </w:font>
  <w:font w:name="Microsoft New Tai Lue">
    <w:panose1 w:val="020B0502040204020203"/>
    <w:charset w:val="00"/>
    <w:family w:val="auto"/>
    <w:pitch w:val="default"/>
    <w:sig w:usb0="00000003" w:usb1="00000000" w:usb2="80000000" w:usb3="00000000" w:csb0="00000001" w:csb1="00000000"/>
  </w:font>
  <w:font w:name="Microsoft PhagsPa">
    <w:panose1 w:val="020B0502040204020203"/>
    <w:charset w:val="00"/>
    <w:family w:val="auto"/>
    <w:pitch w:val="default"/>
    <w:sig w:usb0="00000003" w:usb1="00200000" w:usb2="08000000" w:usb3="00000000" w:csb0="00000001" w:csb1="00000000"/>
  </w:font>
  <w:font w:name="Microsoft YaHei UI Light">
    <w:panose1 w:val="020B0502040204020203"/>
    <w:charset w:val="86"/>
    <w:family w:val="auto"/>
    <w:pitch w:val="default"/>
    <w:sig w:usb0="80000287" w:usb1="2ACF0010" w:usb2="00000016" w:usb3="00000000" w:csb0="0004001F" w:csb1="00000000"/>
  </w:font>
  <w:font w:name="Yu Gothic">
    <w:panose1 w:val="020B0400000000000000"/>
    <w:charset w:val="80"/>
    <w:family w:val="auto"/>
    <w:pitch w:val="default"/>
    <w:sig w:usb0="E00002FF" w:usb1="2AC7FDFF" w:usb2="00000016" w:usb3="00000000" w:csb0="2002009F" w:csb1="00000000"/>
  </w:font>
  <w:font w:name="仿宋_GB2312">
    <w:altName w:val="仿宋"/>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仿宋2">
    <w:altName w:val="仿宋"/>
    <w:panose1 w:val="00000000000000000000"/>
    <w:charset w:val="00"/>
    <w:family w:val="auto"/>
    <w:pitch w:val="default"/>
    <w:sig w:usb0="00000000" w:usb1="00000000" w:usb2="00000000" w:usb3="00000000" w:csb0="00000000" w:csb1="00000000"/>
  </w:font>
  <w:font w:name="仿宋23">
    <w:altName w:val="仿宋"/>
    <w:panose1 w:val="00000000000000000000"/>
    <w:charset w:val="00"/>
    <w:family w:val="auto"/>
    <w:pitch w:val="default"/>
    <w:sig w:usb0="00000000" w:usb1="00000000" w:usb2="00000000" w:usb3="00000000" w:csb0="00000000" w:csb1="00000000"/>
  </w:font>
  <w:font w:name="仿宋232">
    <w:altName w:val="仿宋"/>
    <w:panose1 w:val="00000000000000000000"/>
    <w:charset w:val="00"/>
    <w:family w:val="auto"/>
    <w:pitch w:val="default"/>
    <w:sig w:usb0="00000000" w:usb1="00000000" w:usb2="00000000" w:usb3="00000000" w:csb0="00000000" w:csb1="00000000"/>
  </w:font>
  <w:font w:name="仿宋2321">
    <w:altName w:val="仿宋"/>
    <w:panose1 w:val="00000000000000000000"/>
    <w:charset w:val="00"/>
    <w:family w:val="auto"/>
    <w:pitch w:val="default"/>
    <w:sig w:usb0="00000000" w:usb1="00000000" w:usb2="00000000" w:usb3="00000000" w:csb0="00000000" w:csb1="00000000"/>
  </w:font>
  <w:font w:name="仿宋-2321">
    <w:altName w:val="仿宋"/>
    <w:panose1 w:val="00000000000000000000"/>
    <w:charset w:val="00"/>
    <w:family w:val="auto"/>
    <w:pitch w:val="default"/>
    <w:sig w:usb0="00000000" w:usb1="00000000" w:usb2="00000000" w:usb3="00000000" w:csb0="00000000" w:csb1="00000000"/>
  </w:font>
  <w:font w:name="仿宋2321-">
    <w:altName w:val="仿宋"/>
    <w:panose1 w:val="00000000000000000000"/>
    <w:charset w:val="00"/>
    <w:family w:val="auto"/>
    <w:pitch w:val="default"/>
    <w:sig w:usb0="00000000" w:usb1="00000000" w:usb2="00000000" w:usb3="00000000" w:csb0="00000000" w:csb1="00000000"/>
  </w:font>
  <w:font w:name="仿宋-23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F511F3"/>
    <w:rsid w:val="004F1ED1"/>
    <w:rsid w:val="075D098A"/>
    <w:rsid w:val="07D478A0"/>
    <w:rsid w:val="0E295860"/>
    <w:rsid w:val="1BDE34C7"/>
    <w:rsid w:val="1E45337F"/>
    <w:rsid w:val="24D65F75"/>
    <w:rsid w:val="29C430A0"/>
    <w:rsid w:val="2C2A3767"/>
    <w:rsid w:val="2E6C1134"/>
    <w:rsid w:val="2F824D56"/>
    <w:rsid w:val="30225B29"/>
    <w:rsid w:val="307C0344"/>
    <w:rsid w:val="46F25639"/>
    <w:rsid w:val="4A714A31"/>
    <w:rsid w:val="4D0B33C6"/>
    <w:rsid w:val="4FF511F3"/>
    <w:rsid w:val="511A7B47"/>
    <w:rsid w:val="55856060"/>
    <w:rsid w:val="5ED66103"/>
    <w:rsid w:val="61D776BB"/>
    <w:rsid w:val="6AAF0A00"/>
    <w:rsid w:val="6D267E2D"/>
    <w:rsid w:val="6F6A1028"/>
    <w:rsid w:val="72FC1E33"/>
    <w:rsid w:val="7C5C28F1"/>
    <w:rsid w:val="7D702296"/>
    <w:rsid w:val="7F7336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7"/>
    <w:qFormat/>
    <w:uiPriority w:val="0"/>
    <w:pPr>
      <w:keepNext/>
      <w:keepLines/>
      <w:spacing w:before="10" w:beforeLines="0" w:beforeAutospacing="0" w:after="10" w:afterLines="0" w:afterAutospacing="0" w:line="576" w:lineRule="auto"/>
      <w:jc w:val="left"/>
      <w:outlineLvl w:val="0"/>
    </w:pPr>
    <w:rPr>
      <w:rFonts w:ascii="Times New Roman" w:hAnsi="Times New Roman" w:eastAsia="黑体"/>
      <w:kern w:val="44"/>
      <w:sz w:val="32"/>
      <w:szCs w:val="44"/>
    </w:rPr>
  </w:style>
  <w:style w:type="paragraph" w:styleId="4">
    <w:name w:val="heading 2"/>
    <w:basedOn w:val="1"/>
    <w:next w:val="1"/>
    <w:unhideWhenUsed/>
    <w:qFormat/>
    <w:uiPriority w:val="0"/>
    <w:pPr>
      <w:keepNext/>
      <w:keepLines/>
      <w:spacing w:beforeLines="0" w:beforeAutospacing="0" w:afterLines="0" w:afterAutospacing="0" w:line="413" w:lineRule="auto"/>
      <w:ind w:firstLine="803" w:firstLineChars="200"/>
      <w:outlineLvl w:val="1"/>
    </w:pPr>
    <w:rPr>
      <w:rFonts w:ascii="Times New Roman" w:hAnsi="Times New Roman" w:eastAsia="仿宋"/>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character" w:customStyle="1" w:styleId="7">
    <w:name w:val="标题 1 Char"/>
    <w:link w:val="3"/>
    <w:uiPriority w:val="0"/>
    <w:rPr>
      <w:rFonts w:ascii="Times New Roman" w:hAnsi="Times New Roman" w:eastAsia="黑体"/>
      <w:kern w:val="44"/>
      <w:sz w:val="32"/>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110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2025-11-07T03:47:00Z</dcterms:created>
  <dc:creator>熊悠雯</dc:creator>
  <cp:lastModifiedBy>wx-zhongqilin</cp:lastModifiedBy>
  <dcterms:modified xsi:type="dcterms:W3CDTF">2026-05-06T05:53:43Z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3BDC88D8BCAA44459D45F2E7127D83F8</vt:lpwstr>
  </property>
  <property fmtid="{D5CDD505-2E9C-101B-9397-08002B2CF9AE}" pid="4" name="WondersoftTag">
    <vt:lpwstr>8FCE27FC-473B-4E06-BD63-8C32E285D90C#2#099C6DEC-23E04C9D-A6EA3D25-34B5FDE6##0</vt:lpwstr>
  </property>
</Properties>
</file>