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项目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名称：阳江三山岛场址海上风电接入系统工程</w:t>
      </w:r>
      <w:r>
        <w:rPr>
          <w:rFonts w:hint="eastAsia" w:hAnsi="宋体" w:cs="宋体"/>
          <w:b/>
          <w:color w:val="auto"/>
          <w:sz w:val="28"/>
          <w:szCs w:val="28"/>
          <w:highlight w:val="none"/>
          <w:lang w:val="en-US" w:eastAsia="zh-CN"/>
        </w:rPr>
        <w:t>监理</w:t>
      </w:r>
    </w:p>
    <w:tbl>
      <w:tblPr>
        <w:tblStyle w:val="16"/>
        <w:tblW w:w="7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3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</w:t>
            </w:r>
          </w:p>
        </w:tc>
        <w:tc>
          <w:tcPr>
            <w:tcW w:w="3476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3476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highlight w:val="none"/>
              </w:rPr>
              <w:t>广东电网有限责任公司</w:t>
            </w:r>
            <w:r>
              <w:rPr>
                <w:rFonts w:hint="eastAsia" w:ascii="宋体" w:hAnsi="宋体"/>
                <w:sz w:val="22"/>
                <w:szCs w:val="22"/>
                <w:highlight w:val="none"/>
                <w:lang w:val="en-US" w:eastAsia="zh-CN"/>
              </w:rPr>
              <w:t>阳江供电局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3476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highlight w:val="none"/>
                <w:lang w:val="en-US" w:eastAsia="zh-CN"/>
              </w:rPr>
              <w:t>阳江</w:t>
            </w:r>
            <w:r>
              <w:rPr>
                <w:rFonts w:hint="eastAsia" w:hAnsi="宋体"/>
                <w:sz w:val="22"/>
                <w:szCs w:val="22"/>
                <w:highlight w:val="none"/>
                <w:lang w:val="en-US" w:eastAsia="zh-CN"/>
              </w:rPr>
              <w:t>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可研批复文号</w:t>
            </w:r>
          </w:p>
        </w:tc>
        <w:tc>
          <w:tcPr>
            <w:tcW w:w="3476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南方电网规划〔2025〕114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项目核准、备案文号</w:t>
            </w:r>
          </w:p>
        </w:tc>
        <w:tc>
          <w:tcPr>
            <w:tcW w:w="3476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阳发改核准〔2025〕27号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资金落实情况</w:t>
            </w:r>
          </w:p>
        </w:tc>
        <w:tc>
          <w:tcPr>
            <w:tcW w:w="3476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广电计财〔2026〕6 号</w:t>
            </w:r>
          </w:p>
        </w:tc>
      </w:tr>
    </w:tbl>
    <w:p>
      <w:pPr>
        <w:pStyle w:val="11"/>
        <w:keepNext w:val="0"/>
        <w:keepLines w:val="0"/>
        <w:pageBreakBefore w:val="0"/>
        <w:numPr>
          <w:ilvl w:val="0"/>
          <w:numId w:val="1"/>
        </w:numPr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0" w:firstLineChars="0"/>
        <w:textAlignment w:val="auto"/>
        <w:outlineLvl w:val="0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  <w:t>建设规模</w:t>
      </w:r>
    </w:p>
    <w:p>
      <w:pPr>
        <w:pStyle w:val="11"/>
        <w:adjustRightInd w:val="0"/>
        <w:snapToGrid w:val="0"/>
        <w:ind w:firstLine="422" w:firstLineChars="200"/>
        <w:jc w:val="left"/>
        <w:rPr>
          <w:rFonts w:hint="eastAsia" w:hAnsi="宋体" w:cs="宋体"/>
          <w:b/>
          <w:color w:val="auto"/>
          <w:sz w:val="21"/>
          <w:szCs w:val="21"/>
        </w:rPr>
      </w:pPr>
      <w:r>
        <w:rPr>
          <w:rFonts w:hint="eastAsia" w:hAnsi="宋体" w:cs="宋体"/>
          <w:b/>
          <w:color w:val="auto"/>
          <w:sz w:val="21"/>
          <w:szCs w:val="21"/>
        </w:rPr>
        <w:t xml:space="preserve">※变电部分: 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left" w:pos="114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jc w:val="left"/>
        <w:textAlignment w:val="auto"/>
        <w:rPr>
          <w:rFonts w:hint="eastAsia" w:ascii="宋体" w:hAnsi="宋体" w:cs="宋体"/>
          <w:bCs/>
          <w:color w:val="auto"/>
          <w:sz w:val="21"/>
          <w:szCs w:val="21"/>
        </w:rPr>
      </w:pPr>
      <w:r>
        <w:rPr>
          <w:rFonts w:hint="eastAsia" w:ascii="宋体" w:hAnsi="宋体" w:cs="宋体"/>
          <w:bCs/>
          <w:color w:val="auto"/>
          <w:sz w:val="21"/>
          <w:szCs w:val="21"/>
        </w:rPr>
        <w:t>阳东500千伏开关站间隔扩建工程：本期在5M、6M母线（圭峰侧）扩建1个500kV出线间隔至三山岛五、六陆上集控站。</w:t>
      </w:r>
    </w:p>
    <w:p>
      <w:pPr>
        <w:keepNext w:val="0"/>
        <w:keepLines w:val="0"/>
        <w:pageBreakBefore w:val="0"/>
        <w:widowControl w:val="0"/>
        <w:tabs>
          <w:tab w:val="left" w:pos="114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jc w:val="left"/>
        <w:textAlignment w:val="auto"/>
        <w:rPr>
          <w:rFonts w:hint="eastAsia"/>
          <w:color w:val="auto"/>
          <w:sz w:val="21"/>
          <w:szCs w:val="21"/>
        </w:rPr>
      </w:pPr>
      <w:r>
        <w:rPr>
          <w:rFonts w:hint="eastAsia" w:ascii="宋体" w:hAnsi="宋体" w:cs="宋体"/>
          <w:bCs/>
          <w:color w:val="auto"/>
          <w:sz w:val="21"/>
          <w:szCs w:val="21"/>
          <w:lang w:val="en-US" w:eastAsia="zh-CN"/>
        </w:rPr>
        <w:t>2</w:t>
      </w:r>
      <w:r>
        <w:rPr>
          <w:rFonts w:hint="eastAsia" w:ascii="宋体" w:hAnsi="宋体" w:cs="宋体"/>
          <w:bCs/>
          <w:color w:val="auto"/>
          <w:sz w:val="21"/>
          <w:szCs w:val="21"/>
        </w:rPr>
        <w:t>、阳东500千伏开关站分站改造工程：根据系统需求，本站进行分站改造，新建主控通信楼1座。阳东500kV开关站原规划3组母线高抗，本期扩建主控通信楼暂按占用1M母线高抗位置考虑，扩建后将母线高抗远期规模调整为2组。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firstLine="422" w:firstLineChars="200"/>
        <w:jc w:val="left"/>
        <w:textAlignment w:val="auto"/>
        <w:rPr>
          <w:rFonts w:hint="eastAsia" w:hAnsi="宋体" w:cs="宋体"/>
          <w:b/>
          <w:color w:val="auto"/>
          <w:sz w:val="21"/>
          <w:szCs w:val="21"/>
        </w:rPr>
      </w:pPr>
      <w:r>
        <w:rPr>
          <w:rFonts w:hint="eastAsia" w:hAnsi="宋体" w:cs="宋体"/>
          <w:b/>
          <w:color w:val="auto"/>
          <w:sz w:val="21"/>
          <w:szCs w:val="21"/>
        </w:rPr>
        <w:t>※架空线路部分: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firstLine="420" w:firstLineChars="200"/>
        <w:jc w:val="left"/>
        <w:textAlignment w:val="auto"/>
        <w:rPr>
          <w:rFonts w:hint="eastAsia" w:ascii="宋体" w:hAnsi="宋体" w:eastAsia="宋体" w:cs="宋体"/>
          <w:bCs/>
          <w:color w:val="auto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Cs/>
          <w:color w:val="auto"/>
          <w:kern w:val="2"/>
          <w:sz w:val="21"/>
          <w:szCs w:val="21"/>
          <w:lang w:val="en-US" w:eastAsia="zh-CN" w:bidi="ar-SA"/>
        </w:rPr>
        <w:t>三山岛五、六陆上集控站～阳东开关站500千伏线路工程：本工程线路位于广东省阳江市阳东区境内，建成后的线路长度为41.449km，其中，4.176km利旧已建帆石一二～阳东开关站（龙田站）500kV线路（已挂线），30.273km利用已建帆石一二～阳东开关站（龙田站）双回500kV线路预留回路单回挂线，7.0km除集控站外1基终端塔采用双回路塔单回挂线外，其余按新建单回路架设。导线采用JL/LB20A-630/45铝包钢芯铝绞线，每相4分裂。全线采用自立式角钢塔和钢管塔。新建单回路角钢塔18基、双回路铁塔1基</w:t>
      </w:r>
      <w:r>
        <w:rPr>
          <w:rFonts w:hint="eastAsia" w:hAnsi="宋体" w:eastAsia="宋体" w:cs="宋体"/>
          <w:bCs/>
          <w:color w:val="auto"/>
          <w:kern w:val="2"/>
          <w:sz w:val="21"/>
          <w:szCs w:val="21"/>
          <w:lang w:val="en-US" w:eastAsia="zh-CN" w:bidi="ar-SA"/>
        </w:rPr>
        <w:t>。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firstLine="422" w:firstLineChars="200"/>
        <w:jc w:val="left"/>
        <w:textAlignment w:val="auto"/>
        <w:rPr>
          <w:rFonts w:hint="eastAsia" w:hAnsi="宋体" w:cs="宋体"/>
          <w:b/>
          <w:color w:val="auto"/>
          <w:sz w:val="21"/>
          <w:szCs w:val="21"/>
        </w:rPr>
      </w:pPr>
      <w:r>
        <w:rPr>
          <w:rFonts w:hint="eastAsia" w:hAnsi="宋体" w:cs="宋体"/>
          <w:b/>
          <w:color w:val="auto"/>
          <w:sz w:val="21"/>
          <w:szCs w:val="21"/>
        </w:rPr>
        <w:t>※通信部分: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firstLine="420" w:firstLineChars="200"/>
        <w:jc w:val="left"/>
        <w:textAlignment w:val="auto"/>
        <w:rPr>
          <w:rFonts w:hint="eastAsia" w:hAnsi="宋体" w:cs="宋体"/>
          <w:bCs/>
          <w:color w:val="auto"/>
          <w:sz w:val="21"/>
          <w:szCs w:val="21"/>
          <w:highlight w:val="none"/>
        </w:rPr>
      </w:pPr>
      <w:r>
        <w:rPr>
          <w:rFonts w:hint="eastAsia" w:hAnsi="宋体" w:cs="宋体"/>
          <w:bCs/>
          <w:color w:val="auto"/>
          <w:sz w:val="21"/>
          <w:szCs w:val="21"/>
          <w:highlight w:val="none"/>
        </w:rPr>
        <w:t>配套通信设备工程：南网主干ASON网：建设阳东开关站分站1～阳东开关站分站2 SDH 10Gb/s光纤通信电路，采用1+1光传输配置。保底通信网（粤西域）：建设阳东开关站分站1～阳东开关站分站2 SDH 10Gb/s光纤通信电路，采用1+1光传输配置。保底通信网（骨干域）：建设阳东开关站分站1～阳东开关站分站2 SDH 10Gb/s光纤通信电路，采用1+1 传输配置。广东省 ASON 网：将阳东开关站分站 1光传输设备搬迁至阳东开关站分站2，并恢复至五邑变、圭峰变各一条SDH 10Gb/s（1+0）光纤通信电路，恢复至阳西 7、8号项目一条SDH 2.5Gb/s（1+0）光纤通信电路。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firstLine="420" w:firstLineChars="200"/>
        <w:jc w:val="left"/>
        <w:textAlignment w:val="auto"/>
        <w:rPr>
          <w:rFonts w:hint="eastAsia" w:hAnsi="宋体" w:cs="宋体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三山岛五、六陆上集控站～阳东开关站500千伏线路工程光缆OPGW工程</w:t>
      </w:r>
      <w:r>
        <w:rPr>
          <w:rFonts w:hint="eastAsia" w:hAnsi="宋体" w:cs="宋体"/>
          <w:bCs/>
          <w:color w:val="auto"/>
          <w:sz w:val="21"/>
          <w:szCs w:val="21"/>
          <w:highlight w:val="none"/>
          <w:lang w:eastAsia="zh-CN"/>
        </w:rPr>
        <w:t>：本工程随三山岛五六陆上集控站～J3 塔、J32塔～阳东开关站分站2新建两条单回500kV线路均架设1根48芯和1根72芯OPGW，新建线路总长度约为7km。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480" w:lineRule="exact"/>
        <w:ind w:firstLine="420" w:firstLineChars="200"/>
        <w:textAlignment w:val="auto"/>
        <w:rPr>
          <w:rFonts w:hint="eastAsia" w:hAnsi="宋体"/>
          <w:bCs/>
          <w:color w:val="auto"/>
          <w:sz w:val="21"/>
          <w:szCs w:val="21"/>
          <w:highlight w:val="none"/>
        </w:rPr>
      </w:pPr>
      <w:r>
        <w:rPr>
          <w:rFonts w:hint="eastAsia" w:hAnsi="宋体"/>
          <w:bCs/>
          <w:color w:val="auto"/>
          <w:sz w:val="21"/>
          <w:szCs w:val="21"/>
          <w:highlight w:val="none"/>
        </w:rPr>
        <w:t>以上各项具体建设规模最终以施工图纸为准。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jc w:val="left"/>
        <w:textAlignment w:val="auto"/>
        <w:rPr>
          <w:rFonts w:hint="eastAsia" w:hAnsi="宋体" w:cs="宋体"/>
          <w:bCs/>
          <w:color w:val="auto"/>
          <w:sz w:val="18"/>
          <w:szCs w:val="18"/>
          <w:highlight w:val="none"/>
        </w:rPr>
      </w:pPr>
    </w:p>
    <w:p>
      <w:pPr>
        <w:pStyle w:val="11"/>
        <w:keepNext w:val="0"/>
        <w:keepLines w:val="0"/>
        <w:pageBreakBefore w:val="0"/>
        <w:numPr>
          <w:ilvl w:val="0"/>
          <w:numId w:val="1"/>
        </w:numPr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0" w:firstLineChars="0"/>
        <w:textAlignment w:val="auto"/>
        <w:outlineLvl w:val="0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  <w:t>采购范围</w:t>
      </w:r>
      <w:bookmarkStart w:id="0" w:name="施工招标范围综合"/>
    </w:p>
    <w:bookmarkEnd w:id="0"/>
    <w:p>
      <w:pPr>
        <w:ind w:left="0" w:leftChars="0" w:firstLine="420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施工准备（含三通一平）、施工（含通信）、竣工结算、缺陷责任期、电子化移交的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全</w:t>
      </w:r>
      <w:r>
        <w:rPr>
          <w:rFonts w:hint="eastAsia" w:ascii="宋体" w:hAnsi="宋体" w:cs="宋体"/>
          <w:color w:val="auto"/>
          <w:szCs w:val="21"/>
          <w:highlight w:val="none"/>
        </w:rPr>
        <w:t>过程监理。按照建设单位要求使用工程信息管理系统。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p>
      <w:pPr>
        <w:pStyle w:val="11"/>
        <w:adjustRightInd w:val="0"/>
        <w:snapToGrid w:val="0"/>
        <w:spacing w:line="360" w:lineRule="auto"/>
        <w:ind w:firstLine="562" w:firstLineChars="200"/>
        <w:jc w:val="center"/>
        <w:outlineLvl w:val="0"/>
        <w:rPr>
          <w:rFonts w:hAnsi="宋体" w:cs="宋体"/>
          <w:b/>
          <w:sz w:val="28"/>
          <w:szCs w:val="28"/>
        </w:rPr>
      </w:pPr>
      <w:r>
        <w:rPr>
          <w:rFonts w:hint="eastAsia" w:hAnsi="宋体" w:cs="宋体"/>
          <w:b/>
          <w:bCs/>
          <w:snapToGrid w:val="0"/>
          <w:sz w:val="28"/>
          <w:szCs w:val="28"/>
        </w:rPr>
        <w:t>项目</w:t>
      </w:r>
      <w:r>
        <w:rPr>
          <w:rFonts w:hint="eastAsia" w:hAnsi="宋体" w:eastAsia="宋体" w:cs="宋体"/>
          <w:b/>
          <w:bCs/>
          <w:snapToGrid w:val="0"/>
          <w:sz w:val="28"/>
          <w:szCs w:val="28"/>
        </w:rPr>
        <w:t>名称：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500千伏红河变扩建主变工程</w:t>
      </w:r>
    </w:p>
    <w:tbl>
      <w:tblPr>
        <w:tblStyle w:val="16"/>
        <w:tblW w:w="73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3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</w:t>
            </w:r>
          </w:p>
        </w:tc>
        <w:tc>
          <w:tcPr>
            <w:tcW w:w="3476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项目建设单位</w:t>
            </w:r>
          </w:p>
        </w:tc>
        <w:tc>
          <w:tcPr>
            <w:tcW w:w="3476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int="default" w:hAnsi="宋体" w:eastAsia="宋体" w:cs="宋体"/>
                <w:snapToGrid w:val="0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云南电网有限责任公司</w:t>
            </w:r>
            <w:r>
              <w:rPr>
                <w:rFonts w:hint="eastAsia" w:hAnsi="宋体" w:eastAsia="宋体" w:cs="宋体"/>
                <w:sz w:val="21"/>
                <w:szCs w:val="21"/>
                <w:lang w:val="en-US" w:eastAsia="zh-CN"/>
              </w:rPr>
              <w:t>红河供电局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项目建设地点</w:t>
            </w:r>
          </w:p>
        </w:tc>
        <w:tc>
          <w:tcPr>
            <w:tcW w:w="3476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云南省</w:t>
            </w:r>
            <w:r>
              <w:rPr>
                <w:rFonts w:hint="eastAsia" w:hAnsi="宋体" w:eastAsia="宋体" w:cs="宋体"/>
                <w:sz w:val="21"/>
                <w:szCs w:val="21"/>
                <w:lang w:val="en-US" w:eastAsia="zh-CN"/>
              </w:rPr>
              <w:t>开远</w:t>
            </w:r>
            <w:r>
              <w:rPr>
                <w:rFonts w:hint="eastAsia" w:hAnsi="宋体" w:eastAsia="宋体" w:cs="宋体"/>
                <w:sz w:val="21"/>
                <w:szCs w:val="21"/>
              </w:rPr>
              <w:t>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可研批复文号</w:t>
            </w:r>
          </w:p>
        </w:tc>
        <w:tc>
          <w:tcPr>
            <w:tcW w:w="3476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南方电网规划〔2025〕</w:t>
            </w:r>
            <w:r>
              <w:rPr>
                <w:rFonts w:hint="eastAsia" w:hAnsi="宋体" w:eastAsia="宋体" w:cs="宋体"/>
                <w:sz w:val="21"/>
                <w:szCs w:val="21"/>
                <w:lang w:val="en-US" w:eastAsia="zh-CN"/>
              </w:rPr>
              <w:t>86</w:t>
            </w:r>
            <w:r>
              <w:rPr>
                <w:rFonts w:hint="eastAsia" w:hAnsi="宋体" w:eastAsia="宋体" w:cs="宋体"/>
                <w:sz w:val="21"/>
                <w:szCs w:val="21"/>
              </w:rPr>
              <w:t>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项目核准、备案文号</w:t>
            </w:r>
          </w:p>
        </w:tc>
        <w:tc>
          <w:tcPr>
            <w:tcW w:w="3476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sz w:val="21"/>
                <w:szCs w:val="21"/>
              </w:rPr>
              <w:t>云发改能源〔202</w:t>
            </w:r>
            <w:r>
              <w:rPr>
                <w:rFonts w:hint="eastAsia" w:hAnsi="宋体" w:eastAsia="宋体" w:cs="宋体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hAnsi="宋体" w:eastAsia="宋体" w:cs="宋体"/>
                <w:sz w:val="21"/>
                <w:szCs w:val="21"/>
              </w:rPr>
              <w:t>〕</w:t>
            </w:r>
            <w:r>
              <w:rPr>
                <w:rFonts w:hAnsi="宋体" w:eastAsia="宋体" w:cs="宋体"/>
                <w:sz w:val="21"/>
                <w:szCs w:val="21"/>
              </w:rPr>
              <w:t>1</w:t>
            </w:r>
            <w:r>
              <w:rPr>
                <w:rFonts w:hint="eastAsia" w:hAnsi="宋体" w:eastAsia="宋体" w:cs="宋体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hAnsi="宋体" w:eastAsia="宋体" w:cs="宋体"/>
                <w:sz w:val="21"/>
                <w:szCs w:val="21"/>
              </w:rPr>
              <w:t xml:space="preserve">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Ansi="宋体" w:eastAsia="宋体" w:cs="宋体"/>
                <w:b/>
                <w:bCs/>
                <w:snapToGrid w:val="0"/>
                <w:sz w:val="21"/>
                <w:szCs w:val="21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sz w:val="21"/>
                <w:szCs w:val="21"/>
              </w:rPr>
              <w:t>资金落实情况</w:t>
            </w:r>
          </w:p>
        </w:tc>
        <w:tc>
          <w:tcPr>
            <w:tcW w:w="3476" w:type="dxa"/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int="eastAsia" w:hAnsi="宋体" w:eastAsia="宋体" w:cs="宋体"/>
                <w:snapToGrid w:val="0"/>
                <w:sz w:val="21"/>
                <w:szCs w:val="21"/>
                <w:lang w:val="en-US" w:eastAsia="zh-CN"/>
              </w:rPr>
            </w:pPr>
            <w:r>
              <w:rPr>
                <w:rFonts w:hint="eastAsia" w:hAnsi="宋体" w:eastAsia="宋体" w:cs="宋体"/>
                <w:snapToGrid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Cs w:val="21"/>
              </w:rPr>
              <w:t>云电规划〔202</w:t>
            </w:r>
            <w:r>
              <w:rPr>
                <w:rFonts w:hint="eastAsia" w:hAnsi="宋体" w:eastAsia="宋体" w:cs="宋体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Cs w:val="21"/>
              </w:rPr>
              <w:t>〕</w:t>
            </w:r>
            <w:r>
              <w:rPr>
                <w:rFonts w:hint="eastAsia" w:hAnsi="宋体" w:eastAsia="宋体" w:cs="宋体"/>
                <w:szCs w:val="21"/>
                <w:lang w:val="en-US" w:eastAsia="zh-CN"/>
              </w:rPr>
              <w:t>38</w:t>
            </w:r>
            <w:r>
              <w:rPr>
                <w:rFonts w:hint="eastAsia" w:ascii="宋体" w:hAnsi="宋体" w:eastAsia="宋体" w:cs="宋体"/>
                <w:szCs w:val="21"/>
              </w:rPr>
              <w:t>号</w:t>
            </w:r>
          </w:p>
        </w:tc>
      </w:tr>
    </w:tbl>
    <w:p/>
    <w:p>
      <w:pPr>
        <w:pStyle w:val="11"/>
        <w:numPr>
          <w:numId w:val="0"/>
        </w:numPr>
        <w:adjustRightInd w:val="0"/>
        <w:snapToGrid w:val="0"/>
        <w:spacing w:line="360" w:lineRule="auto"/>
        <w:ind w:leftChars="0"/>
        <w:outlineLvl w:val="0"/>
        <w:rPr>
          <w:rFonts w:hAnsi="宋体" w:eastAsia="宋体" w:cs="宋体"/>
          <w:b/>
          <w:sz w:val="24"/>
          <w:szCs w:val="24"/>
        </w:rPr>
      </w:pPr>
      <w:r>
        <w:rPr>
          <w:rFonts w:hint="eastAsia" w:hAnsi="宋体" w:eastAsia="宋体" w:cs="宋体"/>
          <w:b/>
          <w:sz w:val="24"/>
          <w:szCs w:val="24"/>
          <w:lang w:val="en-US" w:eastAsia="zh-CN"/>
        </w:rPr>
        <w:t>一．</w:t>
      </w:r>
      <w:r>
        <w:rPr>
          <w:rFonts w:hint="eastAsia" w:hAnsi="宋体" w:eastAsia="宋体" w:cs="宋体"/>
          <w:b/>
          <w:sz w:val="24"/>
          <w:szCs w:val="24"/>
        </w:rPr>
        <w:t>建设规模</w:t>
      </w:r>
    </w:p>
    <w:p>
      <w:pPr>
        <w:pStyle w:val="11"/>
        <w:spacing w:line="360" w:lineRule="auto"/>
        <w:ind w:firstLine="482" w:firstLineChars="200"/>
        <w:rPr>
          <w:rFonts w:hAnsi="宋体" w:eastAsia="宋体" w:cs="宋体"/>
          <w:color w:val="FF0000"/>
          <w:sz w:val="21"/>
          <w:szCs w:val="21"/>
        </w:rPr>
      </w:pPr>
      <w:r>
        <w:rPr>
          <w:rFonts w:asciiTheme="minorEastAsia" w:hAnsiTheme="minorEastAsia" w:cstheme="minorEastAsia"/>
          <w:b/>
          <w:bCs/>
          <w:sz w:val="24"/>
          <w:szCs w:val="24"/>
        </w:rPr>
        <w:t>1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.</w:t>
      </w:r>
      <w:r>
        <w:rPr>
          <w:rFonts w:hint="eastAsia"/>
        </w:rPr>
        <w:t xml:space="preserve"> 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500千伏红河变扩建主变工程</w:t>
      </w:r>
    </w:p>
    <w:p>
      <w:pPr>
        <w:widowControl w:val="0"/>
        <w:snapToGrid w:val="0"/>
        <w:spacing w:line="560" w:lineRule="exact"/>
        <w:ind w:firstLine="420" w:firstLineChars="200"/>
        <w:jc w:val="both"/>
        <w:rPr>
          <w:rFonts w:hint="eastAsia" w:ascii="宋体" w:hAnsi="宋体" w:eastAsia="宋体" w:cs="宋体"/>
          <w:kern w:val="0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本期扩建750兆伏安主变压器1组，扩建</w:t>
      </w:r>
      <w:r>
        <w:rPr>
          <w:rFonts w:hint="default" w:ascii="宋体" w:hAnsi="宋体" w:eastAsia="宋体" w:cs="宋体"/>
          <w:kern w:val="0"/>
          <w:szCs w:val="21"/>
          <w:lang w:val="en-US" w:eastAsia="zh-CN"/>
        </w:rPr>
        <w:t>500千伏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备用出线1回，新建</w:t>
      </w:r>
      <w:r>
        <w:rPr>
          <w:rFonts w:hint="eastAsia" w:ascii="宋体" w:hAnsi="宋体" w:eastAsia="宋体" w:cs="宋体"/>
          <w:kern w:val="0"/>
          <w:szCs w:val="21"/>
        </w:rPr>
        <w:t>主变35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千伏</w:t>
      </w:r>
      <w:r>
        <w:rPr>
          <w:rFonts w:hint="eastAsia" w:ascii="宋体" w:hAnsi="宋体" w:eastAsia="宋体" w:cs="宋体"/>
          <w:kern w:val="0"/>
          <w:szCs w:val="21"/>
        </w:rPr>
        <w:t>侧安装</w:t>
      </w:r>
      <w:r>
        <w:rPr>
          <w:rFonts w:hint="eastAsia" w:ascii="宋体" w:hAnsi="宋体" w:eastAsia="宋体" w:cs="宋体"/>
          <w:kern w:val="0"/>
          <w:szCs w:val="21"/>
          <w:lang w:eastAsia="zh-CN"/>
        </w:rPr>
        <w:t>1</w:t>
      </w:r>
      <w:r>
        <w:rPr>
          <w:rFonts w:hint="eastAsia" w:ascii="宋体" w:hAnsi="宋体" w:eastAsia="宋体" w:cs="宋体"/>
          <w:kern w:val="0"/>
          <w:szCs w:val="21"/>
        </w:rPr>
        <w:t>组60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兆乏</w:t>
      </w:r>
      <w:r>
        <w:rPr>
          <w:rFonts w:hint="eastAsia" w:ascii="宋体" w:hAnsi="宋体" w:eastAsia="宋体" w:cs="宋体"/>
          <w:kern w:val="0"/>
          <w:szCs w:val="21"/>
        </w:rPr>
        <w:t>低压并联电容器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。500</w:t>
      </w:r>
      <w:r>
        <w:rPr>
          <w:rFonts w:hint="default" w:ascii="宋体" w:hAnsi="宋体" w:eastAsia="宋体" w:cs="宋体"/>
          <w:kern w:val="0"/>
          <w:szCs w:val="21"/>
          <w:lang w:val="en-US" w:eastAsia="zh-CN"/>
        </w:rPr>
        <w:t>千伏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超规模扩建</w:t>
      </w:r>
      <w:r>
        <w:rPr>
          <w:rFonts w:hint="eastAsia" w:ascii="宋体" w:hAnsi="宋体" w:eastAsia="宋体" w:cs="宋体"/>
          <w:kern w:val="0"/>
          <w:szCs w:val="21"/>
        </w:rPr>
        <w:t>第7串“3号主变”~“电气备用出线”组成一个完整串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；</w:t>
      </w:r>
      <w:r>
        <w:rPr>
          <w:rFonts w:hint="default" w:ascii="宋体" w:hAnsi="宋体" w:eastAsia="宋体" w:cs="宋体"/>
          <w:kern w:val="0"/>
          <w:szCs w:val="21"/>
          <w:lang w:val="en-US" w:eastAsia="zh-CN"/>
        </w:rPr>
        <w:t>220千伏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本期新增#3主变220千伏侧接入第三串原红吉I回间隔，将原接入第三串的红吉I回改接至第二串，将原接入第二串的红吉II回改接入220kV IIM母线。500千伏采用1个半断路器接线，本期安装3台断路器。220千伏</w:t>
      </w:r>
      <w:r>
        <w:rPr>
          <w:rFonts w:hint="eastAsia" w:ascii="宋体" w:hAnsi="宋体" w:eastAsia="宋体" w:cs="宋体"/>
          <w:kern w:val="0"/>
          <w:szCs w:val="21"/>
        </w:rPr>
        <w:t>采用1个半断路器接线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，本期安装1台断路器；35千伏侧采用单母线单元接线，本期安装2台断路器。主变采用单相、自耦、油浸式、无励磁调压变压器。500千伏新建部分采用</w:t>
      </w:r>
      <w:r>
        <w:rPr>
          <w:rFonts w:hint="eastAsia" w:ascii="宋体" w:hAnsi="宋体" w:eastAsia="宋体" w:cs="宋体"/>
          <w:kern w:val="0"/>
          <w:szCs w:val="21"/>
        </w:rPr>
        <w:t>HGIS设备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，</w:t>
      </w:r>
      <w:r>
        <w:rPr>
          <w:rFonts w:hint="eastAsia" w:ascii="宋体" w:hAnsi="宋体" w:eastAsia="宋体" w:cs="宋体"/>
          <w:kern w:val="0"/>
          <w:szCs w:val="21"/>
        </w:rPr>
        <w:t>断路器直流分量时间常数按不低于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75</w:t>
      </w:r>
      <w:r>
        <w:rPr>
          <w:rFonts w:hint="eastAsia" w:ascii="宋体" w:hAnsi="宋体" w:eastAsia="宋体" w:cs="宋体"/>
          <w:kern w:val="0"/>
          <w:szCs w:val="21"/>
        </w:rPr>
        <w:t>毫秒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考虑；</w:t>
      </w:r>
      <w:r>
        <w:rPr>
          <w:rFonts w:hint="eastAsia" w:ascii="宋体" w:hAnsi="宋体" w:eastAsia="宋体" w:cs="宋体"/>
          <w:kern w:val="0"/>
          <w:szCs w:val="21"/>
          <w:lang w:val="en-US"/>
        </w:rPr>
        <w:t>联络母线采用GIS母线，配接地开关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。220千伏采用瓷柱式SF6断路器</w:t>
      </w:r>
      <w:r>
        <w:rPr>
          <w:rFonts w:hint="eastAsia" w:ascii="宋体" w:hAnsi="宋体" w:eastAsia="宋体" w:cs="宋体"/>
          <w:kern w:val="0"/>
          <w:szCs w:val="21"/>
          <w:lang w:val="en-US"/>
        </w:rPr>
        <w:t>，新增主变进线部分采用GIS母线，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35千伏采用</w:t>
      </w:r>
      <w:r>
        <w:rPr>
          <w:rFonts w:hint="eastAsia" w:ascii="宋体" w:hAnsi="宋体" w:eastAsia="宋体" w:cs="宋体"/>
          <w:kern w:val="0"/>
          <w:szCs w:val="21"/>
          <w:lang w:val="en-US"/>
        </w:rPr>
        <w:t>罐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式SF6断路器。</w:t>
      </w:r>
    </w:p>
    <w:p>
      <w:pPr>
        <w:pStyle w:val="8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  <w:t>间隔调整引起的导地线架设：将已建的220kV红吉I回以及红吉II回进线间隔，由原红河变北侧220kV出线从西往东数第三、二两个出线间隔，调整至北侧220kV出线从西往东数第二、一两个出线间隔，无新建铁塔，仅对构架侧导线耐张线夹和一根地线进行更换，导线沿用LGJ－300/40钢芯铝绞线，每相2分裂。220kV红吉I回地线1根沿用铝包钢绞线，1根沿用24芯OPGW复合光缆；红吉II回地线1根沿用铝包钢绞线，重新架设1根铝包钢绞线，并在1号终端塔上加装3支线路避雷器。</w:t>
      </w:r>
    </w:p>
    <w:p>
      <w:pPr>
        <w:pStyle w:val="11"/>
        <w:numPr>
          <w:numId w:val="0"/>
        </w:numPr>
        <w:adjustRightInd w:val="0"/>
        <w:snapToGrid w:val="0"/>
        <w:spacing w:line="360" w:lineRule="auto"/>
        <w:ind w:leftChars="0"/>
        <w:outlineLvl w:val="0"/>
        <w:rPr>
          <w:rFonts w:hAnsi="宋体" w:eastAsia="宋体" w:cs="宋体"/>
          <w:b/>
          <w:sz w:val="24"/>
          <w:szCs w:val="24"/>
        </w:rPr>
      </w:pPr>
      <w:r>
        <w:rPr>
          <w:rFonts w:hint="eastAsia" w:hAnsi="宋体" w:eastAsia="宋体" w:cs="宋体"/>
          <w:b/>
          <w:sz w:val="24"/>
          <w:szCs w:val="24"/>
          <w:lang w:val="en-US" w:eastAsia="zh-CN"/>
        </w:rPr>
        <w:t>二．</w:t>
      </w:r>
      <w:bookmarkStart w:id="1" w:name="_GoBack"/>
      <w:bookmarkEnd w:id="1"/>
      <w:r>
        <w:rPr>
          <w:rFonts w:hint="eastAsia" w:hAnsi="宋体" w:eastAsia="宋体" w:cs="宋体"/>
          <w:b/>
          <w:sz w:val="24"/>
          <w:szCs w:val="24"/>
        </w:rPr>
        <w:t xml:space="preserve">采购范围 </w:t>
      </w:r>
    </w:p>
    <w:p>
      <w:pPr>
        <w:ind w:firstLine="482" w:firstLineChars="200"/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500千伏红河变扩建主变工程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施工阶段、保修阶段监理。</w:t>
      </w:r>
    </w:p>
    <w:p>
      <w:pPr>
        <w:pStyle w:val="2"/>
        <w:ind w:left="0" w:leftChars="0" w:firstLine="420" w:firstLineChars="0"/>
        <w:rPr>
          <w:rFonts w:hint="eastAsia" w:asciiTheme="minorEastAsia" w:hAnsiTheme="minorEastAsia" w:eastAsiaTheme="minorEastAsia" w:cstheme="minorEastAsia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4"/>
          <w:szCs w:val="24"/>
          <w:lang w:val="en-US" w:eastAsia="zh-CN" w:bidi="ar-SA"/>
        </w:rPr>
        <w:t>特殊调试清单：</w:t>
      </w:r>
    </w:p>
    <w:tbl>
      <w:tblPr>
        <w:tblStyle w:val="15"/>
        <w:tblW w:w="1005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6457"/>
        <w:gridCol w:w="1455"/>
        <w:gridCol w:w="106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调试内容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变压器绕组连同套管的长时感应耐压试验带局部放电测量 500kV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台（单相）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变压器绕组连同套管的长时感应耐压试验带局部放电测量 500kV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台（单相）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变压器绕组连同套管的长时感应耐压试验带局部放电测量 500kV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台（单相）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变压器绕组连同套管的交流耐压试验 500kV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台（单相）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变压器绕组连同套管的交流耐压试验 500kV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台（单相）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变压器绕组连同套管的交流耐压试验 500kV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台（单相）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变压器绕组变形试验 500kV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台（单相）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变压器绕组变形试验 500kV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台（单相）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变压器绕组变形试验 500kV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台（单相）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互感器交流耐压试验 500kV（变压器中性点间隙试验）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断路器交流耐压试验 220kV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断路器交流耐压试验 110kV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金属氧化物避雷器的工频参考电压和持续电流测量 500kV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金属氧化物避雷器的工频参考电压和持续电流测量 220kV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金属氧化物避雷器的工频参考电压和持续电流测量 110kV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支柱绝缘子探伤试验 110kV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柱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互感器局部放电试验 35kV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互感器交流耐压试验 500kV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互感器交流耐压试验 500kV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互感器交流耐压试验 220kV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互感器交流耐压试验 220kV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GIS（HGIS、PASS）交流耐压试验 500kV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间隔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GIS（HGIS、PASS）局部放电带电检测 500kV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间隔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接地网阻抗测试 变电站 500kV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站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接地网阻抗测试 独立避雷针接地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基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接地引下线及接地网导通测试 变电站 500kV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站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电容器在额定电压下冲击合闸试验 35kV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绝缘油综合试验 单相电力变压器 250000kVA以下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GIS（HGIS、PASS）SF</w:t>
            </w:r>
            <w:r>
              <w:rPr>
                <w:rStyle w:val="21"/>
                <w:rFonts w:eastAsia="仿宋"/>
                <w:lang w:val="en-US" w:eastAsia="zh-CN" w:bidi="ar"/>
              </w:rPr>
              <w:t>₆</w:t>
            </w:r>
            <w:r>
              <w:rPr>
                <w:rStyle w:val="22"/>
                <w:lang w:val="en-US" w:eastAsia="zh-CN" w:bidi="ar"/>
              </w:rPr>
              <w:t>气体试验 带断路器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间隔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GIS母线SF</w:t>
            </w:r>
            <w:r>
              <w:rPr>
                <w:rStyle w:val="21"/>
                <w:rFonts w:eastAsia="仿宋"/>
                <w:lang w:val="en-US" w:eastAsia="zh-CN" w:bidi="ar"/>
              </w:rPr>
              <w:t>₆</w:t>
            </w:r>
            <w:r>
              <w:rPr>
                <w:rStyle w:val="22"/>
                <w:lang w:val="en-US" w:eastAsia="zh-CN" w:bidi="ar"/>
              </w:rPr>
              <w:t>气体试验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段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断路器SF</w:t>
            </w:r>
            <w:r>
              <w:rPr>
                <w:rStyle w:val="21"/>
                <w:rFonts w:eastAsia="仿宋"/>
                <w:lang w:val="en-US" w:eastAsia="zh-CN" w:bidi="ar"/>
              </w:rPr>
              <w:t>₆</w:t>
            </w:r>
            <w:r>
              <w:rPr>
                <w:rStyle w:val="22"/>
                <w:lang w:val="en-US" w:eastAsia="zh-CN" w:bidi="ar"/>
              </w:rPr>
              <w:t>气体试验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SF</w:t>
            </w:r>
            <w:r>
              <w:rPr>
                <w:rStyle w:val="21"/>
                <w:rFonts w:eastAsia="仿宋"/>
                <w:lang w:val="en-US" w:eastAsia="zh-CN" w:bidi="ar"/>
              </w:rPr>
              <w:t>₆</w:t>
            </w:r>
            <w:r>
              <w:rPr>
                <w:rStyle w:val="22"/>
                <w:lang w:val="en-US" w:eastAsia="zh-CN" w:bidi="ar"/>
              </w:rPr>
              <w:t>气体全分析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站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相关表计校验 SF</w:t>
            </w:r>
            <w:r>
              <w:rPr>
                <w:rStyle w:val="21"/>
                <w:rFonts w:eastAsia="仿宋"/>
                <w:lang w:val="en-US" w:eastAsia="zh-CN" w:bidi="ar"/>
              </w:rPr>
              <w:t>₆</w:t>
            </w:r>
            <w:r>
              <w:rPr>
                <w:rStyle w:val="22"/>
                <w:lang w:val="en-US" w:eastAsia="zh-CN" w:bidi="ar"/>
              </w:rPr>
              <w:t>密度继电器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相关表计校验 气体继电器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电压互感器二次回路压降测试 500kV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电压互感器二次回路压降测试 220kV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电压互感器二次回路压降测试 35kV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计量二次回路阻抗（负载）测试 500kV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计量二次回路阻抗（负载）测试 220kV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计量二次回路阻抗（负载）测试 35kV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变电站交流电流电压回路系统检验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站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变压器空载电流和空载损耗试验 500kV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台（单相）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GIS（HGIS）雷电冲击试验 500kV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间隔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断路器交流耐压试验 500kV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断路器交流耐压试验 500kV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断路器SF</w:t>
            </w:r>
            <w:r>
              <w:rPr>
                <w:rStyle w:val="21"/>
                <w:rFonts w:eastAsia="仿宋"/>
                <w:lang w:val="en-US" w:eastAsia="zh-CN" w:bidi="ar"/>
              </w:rPr>
              <w:t>₆</w:t>
            </w:r>
            <w:r>
              <w:rPr>
                <w:rStyle w:val="22"/>
                <w:lang w:val="en-US" w:eastAsia="zh-CN" w:bidi="ar"/>
              </w:rPr>
              <w:t>气体试验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相关表计校验 SF</w:t>
            </w:r>
            <w:r>
              <w:rPr>
                <w:rStyle w:val="21"/>
                <w:rFonts w:eastAsia="仿宋"/>
                <w:lang w:val="en-US" w:eastAsia="zh-CN" w:bidi="ar"/>
              </w:rPr>
              <w:t>₆</w:t>
            </w:r>
            <w:r>
              <w:rPr>
                <w:rStyle w:val="22"/>
                <w:lang w:val="en-US" w:eastAsia="zh-CN" w:bidi="ar"/>
              </w:rPr>
              <w:t>密度继电器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互感器局部放电试验 220kV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互感器局部放电试验 220kV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互感器交流耐压试验 220kV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互感器交流耐压试验 220kV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断路器SF</w:t>
            </w:r>
            <w:r>
              <w:rPr>
                <w:rStyle w:val="21"/>
                <w:rFonts w:eastAsia="仿宋"/>
                <w:lang w:val="en-US" w:eastAsia="zh-CN" w:bidi="ar"/>
              </w:rPr>
              <w:t>₆</w:t>
            </w:r>
            <w:r>
              <w:rPr>
                <w:rStyle w:val="22"/>
                <w:lang w:val="en-US" w:eastAsia="zh-CN" w:bidi="ar"/>
              </w:rPr>
              <w:t>气体试验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6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相关表计校验 SF</w:t>
            </w:r>
            <w:r>
              <w:rPr>
                <w:rStyle w:val="21"/>
                <w:rFonts w:eastAsia="仿宋"/>
                <w:lang w:val="en-US" w:eastAsia="zh-CN" w:bidi="ar"/>
              </w:rPr>
              <w:t>₆</w:t>
            </w:r>
            <w:r>
              <w:rPr>
                <w:rStyle w:val="22"/>
                <w:lang w:val="en-US" w:eastAsia="zh-CN" w:bidi="ar"/>
              </w:rPr>
              <w:t>密度继电器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</w:tr>
    </w:tbl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51795F"/>
    <w:multiLevelType w:val="singleLevel"/>
    <w:tmpl w:val="A751795F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C90FFDE7"/>
    <w:multiLevelType w:val="singleLevel"/>
    <w:tmpl w:val="C90FFDE7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F86A8D36"/>
    <w:multiLevelType w:val="singleLevel"/>
    <w:tmpl w:val="F86A8D36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273F47E8"/>
    <w:multiLevelType w:val="singleLevel"/>
    <w:tmpl w:val="273F47E8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JmOGUyZmFiZDQ3NmE5NzU1OWEyZWQxZGI0NDIzNTMifQ=="/>
  </w:docVars>
  <w:rsids>
    <w:rsidRoot w:val="24F737D8"/>
    <w:rsid w:val="00503881"/>
    <w:rsid w:val="00675492"/>
    <w:rsid w:val="00C073B0"/>
    <w:rsid w:val="01000F1F"/>
    <w:rsid w:val="014D50AE"/>
    <w:rsid w:val="0270337E"/>
    <w:rsid w:val="028666F4"/>
    <w:rsid w:val="0465127D"/>
    <w:rsid w:val="04D31677"/>
    <w:rsid w:val="050E07AE"/>
    <w:rsid w:val="05B87515"/>
    <w:rsid w:val="06342E0F"/>
    <w:rsid w:val="068D71D9"/>
    <w:rsid w:val="07751D79"/>
    <w:rsid w:val="078B42EC"/>
    <w:rsid w:val="09F62510"/>
    <w:rsid w:val="0BC07002"/>
    <w:rsid w:val="0C6B30AA"/>
    <w:rsid w:val="0D0758F3"/>
    <w:rsid w:val="0D882D55"/>
    <w:rsid w:val="0D9432B7"/>
    <w:rsid w:val="0E7F20D3"/>
    <w:rsid w:val="10A919C2"/>
    <w:rsid w:val="11444D6C"/>
    <w:rsid w:val="116419AD"/>
    <w:rsid w:val="11DF6CFE"/>
    <w:rsid w:val="11FC1228"/>
    <w:rsid w:val="1221206F"/>
    <w:rsid w:val="12617BA5"/>
    <w:rsid w:val="13C71878"/>
    <w:rsid w:val="142C4DA5"/>
    <w:rsid w:val="14440D4B"/>
    <w:rsid w:val="15056A61"/>
    <w:rsid w:val="15F1120D"/>
    <w:rsid w:val="16BE50DE"/>
    <w:rsid w:val="17241016"/>
    <w:rsid w:val="17311749"/>
    <w:rsid w:val="18B14F30"/>
    <w:rsid w:val="18E57496"/>
    <w:rsid w:val="190C67D7"/>
    <w:rsid w:val="193066EB"/>
    <w:rsid w:val="196B23E3"/>
    <w:rsid w:val="1A2F2F81"/>
    <w:rsid w:val="1B1435D1"/>
    <w:rsid w:val="1B663F82"/>
    <w:rsid w:val="1B93527E"/>
    <w:rsid w:val="1BA9108A"/>
    <w:rsid w:val="1C660CB1"/>
    <w:rsid w:val="1D592E11"/>
    <w:rsid w:val="1EA379B5"/>
    <w:rsid w:val="1F960E22"/>
    <w:rsid w:val="20E776A4"/>
    <w:rsid w:val="216F4D5B"/>
    <w:rsid w:val="22755C37"/>
    <w:rsid w:val="22B30023"/>
    <w:rsid w:val="22BD2637"/>
    <w:rsid w:val="22D01CE9"/>
    <w:rsid w:val="23290A9A"/>
    <w:rsid w:val="24E46BF4"/>
    <w:rsid w:val="24F737D8"/>
    <w:rsid w:val="250E3A49"/>
    <w:rsid w:val="274170EE"/>
    <w:rsid w:val="2785030E"/>
    <w:rsid w:val="278F57AD"/>
    <w:rsid w:val="27E47C4B"/>
    <w:rsid w:val="281641CC"/>
    <w:rsid w:val="28F46A2A"/>
    <w:rsid w:val="296555D1"/>
    <w:rsid w:val="29A55C56"/>
    <w:rsid w:val="29FC239E"/>
    <w:rsid w:val="2BED7EC0"/>
    <w:rsid w:val="2BFF0E0F"/>
    <w:rsid w:val="2D8D50EF"/>
    <w:rsid w:val="2D8E3667"/>
    <w:rsid w:val="2E816236"/>
    <w:rsid w:val="2E9A5E18"/>
    <w:rsid w:val="2F362DFB"/>
    <w:rsid w:val="2F893A97"/>
    <w:rsid w:val="2FF65FF8"/>
    <w:rsid w:val="30035F08"/>
    <w:rsid w:val="300D195C"/>
    <w:rsid w:val="3044134F"/>
    <w:rsid w:val="30AF0437"/>
    <w:rsid w:val="30BF37B5"/>
    <w:rsid w:val="312C2AE5"/>
    <w:rsid w:val="315C7722"/>
    <w:rsid w:val="3178798B"/>
    <w:rsid w:val="3220664F"/>
    <w:rsid w:val="3244265D"/>
    <w:rsid w:val="32F2736E"/>
    <w:rsid w:val="35B73053"/>
    <w:rsid w:val="361736AD"/>
    <w:rsid w:val="36676B65"/>
    <w:rsid w:val="36905D28"/>
    <w:rsid w:val="36A54835"/>
    <w:rsid w:val="36D200CF"/>
    <w:rsid w:val="38382DC3"/>
    <w:rsid w:val="38F32560"/>
    <w:rsid w:val="39446F46"/>
    <w:rsid w:val="3B2A0F67"/>
    <w:rsid w:val="3BB261E1"/>
    <w:rsid w:val="3BCA27B8"/>
    <w:rsid w:val="3C114F9E"/>
    <w:rsid w:val="3C1E17EA"/>
    <w:rsid w:val="3C4A35F1"/>
    <w:rsid w:val="3E5F7274"/>
    <w:rsid w:val="3E9D7E49"/>
    <w:rsid w:val="3F9B7EF1"/>
    <w:rsid w:val="41334E92"/>
    <w:rsid w:val="415A7E63"/>
    <w:rsid w:val="42E701E3"/>
    <w:rsid w:val="43193F4E"/>
    <w:rsid w:val="447A4B7B"/>
    <w:rsid w:val="44A8314C"/>
    <w:rsid w:val="44D414C9"/>
    <w:rsid w:val="45AE252B"/>
    <w:rsid w:val="45BA6458"/>
    <w:rsid w:val="45C37365"/>
    <w:rsid w:val="460D1423"/>
    <w:rsid w:val="46472D5E"/>
    <w:rsid w:val="468E0BD5"/>
    <w:rsid w:val="469B4709"/>
    <w:rsid w:val="46A85B41"/>
    <w:rsid w:val="47CB2C71"/>
    <w:rsid w:val="486D0550"/>
    <w:rsid w:val="49332FB5"/>
    <w:rsid w:val="4B3A1BDA"/>
    <w:rsid w:val="4C1966EB"/>
    <w:rsid w:val="4D392B7F"/>
    <w:rsid w:val="4DC759F3"/>
    <w:rsid w:val="4DD3333C"/>
    <w:rsid w:val="4E040B17"/>
    <w:rsid w:val="4E571337"/>
    <w:rsid w:val="4EA560D6"/>
    <w:rsid w:val="4EAB70C1"/>
    <w:rsid w:val="525522E2"/>
    <w:rsid w:val="528404F0"/>
    <w:rsid w:val="52D338B6"/>
    <w:rsid w:val="53463775"/>
    <w:rsid w:val="53523D60"/>
    <w:rsid w:val="53AA5AAD"/>
    <w:rsid w:val="547776C9"/>
    <w:rsid w:val="54FA534C"/>
    <w:rsid w:val="55734D49"/>
    <w:rsid w:val="55C3156A"/>
    <w:rsid w:val="568B44FB"/>
    <w:rsid w:val="56AF0889"/>
    <w:rsid w:val="57593089"/>
    <w:rsid w:val="599017B7"/>
    <w:rsid w:val="5A492CEC"/>
    <w:rsid w:val="5BB642FD"/>
    <w:rsid w:val="5DE84119"/>
    <w:rsid w:val="5EB72BF2"/>
    <w:rsid w:val="5F755D6F"/>
    <w:rsid w:val="5F8E0C51"/>
    <w:rsid w:val="5FA845A7"/>
    <w:rsid w:val="5FE724D4"/>
    <w:rsid w:val="60240498"/>
    <w:rsid w:val="60395037"/>
    <w:rsid w:val="60546075"/>
    <w:rsid w:val="606769FA"/>
    <w:rsid w:val="608606DE"/>
    <w:rsid w:val="6124276B"/>
    <w:rsid w:val="6221150D"/>
    <w:rsid w:val="639D46DC"/>
    <w:rsid w:val="6424058D"/>
    <w:rsid w:val="660D707D"/>
    <w:rsid w:val="663511C3"/>
    <w:rsid w:val="663B2A3B"/>
    <w:rsid w:val="66604456"/>
    <w:rsid w:val="66836DEC"/>
    <w:rsid w:val="66C35559"/>
    <w:rsid w:val="66D91A76"/>
    <w:rsid w:val="67977F0F"/>
    <w:rsid w:val="68A96DAB"/>
    <w:rsid w:val="68B337CC"/>
    <w:rsid w:val="69311D38"/>
    <w:rsid w:val="6A287B5E"/>
    <w:rsid w:val="6A485E7E"/>
    <w:rsid w:val="6A6B37FA"/>
    <w:rsid w:val="6AA956E1"/>
    <w:rsid w:val="6B303A1A"/>
    <w:rsid w:val="6BE967C2"/>
    <w:rsid w:val="6C141EE0"/>
    <w:rsid w:val="6D897695"/>
    <w:rsid w:val="6DAA2FDF"/>
    <w:rsid w:val="6E121228"/>
    <w:rsid w:val="70525F03"/>
    <w:rsid w:val="70873960"/>
    <w:rsid w:val="70B81233"/>
    <w:rsid w:val="70D1495F"/>
    <w:rsid w:val="7129638F"/>
    <w:rsid w:val="73641402"/>
    <w:rsid w:val="740B2F29"/>
    <w:rsid w:val="74D71483"/>
    <w:rsid w:val="74E73186"/>
    <w:rsid w:val="74F238E6"/>
    <w:rsid w:val="76015DEA"/>
    <w:rsid w:val="763B2CF0"/>
    <w:rsid w:val="764E470D"/>
    <w:rsid w:val="76850D49"/>
    <w:rsid w:val="76EB7161"/>
    <w:rsid w:val="77E67240"/>
    <w:rsid w:val="7842124A"/>
    <w:rsid w:val="79435213"/>
    <w:rsid w:val="79527737"/>
    <w:rsid w:val="79D51B6D"/>
    <w:rsid w:val="7AF61F1B"/>
    <w:rsid w:val="7B2B3FE2"/>
    <w:rsid w:val="7B3B73B5"/>
    <w:rsid w:val="7C233754"/>
    <w:rsid w:val="7C766170"/>
    <w:rsid w:val="7CC45B07"/>
    <w:rsid w:val="7CC84BE5"/>
    <w:rsid w:val="7D26550D"/>
    <w:rsid w:val="7D2D6A7C"/>
    <w:rsid w:val="7D3A3102"/>
    <w:rsid w:val="7E3420E0"/>
    <w:rsid w:val="7E405052"/>
    <w:rsid w:val="7F1A0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99" w:semiHidden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color w:val="000000"/>
      <w:sz w:val="32"/>
    </w:rPr>
  </w:style>
  <w:style w:type="paragraph" w:styleId="4">
    <w:name w:val="heading 2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17">
    <w:name w:val="Default Paragraph Font"/>
    <w:semiHidden/>
    <w:qFormat/>
    <w:uiPriority w:val="0"/>
  </w:style>
  <w:style w:type="table" w:default="1" w:styleId="1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（标准）"/>
    <w:basedOn w:val="1"/>
    <w:next w:val="1"/>
    <w:semiHidden/>
    <w:qFormat/>
    <w:uiPriority w:val="0"/>
    <w:pPr>
      <w:ind w:firstLine="525"/>
    </w:pPr>
    <w:rPr>
      <w:rFonts w:ascii="宋体" w:hAnsi="宋体"/>
      <w:szCs w:val="20"/>
    </w:rPr>
  </w:style>
  <w:style w:type="paragraph" w:styleId="6">
    <w:name w:val="Normal Indent"/>
    <w:basedOn w:val="1"/>
    <w:qFormat/>
    <w:uiPriority w:val="0"/>
    <w:pPr>
      <w:ind w:firstLine="420"/>
    </w:pPr>
    <w:rPr>
      <w:rFonts w:ascii="Times New Roman" w:hAnsi="Times New Roman" w:cs="Times New Roman"/>
      <w:kern w:val="0"/>
      <w:sz w:val="20"/>
      <w:szCs w:val="20"/>
    </w:rPr>
  </w:style>
  <w:style w:type="paragraph" w:styleId="7">
    <w:name w:val="annotation text"/>
    <w:basedOn w:val="1"/>
    <w:qFormat/>
    <w:uiPriority w:val="0"/>
    <w:pPr>
      <w:jc w:val="left"/>
    </w:pPr>
  </w:style>
  <w:style w:type="paragraph" w:styleId="8">
    <w:name w:val="Body Text"/>
    <w:basedOn w:val="1"/>
    <w:next w:val="9"/>
    <w:unhideWhenUsed/>
    <w:qFormat/>
    <w:uiPriority w:val="99"/>
    <w:pPr>
      <w:spacing w:after="120"/>
    </w:pPr>
  </w:style>
  <w:style w:type="paragraph" w:styleId="9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10">
    <w:name w:val="Body Text Indent"/>
    <w:basedOn w:val="1"/>
    <w:qFormat/>
    <w:uiPriority w:val="0"/>
    <w:pPr>
      <w:spacing w:after="120"/>
      <w:ind w:left="420" w:leftChars="200"/>
    </w:pPr>
  </w:style>
  <w:style w:type="paragraph" w:styleId="11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paragraph" w:styleId="12">
    <w:name w:val="toc 2"/>
    <w:basedOn w:val="1"/>
    <w:next w:val="1"/>
    <w:qFormat/>
    <w:uiPriority w:val="0"/>
    <w:pPr>
      <w:jc w:val="center"/>
    </w:pPr>
    <w:rPr>
      <w:rFonts w:ascii="仿宋_GB2312" w:hAnsi="宋体" w:eastAsia="仿宋_GB2312"/>
      <w:b/>
      <w:sz w:val="28"/>
      <w:szCs w:val="28"/>
    </w:rPr>
  </w:style>
  <w:style w:type="paragraph" w:styleId="1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4">
    <w:name w:val="Body Text First Indent"/>
    <w:basedOn w:val="8"/>
    <w:next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line="360" w:lineRule="auto"/>
      <w:ind w:firstLine="200" w:firstLineChars="200"/>
      <w:jc w:val="both"/>
    </w:pPr>
    <w:rPr>
      <w:kern w:val="0"/>
      <w:sz w:val="24"/>
      <w:lang w:val="en-US" w:eastAsia="zh-CN"/>
    </w:rPr>
  </w:style>
  <w:style w:type="table" w:styleId="16">
    <w:name w:val="Table Grid"/>
    <w:basedOn w:val="1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8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19">
    <w:name w:val="_Style 5"/>
    <w:basedOn w:val="1"/>
    <w:qFormat/>
    <w:uiPriority w:val="0"/>
    <w:pPr>
      <w:adjustRightInd/>
      <w:spacing w:line="240" w:lineRule="auto"/>
      <w:ind w:firstLine="420" w:firstLineChars="200"/>
      <w:textAlignment w:val="auto"/>
    </w:pPr>
    <w:rPr>
      <w:rFonts w:ascii="Calibri" w:hAnsi="Calibri" w:eastAsia="宋体" w:cs="Times New Roman"/>
      <w:kern w:val="2"/>
      <w:sz w:val="21"/>
      <w:szCs w:val="22"/>
    </w:rPr>
  </w:style>
  <w:style w:type="paragraph" w:customStyle="1" w:styleId="20">
    <w:name w:val="报告正文"/>
    <w:basedOn w:val="1"/>
    <w:qFormat/>
    <w:uiPriority w:val="0"/>
    <w:pPr>
      <w:ind w:firstLine="200" w:firstLineChars="200"/>
      <w:textAlignment w:val="baseline"/>
    </w:pPr>
    <w:rPr>
      <w:color w:val="FF0000"/>
      <w:kern w:val="0"/>
    </w:rPr>
  </w:style>
  <w:style w:type="character" w:customStyle="1" w:styleId="21">
    <w:name w:val="font31"/>
    <w:basedOn w:val="17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22">
    <w:name w:val="font11"/>
    <w:basedOn w:val="17"/>
    <w:qFormat/>
    <w:uiPriority w:val="0"/>
    <w:rPr>
      <w:rFonts w:hint="eastAsia" w:ascii="仿宋" w:hAnsi="仿宋" w:eastAsia="仿宋" w:cs="仿宋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7111</Words>
  <Characters>7982</Characters>
  <Lines>0</Lines>
  <Paragraphs>0</Paragraphs>
  <TotalTime>1</TotalTime>
  <ScaleCrop>false</ScaleCrop>
  <LinksUpToDate>false</LinksUpToDate>
  <CharactersWithSpaces>8069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2021-02-24T07:45:00Z</dcterms:created>
  <dc:creator>maja</dc:creator>
  <cp:lastModifiedBy>韦将俊</cp:lastModifiedBy>
  <cp:lastPrinted>2022-02-11T02:00:00Z</cp:lastPrinted>
  <dcterms:modified xsi:type="dcterms:W3CDTF">2026-04-30T08:14:55Z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BB0C4F27AF5C473C8EBB8D8348A84610</vt:lpwstr>
  </property>
</Properties>
</file>