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1E5407">
      <w:pPr>
        <w:ind w:left="420" w:firstLine="480"/>
        <w:jc w:val="center"/>
        <w:rPr>
          <w:rFonts w:ascii="Times New Roman" w:hAnsi="Times New Roman" w:cs="Times New Roman"/>
        </w:rPr>
      </w:pPr>
      <w:r>
        <w:rPr>
          <w:rFonts w:ascii="黑体" w:hAnsi="黑体" w:eastAsia="黑体"/>
          <w:b/>
          <w:sz w:val="48"/>
          <w:szCs w:val="48"/>
          <w:highlight w:val="none"/>
        </w:rPr>
        <w:drawing>
          <wp:anchor distT="0" distB="0" distL="114300" distR="114300" simplePos="0" relativeHeight="251659264" behindDoc="0" locked="0" layoutInCell="1" allowOverlap="1">
            <wp:simplePos x="0" y="0"/>
            <wp:positionH relativeFrom="column">
              <wp:posOffset>-1356360</wp:posOffset>
            </wp:positionH>
            <wp:positionV relativeFrom="paragraph">
              <wp:posOffset>-768350</wp:posOffset>
            </wp:positionV>
            <wp:extent cx="7955915" cy="2593340"/>
            <wp:effectExtent l="0" t="0" r="6985" b="16510"/>
            <wp:wrapNone/>
            <wp:docPr id="5" name="图片 5"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模板-3"/>
                    <pic:cNvPicPr>
                      <a:picLocks noChangeAspect="1" noChangeArrowheads="1"/>
                    </pic:cNvPicPr>
                  </pic:nvPicPr>
                  <pic:blipFill>
                    <a:blip r:embed="rId5">
                      <a:extLst>
                        <a:ext uri="{28A0092B-C50C-407E-A947-70E740481C1C}">
                          <a14:useLocalDpi xmlns:a14="http://schemas.microsoft.com/office/drawing/2010/main" val="0"/>
                        </a:ext>
                      </a:extLst>
                    </a:blip>
                    <a:srcRect b="75984"/>
                    <a:stretch>
                      <a:fillRect/>
                    </a:stretch>
                  </pic:blipFill>
                  <pic:spPr>
                    <a:xfrm>
                      <a:off x="0" y="0"/>
                      <a:ext cx="7955915" cy="2593340"/>
                    </a:xfrm>
                    <a:prstGeom prst="rect">
                      <a:avLst/>
                    </a:prstGeom>
                    <a:noFill/>
                    <a:ln>
                      <a:noFill/>
                    </a:ln>
                  </pic:spPr>
                </pic:pic>
              </a:graphicData>
            </a:graphic>
          </wp:anchor>
        </w:drawing>
      </w:r>
    </w:p>
    <w:p w14:paraId="2F8C91D4">
      <w:pPr>
        <w:jc w:val="center"/>
      </w:pPr>
    </w:p>
    <w:tbl>
      <w:tblPr>
        <w:tblStyle w:val="8"/>
        <w:tblW w:w="9175" w:type="dxa"/>
        <w:jc w:val="center"/>
        <w:tblLayout w:type="fixed"/>
        <w:tblCellMar>
          <w:top w:w="0" w:type="dxa"/>
          <w:left w:w="28" w:type="dxa"/>
          <w:bottom w:w="0" w:type="dxa"/>
          <w:right w:w="28" w:type="dxa"/>
        </w:tblCellMar>
      </w:tblPr>
      <w:tblGrid>
        <w:gridCol w:w="7045"/>
        <w:gridCol w:w="2130"/>
      </w:tblGrid>
      <w:tr w14:paraId="008EF498">
        <w:tblPrEx>
          <w:tblCellMar>
            <w:top w:w="0" w:type="dxa"/>
            <w:left w:w="28" w:type="dxa"/>
            <w:bottom w:w="0" w:type="dxa"/>
            <w:right w:w="28" w:type="dxa"/>
          </w:tblCellMar>
        </w:tblPrEx>
        <w:trPr>
          <w:cantSplit/>
          <w:trHeight w:val="20" w:hRule="atLeast"/>
          <w:jc w:val="center"/>
        </w:trPr>
        <w:tc>
          <w:tcPr>
            <w:tcW w:w="7045" w:type="dxa"/>
            <w:vAlign w:val="center"/>
          </w:tcPr>
          <w:p w14:paraId="3CB205E8">
            <w:pPr>
              <w:pStyle w:val="17"/>
              <w:spacing w:line="240" w:lineRule="auto"/>
              <w:ind w:firstLine="964"/>
              <w:jc w:val="center"/>
              <w:rPr>
                <w:highlight w:val="none"/>
              </w:rPr>
            </w:pPr>
          </w:p>
        </w:tc>
        <w:tc>
          <w:tcPr>
            <w:tcW w:w="2130" w:type="dxa"/>
            <w:vAlign w:val="center"/>
          </w:tcPr>
          <w:p w14:paraId="15DBB4C9">
            <w:pPr>
              <w:pStyle w:val="17"/>
              <w:spacing w:line="240" w:lineRule="auto"/>
              <w:ind w:firstLine="0" w:firstLineChars="0"/>
              <w:jc w:val="center"/>
              <w:rPr>
                <w:szCs w:val="21"/>
                <w:highlight w:val="none"/>
              </w:rPr>
            </w:pPr>
          </w:p>
        </w:tc>
      </w:tr>
      <w:tr w14:paraId="58FAECED">
        <w:tblPrEx>
          <w:tblCellMar>
            <w:top w:w="0" w:type="dxa"/>
            <w:left w:w="28" w:type="dxa"/>
            <w:bottom w:w="0" w:type="dxa"/>
            <w:right w:w="28" w:type="dxa"/>
          </w:tblCellMar>
        </w:tblPrEx>
        <w:trPr>
          <w:trHeight w:val="20" w:hRule="atLeast"/>
          <w:jc w:val="center"/>
        </w:trPr>
        <w:tc>
          <w:tcPr>
            <w:tcW w:w="9175" w:type="dxa"/>
            <w:gridSpan w:val="2"/>
            <w:vAlign w:val="center"/>
          </w:tcPr>
          <w:p w14:paraId="4D2AE68F">
            <w:pPr>
              <w:pStyle w:val="17"/>
              <w:spacing w:line="240" w:lineRule="auto"/>
              <w:ind w:firstLine="0" w:firstLineChars="0"/>
              <w:jc w:val="center"/>
              <w:rPr>
                <w:sz w:val="32"/>
                <w:highlight w:val="none"/>
              </w:rPr>
            </w:pPr>
          </w:p>
        </w:tc>
      </w:tr>
      <w:tr w14:paraId="3AAC1315">
        <w:tblPrEx>
          <w:tblCellMar>
            <w:top w:w="0" w:type="dxa"/>
            <w:left w:w="28" w:type="dxa"/>
            <w:bottom w:w="0" w:type="dxa"/>
            <w:right w:w="28" w:type="dxa"/>
          </w:tblCellMar>
        </w:tblPrEx>
        <w:trPr>
          <w:trHeight w:val="20" w:hRule="atLeast"/>
          <w:jc w:val="center"/>
        </w:trPr>
        <w:tc>
          <w:tcPr>
            <w:tcW w:w="9175" w:type="dxa"/>
            <w:gridSpan w:val="2"/>
            <w:vAlign w:val="center"/>
          </w:tcPr>
          <w:p w14:paraId="49651EB4">
            <w:pPr>
              <w:pStyle w:val="17"/>
              <w:spacing w:line="240" w:lineRule="auto"/>
              <w:ind w:firstLine="0" w:firstLineChars="0"/>
              <w:jc w:val="center"/>
              <w:rPr>
                <w:sz w:val="32"/>
                <w:highlight w:val="none"/>
              </w:rPr>
            </w:pPr>
          </w:p>
        </w:tc>
      </w:tr>
      <w:tr w14:paraId="6E577AE3">
        <w:tblPrEx>
          <w:tblCellMar>
            <w:top w:w="0" w:type="dxa"/>
            <w:left w:w="28" w:type="dxa"/>
            <w:bottom w:w="0" w:type="dxa"/>
            <w:right w:w="28" w:type="dxa"/>
          </w:tblCellMar>
        </w:tblPrEx>
        <w:trPr>
          <w:trHeight w:val="20" w:hRule="atLeast"/>
          <w:jc w:val="center"/>
        </w:trPr>
        <w:tc>
          <w:tcPr>
            <w:tcW w:w="9175" w:type="dxa"/>
            <w:gridSpan w:val="2"/>
            <w:vAlign w:val="center"/>
          </w:tcPr>
          <w:p w14:paraId="38CD8AFE">
            <w:pPr>
              <w:pStyle w:val="17"/>
              <w:spacing w:line="240" w:lineRule="auto"/>
              <w:ind w:firstLine="0" w:firstLineChars="0"/>
              <w:jc w:val="center"/>
              <w:rPr>
                <w:sz w:val="32"/>
                <w:highlight w:val="none"/>
              </w:rPr>
            </w:pPr>
          </w:p>
        </w:tc>
      </w:tr>
      <w:tr w14:paraId="70C739B6">
        <w:tblPrEx>
          <w:tblCellMar>
            <w:top w:w="0" w:type="dxa"/>
            <w:left w:w="28" w:type="dxa"/>
            <w:bottom w:w="0" w:type="dxa"/>
            <w:right w:w="28" w:type="dxa"/>
          </w:tblCellMar>
        </w:tblPrEx>
        <w:trPr>
          <w:trHeight w:val="20" w:hRule="atLeast"/>
          <w:jc w:val="center"/>
        </w:trPr>
        <w:tc>
          <w:tcPr>
            <w:tcW w:w="9175" w:type="dxa"/>
            <w:gridSpan w:val="2"/>
            <w:vAlign w:val="center"/>
          </w:tcPr>
          <w:p w14:paraId="05677D4B">
            <w:pPr>
              <w:pStyle w:val="17"/>
              <w:spacing w:line="240" w:lineRule="auto"/>
              <w:ind w:firstLine="0" w:firstLineChars="0"/>
              <w:jc w:val="center"/>
              <w:rPr>
                <w:sz w:val="32"/>
                <w:highlight w:val="none"/>
              </w:rPr>
            </w:pPr>
          </w:p>
        </w:tc>
      </w:tr>
      <w:tr w14:paraId="6D041B9E">
        <w:tblPrEx>
          <w:tblCellMar>
            <w:top w:w="0" w:type="dxa"/>
            <w:left w:w="28" w:type="dxa"/>
            <w:bottom w:w="0" w:type="dxa"/>
            <w:right w:w="28" w:type="dxa"/>
          </w:tblCellMar>
        </w:tblPrEx>
        <w:trPr>
          <w:trHeight w:val="20" w:hRule="atLeast"/>
          <w:jc w:val="center"/>
        </w:trPr>
        <w:tc>
          <w:tcPr>
            <w:tcW w:w="9175" w:type="dxa"/>
            <w:gridSpan w:val="2"/>
            <w:vAlign w:val="center"/>
          </w:tcPr>
          <w:p w14:paraId="7165FB22">
            <w:pPr>
              <w:pStyle w:val="17"/>
              <w:spacing w:line="240" w:lineRule="auto"/>
              <w:ind w:firstLine="0" w:firstLineChars="0"/>
              <w:jc w:val="center"/>
              <w:rPr>
                <w:sz w:val="32"/>
                <w:highlight w:val="none"/>
              </w:rPr>
            </w:pPr>
          </w:p>
        </w:tc>
      </w:tr>
      <w:tr w14:paraId="3CB34689">
        <w:tblPrEx>
          <w:tblCellMar>
            <w:top w:w="0" w:type="dxa"/>
            <w:left w:w="28" w:type="dxa"/>
            <w:bottom w:w="0" w:type="dxa"/>
            <w:right w:w="28" w:type="dxa"/>
          </w:tblCellMar>
        </w:tblPrEx>
        <w:trPr>
          <w:trHeight w:val="20" w:hRule="atLeast"/>
          <w:jc w:val="center"/>
        </w:trPr>
        <w:tc>
          <w:tcPr>
            <w:tcW w:w="9175" w:type="dxa"/>
            <w:gridSpan w:val="2"/>
            <w:vAlign w:val="center"/>
          </w:tcPr>
          <w:p w14:paraId="697624D9">
            <w:pPr>
              <w:pStyle w:val="17"/>
              <w:spacing w:line="240" w:lineRule="auto"/>
              <w:ind w:firstLine="0" w:firstLineChars="0"/>
              <w:jc w:val="center"/>
              <w:rPr>
                <w:sz w:val="32"/>
                <w:highlight w:val="none"/>
              </w:rPr>
            </w:pPr>
          </w:p>
        </w:tc>
      </w:tr>
      <w:tr w14:paraId="0A85D333">
        <w:tblPrEx>
          <w:tblCellMar>
            <w:top w:w="0" w:type="dxa"/>
            <w:left w:w="28" w:type="dxa"/>
            <w:bottom w:w="0" w:type="dxa"/>
            <w:right w:w="28" w:type="dxa"/>
          </w:tblCellMar>
        </w:tblPrEx>
        <w:trPr>
          <w:trHeight w:val="20" w:hRule="atLeast"/>
          <w:jc w:val="center"/>
        </w:trPr>
        <w:tc>
          <w:tcPr>
            <w:tcW w:w="9175" w:type="dxa"/>
            <w:gridSpan w:val="2"/>
            <w:vAlign w:val="center"/>
          </w:tcPr>
          <w:p w14:paraId="3AA3C85A">
            <w:pPr>
              <w:pStyle w:val="17"/>
              <w:spacing w:line="240" w:lineRule="auto"/>
              <w:ind w:firstLine="0" w:firstLineChars="0"/>
              <w:jc w:val="center"/>
              <w:rPr>
                <w:sz w:val="32"/>
                <w:highlight w:val="none"/>
              </w:rPr>
            </w:pPr>
          </w:p>
        </w:tc>
      </w:tr>
      <w:tr w14:paraId="503AC8C3">
        <w:tblPrEx>
          <w:tblCellMar>
            <w:top w:w="0" w:type="dxa"/>
            <w:left w:w="28" w:type="dxa"/>
            <w:bottom w:w="0" w:type="dxa"/>
            <w:right w:w="28" w:type="dxa"/>
          </w:tblCellMar>
        </w:tblPrEx>
        <w:trPr>
          <w:trHeight w:val="20" w:hRule="atLeast"/>
          <w:jc w:val="center"/>
        </w:trPr>
        <w:tc>
          <w:tcPr>
            <w:tcW w:w="9175" w:type="dxa"/>
            <w:gridSpan w:val="2"/>
            <w:vAlign w:val="center"/>
          </w:tcPr>
          <w:p w14:paraId="20ED1B29">
            <w:pPr>
              <w:pStyle w:val="17"/>
              <w:spacing w:line="240" w:lineRule="auto"/>
              <w:ind w:firstLine="0" w:firstLineChars="0"/>
              <w:jc w:val="center"/>
              <w:rPr>
                <w:rFonts w:ascii="黑体" w:hAnsi="黑体" w:eastAsia="黑体" w:cs="黑体"/>
                <w:b/>
                <w:bCs/>
                <w:sz w:val="52"/>
                <w:szCs w:val="52"/>
                <w:highlight w:val="none"/>
              </w:rPr>
            </w:pPr>
          </w:p>
        </w:tc>
      </w:tr>
      <w:tr w14:paraId="45B9C4EF">
        <w:tblPrEx>
          <w:tblCellMar>
            <w:top w:w="0" w:type="dxa"/>
            <w:left w:w="28" w:type="dxa"/>
            <w:bottom w:w="0" w:type="dxa"/>
            <w:right w:w="28" w:type="dxa"/>
          </w:tblCellMar>
        </w:tblPrEx>
        <w:trPr>
          <w:trHeight w:val="20" w:hRule="atLeast"/>
          <w:jc w:val="center"/>
        </w:trPr>
        <w:tc>
          <w:tcPr>
            <w:tcW w:w="9175" w:type="dxa"/>
            <w:gridSpan w:val="2"/>
            <w:vAlign w:val="center"/>
          </w:tcPr>
          <w:p w14:paraId="29A5A8B5">
            <w:pPr>
              <w:pStyle w:val="17"/>
              <w:spacing w:line="240" w:lineRule="auto"/>
              <w:ind w:firstLine="0" w:firstLineChars="0"/>
              <w:jc w:val="center"/>
              <w:rPr>
                <w:rFonts w:ascii="黑体" w:hAnsi="黑体" w:eastAsia="黑体" w:cs="黑体"/>
                <w:b/>
                <w:bCs/>
                <w:color w:val="000000"/>
                <w:spacing w:val="-20"/>
                <w:sz w:val="52"/>
                <w:szCs w:val="52"/>
                <w:highlight w:val="none"/>
              </w:rPr>
            </w:pPr>
            <w:r>
              <w:rPr>
                <w:rFonts w:hint="eastAsia" w:ascii="黑体" w:hAnsi="黑体" w:eastAsia="黑体" w:cs="黑体"/>
                <w:b/>
                <w:bCs/>
                <w:kern w:val="0"/>
                <w:sz w:val="52"/>
                <w:szCs w:val="52"/>
                <w:highlight w:val="none"/>
                <w:lang w:val="en-US" w:eastAsia="zh-CN" w:bidi="ar"/>
              </w:rPr>
              <w:t>2026年玉溪通海供电局营销活动推广费</w:t>
            </w:r>
            <w:r>
              <w:rPr>
                <w:rFonts w:hint="eastAsia" w:ascii="黑体" w:hAnsi="黑体" w:eastAsia="黑体" w:cs="黑体"/>
                <w:b/>
                <w:bCs/>
                <w:color w:val="000000"/>
                <w:sz w:val="52"/>
                <w:szCs w:val="52"/>
                <w:highlight w:val="none"/>
              </w:rPr>
              <w:t>技术规范书</w:t>
            </w:r>
          </w:p>
        </w:tc>
      </w:tr>
      <w:tr w14:paraId="6378C191">
        <w:tblPrEx>
          <w:tblCellMar>
            <w:top w:w="0" w:type="dxa"/>
            <w:left w:w="28" w:type="dxa"/>
            <w:bottom w:w="0" w:type="dxa"/>
            <w:right w:w="28" w:type="dxa"/>
          </w:tblCellMar>
        </w:tblPrEx>
        <w:trPr>
          <w:trHeight w:val="20" w:hRule="atLeast"/>
          <w:jc w:val="center"/>
        </w:trPr>
        <w:tc>
          <w:tcPr>
            <w:tcW w:w="9175" w:type="dxa"/>
            <w:gridSpan w:val="2"/>
            <w:vAlign w:val="center"/>
          </w:tcPr>
          <w:p w14:paraId="7B7BEA89">
            <w:pPr>
              <w:pStyle w:val="17"/>
              <w:spacing w:line="240" w:lineRule="auto"/>
              <w:ind w:firstLine="0" w:firstLineChars="0"/>
              <w:jc w:val="center"/>
              <w:rPr>
                <w:rFonts w:eastAsia="黑体"/>
                <w:color w:val="000000"/>
                <w:spacing w:val="-20"/>
                <w:sz w:val="48"/>
                <w:szCs w:val="48"/>
                <w:highlight w:val="none"/>
              </w:rPr>
            </w:pPr>
          </w:p>
          <w:p w14:paraId="638FD880">
            <w:pPr>
              <w:pStyle w:val="17"/>
              <w:spacing w:line="240" w:lineRule="auto"/>
              <w:ind w:firstLine="0" w:firstLineChars="0"/>
              <w:jc w:val="center"/>
              <w:rPr>
                <w:rFonts w:eastAsia="黑体"/>
                <w:color w:val="000000"/>
                <w:spacing w:val="-20"/>
                <w:sz w:val="48"/>
                <w:szCs w:val="48"/>
                <w:highlight w:val="none"/>
              </w:rPr>
            </w:pPr>
          </w:p>
        </w:tc>
      </w:tr>
      <w:tr w14:paraId="7C37B8AD">
        <w:tblPrEx>
          <w:tblCellMar>
            <w:top w:w="0" w:type="dxa"/>
            <w:left w:w="28" w:type="dxa"/>
            <w:bottom w:w="0" w:type="dxa"/>
            <w:right w:w="28" w:type="dxa"/>
          </w:tblCellMar>
        </w:tblPrEx>
        <w:trPr>
          <w:trHeight w:val="20" w:hRule="atLeast"/>
          <w:jc w:val="center"/>
        </w:trPr>
        <w:tc>
          <w:tcPr>
            <w:tcW w:w="9175" w:type="dxa"/>
            <w:gridSpan w:val="2"/>
            <w:vAlign w:val="center"/>
          </w:tcPr>
          <w:p w14:paraId="32C03C76">
            <w:pPr>
              <w:pStyle w:val="17"/>
              <w:spacing w:line="240" w:lineRule="auto"/>
              <w:ind w:firstLine="0" w:firstLineChars="0"/>
              <w:jc w:val="center"/>
              <w:rPr>
                <w:rFonts w:eastAsia="黑体"/>
                <w:color w:val="000000"/>
                <w:sz w:val="36"/>
                <w:szCs w:val="36"/>
                <w:highlight w:val="none"/>
              </w:rPr>
            </w:pPr>
          </w:p>
        </w:tc>
      </w:tr>
      <w:tr w14:paraId="53CE698C">
        <w:tblPrEx>
          <w:tblCellMar>
            <w:top w:w="0" w:type="dxa"/>
            <w:left w:w="28" w:type="dxa"/>
            <w:bottom w:w="0" w:type="dxa"/>
            <w:right w:w="28" w:type="dxa"/>
          </w:tblCellMar>
        </w:tblPrEx>
        <w:trPr>
          <w:trHeight w:val="20" w:hRule="atLeast"/>
          <w:jc w:val="center"/>
        </w:trPr>
        <w:tc>
          <w:tcPr>
            <w:tcW w:w="9175" w:type="dxa"/>
            <w:gridSpan w:val="2"/>
            <w:vAlign w:val="center"/>
          </w:tcPr>
          <w:p w14:paraId="524CBA2F">
            <w:pPr>
              <w:pStyle w:val="17"/>
              <w:spacing w:line="240" w:lineRule="auto"/>
              <w:ind w:firstLine="0" w:firstLineChars="0"/>
              <w:jc w:val="left"/>
              <w:rPr>
                <w:sz w:val="32"/>
                <w:highlight w:val="none"/>
              </w:rPr>
            </w:pPr>
          </w:p>
        </w:tc>
      </w:tr>
      <w:tr w14:paraId="4995DC78">
        <w:tblPrEx>
          <w:tblCellMar>
            <w:top w:w="0" w:type="dxa"/>
            <w:left w:w="28" w:type="dxa"/>
            <w:bottom w:w="0" w:type="dxa"/>
            <w:right w:w="28" w:type="dxa"/>
          </w:tblCellMar>
        </w:tblPrEx>
        <w:trPr>
          <w:trHeight w:val="20" w:hRule="atLeast"/>
          <w:jc w:val="center"/>
        </w:trPr>
        <w:tc>
          <w:tcPr>
            <w:tcW w:w="9175" w:type="dxa"/>
            <w:gridSpan w:val="2"/>
            <w:vAlign w:val="center"/>
          </w:tcPr>
          <w:p w14:paraId="2419072C">
            <w:pPr>
              <w:pStyle w:val="17"/>
              <w:spacing w:line="240" w:lineRule="auto"/>
              <w:ind w:firstLine="0" w:firstLineChars="0"/>
              <w:jc w:val="left"/>
              <w:rPr>
                <w:sz w:val="32"/>
                <w:highlight w:val="none"/>
              </w:rPr>
            </w:pPr>
          </w:p>
        </w:tc>
      </w:tr>
      <w:tr w14:paraId="46BF1EFB">
        <w:tblPrEx>
          <w:tblCellMar>
            <w:top w:w="0" w:type="dxa"/>
            <w:left w:w="28" w:type="dxa"/>
            <w:bottom w:w="0" w:type="dxa"/>
            <w:right w:w="28" w:type="dxa"/>
          </w:tblCellMar>
        </w:tblPrEx>
        <w:trPr>
          <w:trHeight w:val="20" w:hRule="atLeast"/>
          <w:jc w:val="center"/>
        </w:trPr>
        <w:tc>
          <w:tcPr>
            <w:tcW w:w="9175" w:type="dxa"/>
            <w:gridSpan w:val="2"/>
            <w:vAlign w:val="center"/>
          </w:tcPr>
          <w:p w14:paraId="60620EA2">
            <w:pPr>
              <w:pStyle w:val="17"/>
              <w:spacing w:line="240" w:lineRule="auto"/>
              <w:ind w:firstLine="0" w:firstLineChars="0"/>
              <w:jc w:val="left"/>
              <w:rPr>
                <w:sz w:val="32"/>
                <w:highlight w:val="none"/>
              </w:rPr>
            </w:pPr>
          </w:p>
        </w:tc>
      </w:tr>
      <w:tr w14:paraId="7B17CE6F">
        <w:tblPrEx>
          <w:tblCellMar>
            <w:top w:w="0" w:type="dxa"/>
            <w:left w:w="28" w:type="dxa"/>
            <w:bottom w:w="0" w:type="dxa"/>
            <w:right w:w="28" w:type="dxa"/>
          </w:tblCellMar>
        </w:tblPrEx>
        <w:trPr>
          <w:trHeight w:val="90" w:hRule="atLeast"/>
          <w:jc w:val="center"/>
        </w:trPr>
        <w:tc>
          <w:tcPr>
            <w:tcW w:w="9175" w:type="dxa"/>
            <w:gridSpan w:val="2"/>
            <w:vAlign w:val="center"/>
          </w:tcPr>
          <w:p w14:paraId="23611552">
            <w:pPr>
              <w:spacing w:before="480" w:beforeLines="200" w:line="240" w:lineRule="auto"/>
              <w:ind w:firstLine="3240" w:firstLineChars="900"/>
              <w:jc w:val="both"/>
              <w:outlineLvl w:val="0"/>
              <w:rPr>
                <w:rFonts w:eastAsia="黑体"/>
                <w:color w:val="000000"/>
                <w:sz w:val="36"/>
                <w:szCs w:val="36"/>
                <w:highlight w:val="none"/>
              </w:rPr>
            </w:pPr>
          </w:p>
        </w:tc>
      </w:tr>
      <w:tr w14:paraId="21678AAF">
        <w:tblPrEx>
          <w:tblCellMar>
            <w:top w:w="0" w:type="dxa"/>
            <w:left w:w="28" w:type="dxa"/>
            <w:bottom w:w="0" w:type="dxa"/>
            <w:right w:w="28" w:type="dxa"/>
          </w:tblCellMar>
        </w:tblPrEx>
        <w:trPr>
          <w:trHeight w:val="20" w:hRule="atLeast"/>
          <w:jc w:val="center"/>
        </w:trPr>
        <w:tc>
          <w:tcPr>
            <w:tcW w:w="9175" w:type="dxa"/>
            <w:gridSpan w:val="2"/>
            <w:vAlign w:val="center"/>
          </w:tcPr>
          <w:p w14:paraId="26A03FD0">
            <w:pPr>
              <w:spacing w:line="240" w:lineRule="auto"/>
              <w:ind w:left="2520" w:firstLine="723"/>
              <w:outlineLvl w:val="0"/>
              <w:rPr>
                <w:rFonts w:eastAsia="黑体"/>
                <w:color w:val="000000"/>
                <w:sz w:val="36"/>
                <w:szCs w:val="36"/>
                <w:highlight w:val="none"/>
              </w:rPr>
            </w:pPr>
          </w:p>
        </w:tc>
      </w:tr>
      <w:tr w14:paraId="5DA59425">
        <w:tblPrEx>
          <w:tblCellMar>
            <w:top w:w="0" w:type="dxa"/>
            <w:left w:w="28" w:type="dxa"/>
            <w:bottom w:w="0" w:type="dxa"/>
            <w:right w:w="28" w:type="dxa"/>
          </w:tblCellMar>
        </w:tblPrEx>
        <w:trPr>
          <w:trHeight w:val="20" w:hRule="atLeast"/>
          <w:jc w:val="center"/>
        </w:trPr>
        <w:tc>
          <w:tcPr>
            <w:tcW w:w="9175" w:type="dxa"/>
            <w:gridSpan w:val="2"/>
            <w:vAlign w:val="center"/>
          </w:tcPr>
          <w:p w14:paraId="2B289352">
            <w:pPr>
              <w:spacing w:before="480" w:beforeLines="200" w:line="240" w:lineRule="auto"/>
              <w:ind w:firstLine="3240" w:firstLineChars="900"/>
              <w:outlineLvl w:val="0"/>
              <w:rPr>
                <w:sz w:val="36"/>
                <w:szCs w:val="36"/>
                <w:highlight w:val="none"/>
              </w:rPr>
            </w:pPr>
          </w:p>
        </w:tc>
      </w:tr>
      <w:tr w14:paraId="3271B629">
        <w:tblPrEx>
          <w:tblCellMar>
            <w:top w:w="0" w:type="dxa"/>
            <w:left w:w="28" w:type="dxa"/>
            <w:bottom w:w="0" w:type="dxa"/>
            <w:right w:w="28" w:type="dxa"/>
          </w:tblCellMar>
        </w:tblPrEx>
        <w:trPr>
          <w:trHeight w:val="20" w:hRule="atLeast"/>
          <w:jc w:val="center"/>
        </w:trPr>
        <w:tc>
          <w:tcPr>
            <w:tcW w:w="9175" w:type="dxa"/>
            <w:gridSpan w:val="2"/>
            <w:vAlign w:val="center"/>
          </w:tcPr>
          <w:p w14:paraId="44A7ADC9">
            <w:pPr>
              <w:pStyle w:val="17"/>
              <w:spacing w:line="240" w:lineRule="auto"/>
              <w:ind w:firstLine="0" w:firstLineChars="0"/>
              <w:jc w:val="left"/>
              <w:rPr>
                <w:rFonts w:eastAsia="黑体"/>
                <w:color w:val="000000"/>
                <w:sz w:val="36"/>
                <w:szCs w:val="36"/>
                <w:highlight w:val="none"/>
              </w:rPr>
            </w:pPr>
          </w:p>
        </w:tc>
      </w:tr>
      <w:tr w14:paraId="01E4CD65">
        <w:tblPrEx>
          <w:tblCellMar>
            <w:top w:w="0" w:type="dxa"/>
            <w:left w:w="28" w:type="dxa"/>
            <w:bottom w:w="0" w:type="dxa"/>
            <w:right w:w="28" w:type="dxa"/>
          </w:tblCellMar>
        </w:tblPrEx>
        <w:trPr>
          <w:trHeight w:val="20" w:hRule="atLeast"/>
          <w:jc w:val="center"/>
        </w:trPr>
        <w:tc>
          <w:tcPr>
            <w:tcW w:w="9175" w:type="dxa"/>
            <w:gridSpan w:val="2"/>
            <w:vAlign w:val="center"/>
          </w:tcPr>
          <w:p w14:paraId="46D169F3">
            <w:pPr>
              <w:pStyle w:val="17"/>
              <w:spacing w:line="240" w:lineRule="auto"/>
              <w:ind w:firstLine="0" w:firstLineChars="0"/>
              <w:jc w:val="left"/>
              <w:rPr>
                <w:rFonts w:eastAsia="黑体"/>
                <w:color w:val="000000"/>
                <w:sz w:val="36"/>
                <w:szCs w:val="36"/>
                <w:highlight w:val="none"/>
              </w:rPr>
            </w:pPr>
          </w:p>
        </w:tc>
      </w:tr>
      <w:tr w14:paraId="6F90F125">
        <w:tblPrEx>
          <w:tblCellMar>
            <w:top w:w="0" w:type="dxa"/>
            <w:left w:w="28" w:type="dxa"/>
            <w:bottom w:w="0" w:type="dxa"/>
            <w:right w:w="28" w:type="dxa"/>
          </w:tblCellMar>
        </w:tblPrEx>
        <w:trPr>
          <w:trHeight w:val="90" w:hRule="atLeast"/>
          <w:jc w:val="center"/>
        </w:trPr>
        <w:tc>
          <w:tcPr>
            <w:tcW w:w="9175" w:type="dxa"/>
            <w:gridSpan w:val="2"/>
            <w:vAlign w:val="center"/>
          </w:tcPr>
          <w:p w14:paraId="70803017">
            <w:pPr>
              <w:pStyle w:val="17"/>
              <w:spacing w:line="240" w:lineRule="auto"/>
              <w:ind w:firstLine="0" w:firstLineChars="0"/>
              <w:jc w:val="center"/>
              <w:rPr>
                <w:rFonts w:hint="eastAsia" w:ascii="黑体" w:hAnsi="黑体" w:eastAsia="黑体" w:cs="黑体"/>
                <w:b/>
                <w:bCs/>
                <w:sz w:val="30"/>
                <w:szCs w:val="30"/>
                <w:highlight w:val="none"/>
                <w:lang w:val="en-US" w:eastAsia="zh-CN"/>
              </w:rPr>
            </w:pPr>
            <w:bookmarkStart w:id="0" w:name="_Toc9255470"/>
            <w:r>
              <w:rPr>
                <w:rFonts w:hint="eastAsia" w:ascii="黑体" w:hAnsi="黑体" w:eastAsia="黑体" w:cs="黑体"/>
                <w:b/>
                <w:bCs/>
                <w:sz w:val="30"/>
                <w:szCs w:val="30"/>
                <w:highlight w:val="none"/>
                <w:lang w:val="en-US" w:eastAsia="zh-CN"/>
              </w:rPr>
              <w:t>玉溪通海供电局</w:t>
            </w:r>
          </w:p>
          <w:p w14:paraId="29ED2BFD">
            <w:pPr>
              <w:pStyle w:val="17"/>
              <w:spacing w:line="240" w:lineRule="auto"/>
              <w:ind w:firstLine="0" w:firstLineChars="0"/>
              <w:jc w:val="center"/>
              <w:rPr>
                <w:rFonts w:eastAsia="黑体"/>
                <w:color w:val="000000"/>
                <w:sz w:val="36"/>
                <w:szCs w:val="36"/>
                <w:highlight w:val="none"/>
              </w:rPr>
            </w:pPr>
            <w:r>
              <w:rPr>
                <w:rFonts w:hint="eastAsia" w:eastAsia="黑体" w:cs="黑体"/>
                <w:b/>
                <w:bCs/>
                <w:sz w:val="30"/>
                <w:szCs w:val="30"/>
                <w:highlight w:val="none"/>
              </w:rPr>
              <w:t>20</w:t>
            </w:r>
            <w:r>
              <w:rPr>
                <w:rFonts w:hint="eastAsia" w:eastAsia="黑体" w:cs="黑体"/>
                <w:b/>
                <w:bCs/>
                <w:sz w:val="30"/>
                <w:szCs w:val="30"/>
                <w:highlight w:val="none"/>
                <w:lang w:val="en-US" w:eastAsia="zh-CN"/>
              </w:rPr>
              <w:t>26</w:t>
            </w:r>
            <w:r>
              <w:rPr>
                <w:rFonts w:hint="eastAsia" w:ascii="黑体" w:hAnsi="黑体" w:eastAsia="黑体" w:cs="黑体"/>
                <w:b/>
                <w:bCs/>
                <w:sz w:val="30"/>
                <w:szCs w:val="30"/>
                <w:highlight w:val="none"/>
              </w:rPr>
              <w:t>年</w:t>
            </w:r>
            <w:r>
              <w:rPr>
                <w:rFonts w:hint="eastAsia" w:ascii="黑体" w:hAnsi="黑体" w:eastAsia="黑体" w:cs="黑体"/>
                <w:b/>
                <w:bCs/>
                <w:sz w:val="30"/>
                <w:szCs w:val="30"/>
                <w:highlight w:val="none"/>
                <w:lang w:val="en-US" w:eastAsia="zh-CN"/>
              </w:rPr>
              <w:t>4</w:t>
            </w:r>
            <w:r>
              <w:rPr>
                <w:rFonts w:hint="eastAsia" w:ascii="黑体" w:hAnsi="黑体" w:eastAsia="黑体" w:cs="黑体"/>
                <w:b/>
                <w:bCs/>
                <w:sz w:val="30"/>
                <w:szCs w:val="30"/>
                <w:highlight w:val="none"/>
              </w:rPr>
              <w:t>月</w:t>
            </w:r>
            <w:bookmarkEnd w:id="0"/>
          </w:p>
        </w:tc>
      </w:tr>
    </w:tbl>
    <w:p w14:paraId="4377490E">
      <w:pPr>
        <w:jc w:val="center"/>
      </w:pPr>
    </w:p>
    <w:p w14:paraId="1A6737A4">
      <w:pPr>
        <w:jc w:val="center"/>
      </w:pPr>
    </w:p>
    <w:p w14:paraId="0454E0E0">
      <w:pPr>
        <w:jc w:val="center"/>
      </w:pPr>
    </w:p>
    <w:p w14:paraId="4261542D">
      <w:pPr>
        <w:jc w:val="center"/>
      </w:pPr>
    </w:p>
    <w:p w14:paraId="55656410">
      <w:pPr>
        <w:jc w:val="center"/>
      </w:pPr>
    </w:p>
    <w:p w14:paraId="66B0E560">
      <w:pPr>
        <w:jc w:val="center"/>
      </w:pPr>
    </w:p>
    <w:sdt>
      <w:sdtPr>
        <w:rPr>
          <w:rFonts w:ascii="宋体" w:hAnsi="宋体" w:eastAsia="宋体" w:cstheme="minorBidi"/>
          <w:kern w:val="2"/>
          <w:sz w:val="28"/>
          <w:szCs w:val="36"/>
          <w:lang w:val="en-US" w:eastAsia="zh-CN" w:bidi="ar-SA"/>
        </w:rPr>
        <w:id w:val="147482602"/>
        <w:docPartObj>
          <w:docPartGallery w:val="Table of Contents"/>
          <w:docPartUnique/>
        </w:docPartObj>
      </w:sdtPr>
      <w:sdtEndPr>
        <w:rPr>
          <w:rFonts w:ascii="宋体" w:hAnsi="宋体" w:eastAsia="宋体" w:cstheme="minorBidi"/>
          <w:kern w:val="2"/>
          <w:sz w:val="24"/>
          <w:szCs w:val="24"/>
          <w:lang w:val="en-US" w:eastAsia="zh-CN" w:bidi="ar-SA"/>
        </w:rPr>
      </w:sdtEndPr>
      <w:sdtContent>
        <w:p w14:paraId="3F106F85">
          <w:pPr>
            <w:spacing w:before="0" w:beforeLines="0" w:after="0" w:afterLines="0" w:line="240" w:lineRule="auto"/>
            <w:ind w:left="0" w:leftChars="0" w:right="0" w:rightChars="0" w:firstLine="0" w:firstLineChars="0"/>
            <w:jc w:val="center"/>
            <w:rPr>
              <w:sz w:val="36"/>
              <w:szCs w:val="36"/>
            </w:rPr>
          </w:pPr>
          <w:bookmarkStart w:id="1" w:name="_Toc20366_WPSOffice_Type2"/>
          <w:r>
            <w:rPr>
              <w:rFonts w:ascii="宋体" w:hAnsi="宋体" w:eastAsia="宋体"/>
              <w:sz w:val="28"/>
              <w:szCs w:val="36"/>
            </w:rPr>
            <w:t>目录</w:t>
          </w:r>
        </w:p>
        <w:p w14:paraId="6947A5CA">
          <w:pPr>
            <w:pStyle w:val="18"/>
            <w:tabs>
              <w:tab w:val="right" w:leader="dot" w:pos="8306"/>
            </w:tabs>
            <w:rPr>
              <w:sz w:val="24"/>
              <w:szCs w:val="24"/>
            </w:rPr>
          </w:pPr>
          <w:r>
            <w:rPr>
              <w:b/>
              <w:bCs/>
              <w:sz w:val="24"/>
              <w:szCs w:val="24"/>
            </w:rPr>
            <w:fldChar w:fldCharType="begin"/>
          </w:r>
          <w:r>
            <w:rPr>
              <w:sz w:val="24"/>
              <w:szCs w:val="24"/>
            </w:rPr>
            <w:instrText xml:space="preserve"> HYPERLINK \l _Toc20366_WPSOffice_Level1 </w:instrText>
          </w:r>
          <w:r>
            <w:rPr>
              <w:b/>
              <w:bCs/>
              <w:sz w:val="24"/>
              <w:szCs w:val="24"/>
            </w:rPr>
            <w:fldChar w:fldCharType="separate"/>
          </w:r>
          <w:sdt>
            <w:sdtPr>
              <w:rPr>
                <w:rFonts w:asciiTheme="minorHAnsi" w:hAnsiTheme="minorHAnsi" w:eastAsiaTheme="minorEastAsia" w:cstheme="minorBidi"/>
                <w:b/>
                <w:bCs/>
                <w:kern w:val="2"/>
                <w:sz w:val="36"/>
                <w:szCs w:val="36"/>
                <w:lang w:val="en-US" w:eastAsia="zh-CN" w:bidi="ar-SA"/>
              </w:rPr>
              <w:id w:val="147480771"/>
              <w:placeholder>
                <w:docPart w:val="{7560182d-ab4f-4fe0-849e-25d6c7f89667}"/>
              </w:placeholder>
            </w:sdtPr>
            <w:sdtEndPr>
              <w:rPr>
                <w:rFonts w:asciiTheme="minorHAnsi" w:hAnsiTheme="minorHAnsi" w:eastAsiaTheme="minorEastAsia" w:cstheme="minorBidi"/>
                <w:b/>
                <w:bCs/>
                <w:kern w:val="2"/>
                <w:sz w:val="36"/>
                <w:szCs w:val="36"/>
                <w:lang w:val="en-US" w:eastAsia="zh-CN" w:bidi="ar-SA"/>
              </w:rPr>
            </w:sdtEndPr>
            <w:sdtContent>
              <w:r>
                <w:rPr>
                  <w:rFonts w:ascii="宋体" w:hAnsi="宋体" w:cs="宋体" w:eastAsiaTheme="minorEastAsia"/>
                  <w:b/>
                  <w:bCs/>
                  <w:sz w:val="24"/>
                  <w:szCs w:val="24"/>
                </w:rPr>
                <w:t>一、总则</w:t>
              </w:r>
            </w:sdtContent>
          </w:sdt>
          <w:r>
            <w:rPr>
              <w:b/>
              <w:bCs/>
              <w:sz w:val="24"/>
              <w:szCs w:val="24"/>
            </w:rPr>
            <w:tab/>
          </w:r>
          <w:bookmarkStart w:id="2" w:name="_Toc20366_WPSOffice_Level1Page"/>
          <w:r>
            <w:rPr>
              <w:b/>
              <w:bCs/>
              <w:sz w:val="24"/>
              <w:szCs w:val="24"/>
            </w:rPr>
            <w:t>3</w:t>
          </w:r>
          <w:bookmarkEnd w:id="2"/>
          <w:r>
            <w:rPr>
              <w:b/>
              <w:bCs/>
              <w:sz w:val="24"/>
              <w:szCs w:val="24"/>
            </w:rPr>
            <w:fldChar w:fldCharType="end"/>
          </w:r>
        </w:p>
        <w:p w14:paraId="035BC698">
          <w:pPr>
            <w:pStyle w:val="18"/>
            <w:tabs>
              <w:tab w:val="right" w:leader="dot" w:pos="8306"/>
            </w:tabs>
            <w:rPr>
              <w:sz w:val="24"/>
              <w:szCs w:val="24"/>
            </w:rPr>
          </w:pPr>
          <w:r>
            <w:rPr>
              <w:b/>
              <w:bCs/>
              <w:sz w:val="24"/>
              <w:szCs w:val="24"/>
            </w:rPr>
            <w:fldChar w:fldCharType="begin"/>
          </w:r>
          <w:r>
            <w:rPr>
              <w:sz w:val="24"/>
              <w:szCs w:val="24"/>
            </w:rPr>
            <w:instrText xml:space="preserve"> HYPERLINK \l _Toc18296_WPSOffice_Level1 </w:instrText>
          </w:r>
          <w:r>
            <w:rPr>
              <w:b/>
              <w:bCs/>
              <w:sz w:val="24"/>
              <w:szCs w:val="24"/>
            </w:rPr>
            <w:fldChar w:fldCharType="separate"/>
          </w:r>
          <w:sdt>
            <w:sdtPr>
              <w:rPr>
                <w:rFonts w:asciiTheme="minorHAnsi" w:hAnsiTheme="minorHAnsi" w:eastAsiaTheme="minorEastAsia" w:cstheme="minorBidi"/>
                <w:b/>
                <w:bCs/>
                <w:kern w:val="2"/>
                <w:sz w:val="36"/>
                <w:szCs w:val="36"/>
                <w:lang w:val="en-US" w:eastAsia="zh-CN" w:bidi="ar-SA"/>
              </w:rPr>
              <w:id w:val="147457322"/>
              <w:placeholder>
                <w:docPart w:val="{a0e603a5-e63c-4cbd-9105-333c6313f412}"/>
              </w:placeholder>
            </w:sdtPr>
            <w:sdtEndPr>
              <w:rPr>
                <w:rFonts w:asciiTheme="minorHAnsi" w:hAnsiTheme="minorHAnsi" w:eastAsiaTheme="minorEastAsia" w:cstheme="minorBidi"/>
                <w:b/>
                <w:bCs/>
                <w:kern w:val="2"/>
                <w:sz w:val="36"/>
                <w:szCs w:val="36"/>
                <w:lang w:val="en-US" w:eastAsia="zh-CN" w:bidi="ar-SA"/>
              </w:rPr>
            </w:sdtEndPr>
            <w:sdtContent>
              <w:r>
                <w:rPr>
                  <w:rFonts w:hint="eastAsia" w:ascii="宋体" w:hAnsi="宋体" w:cs="宋体" w:eastAsiaTheme="minorEastAsia"/>
                  <w:b/>
                  <w:bCs/>
                  <w:sz w:val="24"/>
                  <w:szCs w:val="24"/>
                </w:rPr>
                <w:t>二、</w:t>
              </w:r>
              <w:r>
                <w:rPr>
                  <w:rFonts w:ascii="宋体" w:hAnsi="宋体" w:cs="宋体" w:eastAsiaTheme="minorEastAsia"/>
                  <w:b/>
                  <w:bCs/>
                  <w:sz w:val="24"/>
                  <w:szCs w:val="24"/>
                </w:rPr>
                <w:t>背景及现状</w:t>
              </w:r>
            </w:sdtContent>
          </w:sdt>
          <w:r>
            <w:rPr>
              <w:b/>
              <w:bCs/>
              <w:sz w:val="24"/>
              <w:szCs w:val="24"/>
            </w:rPr>
            <w:tab/>
          </w:r>
          <w:bookmarkStart w:id="3" w:name="_Toc18296_WPSOffice_Level1Page"/>
          <w:r>
            <w:rPr>
              <w:b/>
              <w:bCs/>
              <w:sz w:val="24"/>
              <w:szCs w:val="24"/>
            </w:rPr>
            <w:t>3</w:t>
          </w:r>
          <w:bookmarkEnd w:id="3"/>
          <w:r>
            <w:rPr>
              <w:b/>
              <w:bCs/>
              <w:sz w:val="24"/>
              <w:szCs w:val="24"/>
            </w:rPr>
            <w:fldChar w:fldCharType="end"/>
          </w:r>
        </w:p>
        <w:p w14:paraId="471E3DCC">
          <w:pPr>
            <w:pStyle w:val="18"/>
            <w:tabs>
              <w:tab w:val="right" w:leader="dot" w:pos="8306"/>
            </w:tabs>
            <w:rPr>
              <w:sz w:val="24"/>
              <w:szCs w:val="24"/>
            </w:rPr>
          </w:pPr>
          <w:r>
            <w:rPr>
              <w:b/>
              <w:bCs/>
              <w:sz w:val="24"/>
              <w:szCs w:val="24"/>
            </w:rPr>
            <w:fldChar w:fldCharType="begin"/>
          </w:r>
          <w:r>
            <w:rPr>
              <w:sz w:val="24"/>
              <w:szCs w:val="24"/>
            </w:rPr>
            <w:instrText xml:space="preserve"> HYPERLINK \l _Toc20426_WPSOffice_Level1 </w:instrText>
          </w:r>
          <w:r>
            <w:rPr>
              <w:b/>
              <w:bCs/>
              <w:sz w:val="24"/>
              <w:szCs w:val="24"/>
            </w:rPr>
            <w:fldChar w:fldCharType="separate"/>
          </w:r>
          <w:sdt>
            <w:sdtPr>
              <w:rPr>
                <w:rFonts w:asciiTheme="minorHAnsi" w:hAnsiTheme="minorHAnsi" w:eastAsiaTheme="minorEastAsia" w:cstheme="minorBidi"/>
                <w:b/>
                <w:bCs/>
                <w:kern w:val="2"/>
                <w:sz w:val="36"/>
                <w:szCs w:val="36"/>
                <w:lang w:val="en-US" w:eastAsia="zh-CN" w:bidi="ar-SA"/>
              </w:rPr>
              <w:id w:val="147482748"/>
              <w:placeholder>
                <w:docPart w:val="{860d7705-379e-45bd-92ba-e8732d5b18a6}"/>
              </w:placeholder>
            </w:sdtPr>
            <w:sdtEndPr>
              <w:rPr>
                <w:rFonts w:asciiTheme="minorHAnsi" w:hAnsiTheme="minorHAnsi" w:eastAsiaTheme="minorEastAsia" w:cstheme="minorBidi"/>
                <w:b/>
                <w:bCs/>
                <w:kern w:val="2"/>
                <w:sz w:val="36"/>
                <w:szCs w:val="36"/>
                <w:lang w:val="en-US" w:eastAsia="zh-CN" w:bidi="ar-SA"/>
              </w:rPr>
            </w:sdtEndPr>
            <w:sdtContent>
              <w:r>
                <w:rPr>
                  <w:rFonts w:hint="eastAsia" w:ascii="宋体" w:hAnsi="宋体" w:cs="宋体" w:eastAsiaTheme="minorEastAsia"/>
                  <w:b/>
                  <w:bCs/>
                  <w:sz w:val="24"/>
                  <w:szCs w:val="24"/>
                </w:rPr>
                <w:t>三、项目概况</w:t>
              </w:r>
            </w:sdtContent>
          </w:sdt>
          <w:r>
            <w:rPr>
              <w:b/>
              <w:bCs/>
              <w:sz w:val="24"/>
              <w:szCs w:val="24"/>
            </w:rPr>
            <w:tab/>
          </w:r>
          <w:bookmarkStart w:id="4" w:name="_Toc20426_WPSOffice_Level1Page"/>
          <w:r>
            <w:rPr>
              <w:b/>
              <w:bCs/>
              <w:sz w:val="24"/>
              <w:szCs w:val="24"/>
            </w:rPr>
            <w:t>3</w:t>
          </w:r>
          <w:bookmarkEnd w:id="4"/>
          <w:r>
            <w:rPr>
              <w:b/>
              <w:bCs/>
              <w:sz w:val="24"/>
              <w:szCs w:val="24"/>
            </w:rPr>
            <w:fldChar w:fldCharType="end"/>
          </w:r>
        </w:p>
        <w:p w14:paraId="0AA6E7FE">
          <w:pPr>
            <w:pStyle w:val="18"/>
            <w:tabs>
              <w:tab w:val="right" w:leader="dot" w:pos="8306"/>
            </w:tabs>
            <w:rPr>
              <w:sz w:val="24"/>
              <w:szCs w:val="24"/>
            </w:rPr>
          </w:pPr>
          <w:r>
            <w:rPr>
              <w:b/>
              <w:bCs/>
              <w:sz w:val="24"/>
              <w:szCs w:val="24"/>
            </w:rPr>
            <w:fldChar w:fldCharType="begin"/>
          </w:r>
          <w:r>
            <w:rPr>
              <w:sz w:val="24"/>
              <w:szCs w:val="24"/>
            </w:rPr>
            <w:instrText xml:space="preserve"> HYPERLINK \l _Toc27282_WPSOffice_Level1 </w:instrText>
          </w:r>
          <w:r>
            <w:rPr>
              <w:b/>
              <w:bCs/>
              <w:sz w:val="24"/>
              <w:szCs w:val="24"/>
            </w:rPr>
            <w:fldChar w:fldCharType="separate"/>
          </w:r>
          <w:sdt>
            <w:sdtPr>
              <w:rPr>
                <w:rFonts w:asciiTheme="minorHAnsi" w:hAnsiTheme="minorHAnsi" w:eastAsiaTheme="minorEastAsia" w:cstheme="minorBidi"/>
                <w:b/>
                <w:bCs/>
                <w:kern w:val="2"/>
                <w:sz w:val="36"/>
                <w:szCs w:val="36"/>
                <w:lang w:val="en-US" w:eastAsia="zh-CN" w:bidi="ar-SA"/>
              </w:rPr>
              <w:id w:val="147458587"/>
              <w:placeholder>
                <w:docPart w:val="{bfaa7d0d-5ab0-4f1a-a3d6-2ddae98331d1}"/>
              </w:placeholder>
            </w:sdtPr>
            <w:sdtEndPr>
              <w:rPr>
                <w:rFonts w:asciiTheme="minorHAnsi" w:hAnsiTheme="minorHAnsi" w:eastAsiaTheme="minorEastAsia" w:cstheme="minorBidi"/>
                <w:b/>
                <w:bCs/>
                <w:kern w:val="2"/>
                <w:sz w:val="36"/>
                <w:szCs w:val="36"/>
                <w:lang w:val="en-US" w:eastAsia="zh-CN" w:bidi="ar-SA"/>
              </w:rPr>
            </w:sdtEndPr>
            <w:sdtContent>
              <w:r>
                <w:rPr>
                  <w:rFonts w:hint="eastAsia" w:ascii="宋体" w:hAnsi="宋体" w:cs="宋体" w:eastAsiaTheme="minorEastAsia"/>
                  <w:b/>
                  <w:bCs/>
                  <w:sz w:val="24"/>
                  <w:szCs w:val="24"/>
                </w:rPr>
                <w:t>四</w:t>
              </w:r>
              <w:r>
                <w:rPr>
                  <w:rFonts w:ascii="宋体" w:hAnsi="宋体" w:cs="宋体" w:eastAsiaTheme="minorEastAsia"/>
                  <w:b/>
                  <w:bCs/>
                  <w:sz w:val="24"/>
                  <w:szCs w:val="24"/>
                </w:rPr>
                <w:t>、技术</w:t>
              </w:r>
              <w:r>
                <w:rPr>
                  <w:rFonts w:hint="eastAsia" w:ascii="宋体" w:hAnsi="宋体" w:cs="宋体" w:eastAsiaTheme="minorEastAsia"/>
                  <w:b/>
                  <w:bCs/>
                  <w:sz w:val="24"/>
                  <w:szCs w:val="24"/>
                </w:rPr>
                <w:t>服务</w:t>
              </w:r>
              <w:r>
                <w:rPr>
                  <w:rFonts w:ascii="宋体" w:hAnsi="宋体" w:cs="宋体" w:eastAsiaTheme="minorEastAsia"/>
                  <w:b/>
                  <w:bCs/>
                  <w:sz w:val="24"/>
                  <w:szCs w:val="24"/>
                </w:rPr>
                <w:t>要求</w:t>
              </w:r>
            </w:sdtContent>
          </w:sdt>
          <w:r>
            <w:rPr>
              <w:b/>
              <w:bCs/>
              <w:sz w:val="24"/>
              <w:szCs w:val="24"/>
            </w:rPr>
            <w:tab/>
          </w:r>
          <w:bookmarkStart w:id="5" w:name="_Toc27282_WPSOffice_Level1Page"/>
          <w:r>
            <w:rPr>
              <w:b/>
              <w:bCs/>
              <w:sz w:val="24"/>
              <w:szCs w:val="24"/>
            </w:rPr>
            <w:t>4</w:t>
          </w:r>
          <w:bookmarkEnd w:id="5"/>
          <w:r>
            <w:rPr>
              <w:b/>
              <w:bCs/>
              <w:sz w:val="24"/>
              <w:szCs w:val="24"/>
            </w:rPr>
            <w:fldChar w:fldCharType="end"/>
          </w:r>
        </w:p>
        <w:p w14:paraId="75063DCE">
          <w:pPr>
            <w:pStyle w:val="19"/>
            <w:tabs>
              <w:tab w:val="right" w:leader="dot" w:pos="8306"/>
            </w:tabs>
            <w:rPr>
              <w:sz w:val="24"/>
              <w:szCs w:val="24"/>
            </w:rPr>
          </w:pPr>
          <w:r>
            <w:rPr>
              <w:sz w:val="24"/>
              <w:szCs w:val="24"/>
            </w:rPr>
            <w:fldChar w:fldCharType="begin"/>
          </w:r>
          <w:r>
            <w:rPr>
              <w:sz w:val="24"/>
              <w:szCs w:val="24"/>
            </w:rPr>
            <w:instrText xml:space="preserve"> HYPERLINK \l _Toc20366_WPSOffice_Level2 </w:instrText>
          </w:r>
          <w:r>
            <w:rPr>
              <w:sz w:val="24"/>
              <w:szCs w:val="24"/>
            </w:rPr>
            <w:fldChar w:fldCharType="separate"/>
          </w:r>
          <w:sdt>
            <w:sdtPr>
              <w:rPr>
                <w:rFonts w:asciiTheme="minorHAnsi" w:hAnsiTheme="minorHAnsi" w:eastAsiaTheme="minorEastAsia" w:cstheme="minorBidi"/>
                <w:kern w:val="2"/>
                <w:sz w:val="36"/>
                <w:szCs w:val="36"/>
                <w:lang w:val="en-US" w:eastAsia="zh-CN" w:bidi="ar-SA"/>
              </w:rPr>
              <w:id w:val="147451404"/>
              <w:placeholder>
                <w:docPart w:val="{1ce276a2-4d6e-40c5-946f-26733eaea893}"/>
              </w:placeholder>
            </w:sdtPr>
            <w:sdtEndPr>
              <w:rPr>
                <w:rFonts w:asciiTheme="minorHAnsi" w:hAnsiTheme="minorHAnsi" w:eastAsiaTheme="minorEastAsia" w:cstheme="minorBidi"/>
                <w:kern w:val="2"/>
                <w:sz w:val="36"/>
                <w:szCs w:val="36"/>
                <w:lang w:val="en-US" w:eastAsia="zh-CN" w:bidi="ar-SA"/>
              </w:rPr>
            </w:sdtEndPr>
            <w:sdtContent>
              <w:r>
                <w:rPr>
                  <w:rFonts w:hint="eastAsia" w:ascii="宋体" w:hAnsi="宋体" w:cs="宋体" w:eastAsiaTheme="minorEastAsia"/>
                  <w:sz w:val="24"/>
                  <w:szCs w:val="24"/>
                </w:rPr>
                <w:t>4.1项目总体要求</w:t>
              </w:r>
            </w:sdtContent>
          </w:sdt>
          <w:r>
            <w:rPr>
              <w:sz w:val="24"/>
              <w:szCs w:val="24"/>
            </w:rPr>
            <w:tab/>
          </w:r>
          <w:bookmarkStart w:id="6" w:name="_Toc20366_WPSOffice_Level2Page"/>
          <w:r>
            <w:rPr>
              <w:sz w:val="24"/>
              <w:szCs w:val="24"/>
            </w:rPr>
            <w:t>4</w:t>
          </w:r>
          <w:bookmarkEnd w:id="6"/>
          <w:r>
            <w:rPr>
              <w:sz w:val="24"/>
              <w:szCs w:val="24"/>
            </w:rPr>
            <w:fldChar w:fldCharType="end"/>
          </w:r>
        </w:p>
        <w:p w14:paraId="02A14DF4">
          <w:pPr>
            <w:pStyle w:val="19"/>
            <w:tabs>
              <w:tab w:val="right" w:leader="dot" w:pos="8306"/>
            </w:tabs>
            <w:rPr>
              <w:sz w:val="24"/>
              <w:szCs w:val="24"/>
            </w:rPr>
          </w:pPr>
          <w:r>
            <w:rPr>
              <w:sz w:val="24"/>
              <w:szCs w:val="24"/>
            </w:rPr>
            <w:fldChar w:fldCharType="begin"/>
          </w:r>
          <w:r>
            <w:rPr>
              <w:sz w:val="24"/>
              <w:szCs w:val="24"/>
            </w:rPr>
            <w:instrText xml:space="preserve"> HYPERLINK \l _Toc18296_WPSOffice_Level2 </w:instrText>
          </w:r>
          <w:r>
            <w:rPr>
              <w:sz w:val="24"/>
              <w:szCs w:val="24"/>
            </w:rPr>
            <w:fldChar w:fldCharType="separate"/>
          </w:r>
          <w:sdt>
            <w:sdtPr>
              <w:rPr>
                <w:rFonts w:asciiTheme="minorHAnsi" w:hAnsiTheme="minorHAnsi" w:eastAsiaTheme="minorEastAsia" w:cstheme="minorBidi"/>
                <w:kern w:val="2"/>
                <w:sz w:val="36"/>
                <w:szCs w:val="36"/>
                <w:lang w:val="en-US" w:eastAsia="zh-CN" w:bidi="ar-SA"/>
              </w:rPr>
              <w:id w:val="147465502"/>
              <w:placeholder>
                <w:docPart w:val="{04abb42d-ae55-4923-99ab-f258358128a2}"/>
              </w:placeholder>
            </w:sdtPr>
            <w:sdtEndPr>
              <w:rPr>
                <w:rFonts w:asciiTheme="minorHAnsi" w:hAnsiTheme="minorHAnsi" w:eastAsiaTheme="minorEastAsia" w:cstheme="minorBidi"/>
                <w:kern w:val="2"/>
                <w:sz w:val="36"/>
                <w:szCs w:val="36"/>
                <w:lang w:val="en-US" w:eastAsia="zh-CN" w:bidi="ar-SA"/>
              </w:rPr>
            </w:sdtEndPr>
            <w:sdtContent>
              <w:r>
                <w:rPr>
                  <w:rFonts w:hint="eastAsia" w:ascii="宋体" w:hAnsi="宋体" w:cs="宋体" w:eastAsiaTheme="minorEastAsia"/>
                  <w:sz w:val="24"/>
                  <w:szCs w:val="24"/>
                </w:rPr>
                <w:t>4.2 项目机构要求</w:t>
              </w:r>
            </w:sdtContent>
          </w:sdt>
          <w:r>
            <w:rPr>
              <w:sz w:val="24"/>
              <w:szCs w:val="24"/>
            </w:rPr>
            <w:tab/>
          </w:r>
          <w:bookmarkStart w:id="7" w:name="_Toc18296_WPSOffice_Level2Page"/>
          <w:r>
            <w:rPr>
              <w:sz w:val="24"/>
              <w:szCs w:val="24"/>
            </w:rPr>
            <w:t>5</w:t>
          </w:r>
          <w:bookmarkEnd w:id="7"/>
          <w:r>
            <w:rPr>
              <w:sz w:val="24"/>
              <w:szCs w:val="24"/>
            </w:rPr>
            <w:fldChar w:fldCharType="end"/>
          </w:r>
        </w:p>
        <w:p w14:paraId="3FBE0A36">
          <w:pPr>
            <w:pStyle w:val="19"/>
            <w:tabs>
              <w:tab w:val="right" w:leader="dot" w:pos="8306"/>
            </w:tabs>
            <w:rPr>
              <w:sz w:val="24"/>
              <w:szCs w:val="24"/>
            </w:rPr>
          </w:pPr>
          <w:r>
            <w:rPr>
              <w:sz w:val="24"/>
              <w:szCs w:val="24"/>
            </w:rPr>
            <w:fldChar w:fldCharType="begin"/>
          </w:r>
          <w:r>
            <w:rPr>
              <w:sz w:val="24"/>
              <w:szCs w:val="24"/>
            </w:rPr>
            <w:instrText xml:space="preserve"> HYPERLINK \l _Toc20426_WPSOffice_Level2 </w:instrText>
          </w:r>
          <w:r>
            <w:rPr>
              <w:sz w:val="24"/>
              <w:szCs w:val="24"/>
            </w:rPr>
            <w:fldChar w:fldCharType="separate"/>
          </w:r>
          <w:sdt>
            <w:sdtPr>
              <w:rPr>
                <w:rFonts w:asciiTheme="minorHAnsi" w:hAnsiTheme="minorHAnsi" w:eastAsiaTheme="minorEastAsia" w:cstheme="minorBidi"/>
                <w:kern w:val="2"/>
                <w:sz w:val="36"/>
                <w:szCs w:val="36"/>
                <w:lang w:val="en-US" w:eastAsia="zh-CN" w:bidi="ar-SA"/>
              </w:rPr>
              <w:id w:val="147480399"/>
              <w:placeholder>
                <w:docPart w:val="{cc89c555-5bb1-47af-aced-2907b9529830}"/>
              </w:placeholder>
            </w:sdtPr>
            <w:sdtEndPr>
              <w:rPr>
                <w:rFonts w:asciiTheme="minorHAnsi" w:hAnsiTheme="minorHAnsi" w:eastAsiaTheme="minorEastAsia" w:cstheme="minorBidi"/>
                <w:kern w:val="2"/>
                <w:sz w:val="36"/>
                <w:szCs w:val="36"/>
                <w:lang w:val="en-US" w:eastAsia="zh-CN" w:bidi="ar-SA"/>
              </w:rPr>
            </w:sdtEndPr>
            <w:sdtContent>
              <w:r>
                <w:rPr>
                  <w:rFonts w:hint="eastAsia" w:ascii="宋体" w:hAnsi="宋体" w:cs="宋体" w:eastAsiaTheme="minorEastAsia"/>
                  <w:sz w:val="24"/>
                  <w:szCs w:val="24"/>
                </w:rPr>
                <w:t xml:space="preserve">4.3 </w:t>
              </w:r>
              <w:r>
                <w:rPr>
                  <w:rFonts w:ascii="宋体" w:hAnsi="宋体" w:cs="宋体" w:eastAsiaTheme="minorEastAsia"/>
                  <w:sz w:val="24"/>
                  <w:szCs w:val="24"/>
                </w:rPr>
                <w:t>项目实施要求</w:t>
              </w:r>
            </w:sdtContent>
          </w:sdt>
          <w:r>
            <w:rPr>
              <w:sz w:val="24"/>
              <w:szCs w:val="24"/>
            </w:rPr>
            <w:tab/>
          </w:r>
          <w:bookmarkStart w:id="8" w:name="_Toc20426_WPSOffice_Level2Page"/>
          <w:r>
            <w:rPr>
              <w:sz w:val="24"/>
              <w:szCs w:val="24"/>
            </w:rPr>
            <w:t>5</w:t>
          </w:r>
          <w:bookmarkEnd w:id="8"/>
          <w:r>
            <w:rPr>
              <w:sz w:val="24"/>
              <w:szCs w:val="24"/>
            </w:rPr>
            <w:fldChar w:fldCharType="end"/>
          </w:r>
        </w:p>
        <w:p w14:paraId="15AF474E">
          <w:pPr>
            <w:pStyle w:val="19"/>
            <w:tabs>
              <w:tab w:val="right" w:leader="dot" w:pos="8306"/>
            </w:tabs>
            <w:rPr>
              <w:sz w:val="24"/>
              <w:szCs w:val="24"/>
            </w:rPr>
          </w:pPr>
          <w:r>
            <w:rPr>
              <w:sz w:val="24"/>
              <w:szCs w:val="24"/>
            </w:rPr>
            <w:fldChar w:fldCharType="begin"/>
          </w:r>
          <w:r>
            <w:rPr>
              <w:sz w:val="24"/>
              <w:szCs w:val="24"/>
            </w:rPr>
            <w:instrText xml:space="preserve"> HYPERLINK \l _Toc27282_WPSOffice_Level2 </w:instrText>
          </w:r>
          <w:r>
            <w:rPr>
              <w:sz w:val="24"/>
              <w:szCs w:val="24"/>
            </w:rPr>
            <w:fldChar w:fldCharType="separate"/>
          </w:r>
          <w:sdt>
            <w:sdtPr>
              <w:rPr>
                <w:rFonts w:asciiTheme="minorHAnsi" w:hAnsiTheme="minorHAnsi" w:eastAsiaTheme="minorEastAsia" w:cstheme="minorBidi"/>
                <w:kern w:val="2"/>
                <w:sz w:val="36"/>
                <w:szCs w:val="36"/>
                <w:lang w:val="en-US" w:eastAsia="zh-CN" w:bidi="ar-SA"/>
              </w:rPr>
              <w:id w:val="147470932"/>
              <w:placeholder>
                <w:docPart w:val="{cc1294e6-147a-4850-936f-44741afcd3aa}"/>
              </w:placeholder>
            </w:sdtPr>
            <w:sdtEndPr>
              <w:rPr>
                <w:rFonts w:asciiTheme="minorHAnsi" w:hAnsiTheme="minorHAnsi" w:eastAsiaTheme="minorEastAsia" w:cstheme="minorBidi"/>
                <w:kern w:val="2"/>
                <w:sz w:val="36"/>
                <w:szCs w:val="36"/>
                <w:lang w:val="en-US" w:eastAsia="zh-CN" w:bidi="ar-SA"/>
              </w:rPr>
            </w:sdtEndPr>
            <w:sdtContent>
              <w:r>
                <w:rPr>
                  <w:rFonts w:hint="eastAsia" w:ascii="宋体" w:hAnsi="宋体" w:cs="宋体" w:eastAsiaTheme="minorEastAsia"/>
                  <w:sz w:val="24"/>
                  <w:szCs w:val="24"/>
                </w:rPr>
                <w:t>4.4</w:t>
              </w:r>
              <w:r>
                <w:rPr>
                  <w:rFonts w:ascii="宋体" w:hAnsi="宋体" w:cs="宋体" w:eastAsiaTheme="minorEastAsia"/>
                  <w:sz w:val="24"/>
                  <w:szCs w:val="24"/>
                </w:rPr>
                <w:t>项目验收要求</w:t>
              </w:r>
            </w:sdtContent>
          </w:sdt>
          <w:r>
            <w:rPr>
              <w:sz w:val="24"/>
              <w:szCs w:val="24"/>
            </w:rPr>
            <w:tab/>
          </w:r>
          <w:bookmarkStart w:id="9" w:name="_Toc27282_WPSOffice_Level2Page"/>
          <w:r>
            <w:rPr>
              <w:sz w:val="24"/>
              <w:szCs w:val="24"/>
            </w:rPr>
            <w:t>6</w:t>
          </w:r>
          <w:bookmarkEnd w:id="9"/>
          <w:r>
            <w:rPr>
              <w:sz w:val="24"/>
              <w:szCs w:val="24"/>
            </w:rPr>
            <w:fldChar w:fldCharType="end"/>
          </w:r>
        </w:p>
        <w:p w14:paraId="0EE66E5C">
          <w:pPr>
            <w:pStyle w:val="19"/>
            <w:tabs>
              <w:tab w:val="right" w:leader="dot" w:pos="8306"/>
            </w:tabs>
            <w:rPr>
              <w:sz w:val="24"/>
              <w:szCs w:val="24"/>
            </w:rPr>
          </w:pPr>
          <w:r>
            <w:rPr>
              <w:sz w:val="24"/>
              <w:szCs w:val="24"/>
            </w:rPr>
            <w:fldChar w:fldCharType="begin"/>
          </w:r>
          <w:r>
            <w:rPr>
              <w:sz w:val="24"/>
              <w:szCs w:val="24"/>
            </w:rPr>
            <w:instrText xml:space="preserve"> HYPERLINK \l _Toc13100_WPSOffice_Level2 </w:instrText>
          </w:r>
          <w:r>
            <w:rPr>
              <w:sz w:val="24"/>
              <w:szCs w:val="24"/>
            </w:rPr>
            <w:fldChar w:fldCharType="separate"/>
          </w:r>
          <w:sdt>
            <w:sdtPr>
              <w:rPr>
                <w:rFonts w:asciiTheme="minorHAnsi" w:hAnsiTheme="minorHAnsi" w:eastAsiaTheme="minorEastAsia" w:cstheme="minorBidi"/>
                <w:kern w:val="2"/>
                <w:sz w:val="36"/>
                <w:szCs w:val="36"/>
                <w:lang w:val="en-US" w:eastAsia="zh-CN" w:bidi="ar-SA"/>
              </w:rPr>
              <w:id w:val="147477769"/>
              <w:placeholder>
                <w:docPart w:val="{3e1c3f04-7e5f-4257-bfd2-5f07dfdea2ec}"/>
              </w:placeholder>
            </w:sdtPr>
            <w:sdtEndPr>
              <w:rPr>
                <w:rFonts w:asciiTheme="minorHAnsi" w:hAnsiTheme="minorHAnsi" w:eastAsiaTheme="minorEastAsia" w:cstheme="minorBidi"/>
                <w:kern w:val="2"/>
                <w:sz w:val="36"/>
                <w:szCs w:val="36"/>
                <w:lang w:val="en-US" w:eastAsia="zh-CN" w:bidi="ar-SA"/>
              </w:rPr>
            </w:sdtEndPr>
            <w:sdtContent>
              <w:r>
                <w:rPr>
                  <w:rFonts w:hint="eastAsia" w:ascii="宋体" w:hAnsi="宋体" w:cs="宋体" w:eastAsiaTheme="minorEastAsia"/>
                  <w:sz w:val="24"/>
                  <w:szCs w:val="24"/>
                </w:rPr>
                <w:t>4.5</w:t>
              </w:r>
              <w:r>
                <w:rPr>
                  <w:rFonts w:ascii="宋体" w:hAnsi="宋体" w:cs="宋体" w:eastAsiaTheme="minorEastAsia"/>
                  <w:sz w:val="24"/>
                  <w:szCs w:val="24"/>
                </w:rPr>
                <w:t>其他要求</w:t>
              </w:r>
            </w:sdtContent>
          </w:sdt>
          <w:r>
            <w:rPr>
              <w:sz w:val="24"/>
              <w:szCs w:val="24"/>
            </w:rPr>
            <w:tab/>
          </w:r>
          <w:bookmarkStart w:id="10" w:name="_Toc13100_WPSOffice_Level2Page"/>
          <w:r>
            <w:rPr>
              <w:sz w:val="24"/>
              <w:szCs w:val="24"/>
            </w:rPr>
            <w:t>6</w:t>
          </w:r>
          <w:bookmarkEnd w:id="10"/>
          <w:r>
            <w:rPr>
              <w:sz w:val="24"/>
              <w:szCs w:val="24"/>
            </w:rPr>
            <w:fldChar w:fldCharType="end"/>
          </w:r>
          <w:bookmarkEnd w:id="1"/>
        </w:p>
      </w:sdtContent>
    </w:sdt>
    <w:p w14:paraId="275F80DC">
      <w:pPr>
        <w:spacing w:line="360" w:lineRule="auto"/>
        <w:ind w:firstLine="482"/>
        <w:rPr>
          <w:rFonts w:hint="eastAsia" w:ascii="宋体" w:hAnsi="宋体" w:cs="宋体"/>
          <w:b/>
          <w:sz w:val="36"/>
          <w:szCs w:val="36"/>
          <w:lang w:val="en-US" w:eastAsia="zh-CN"/>
        </w:rPr>
      </w:pPr>
      <w:bookmarkStart w:id="11" w:name="_Toc4767_WPSOffice_Level1"/>
      <w:bookmarkStart w:id="12" w:name="_Toc25052_WPSOffice_Level1"/>
    </w:p>
    <w:p w14:paraId="38BFF96E">
      <w:pPr>
        <w:spacing w:line="360" w:lineRule="auto"/>
        <w:ind w:firstLine="482"/>
        <w:rPr>
          <w:rFonts w:hint="eastAsia" w:ascii="宋体" w:hAnsi="宋体" w:cs="宋体"/>
          <w:b/>
          <w:lang w:val="en-US" w:eastAsia="zh-CN"/>
        </w:rPr>
      </w:pPr>
    </w:p>
    <w:p w14:paraId="0CDF447F">
      <w:pPr>
        <w:spacing w:line="360" w:lineRule="auto"/>
        <w:ind w:firstLine="482"/>
        <w:rPr>
          <w:rFonts w:hint="eastAsia" w:ascii="宋体" w:hAnsi="宋体" w:cs="宋体"/>
          <w:b/>
          <w:lang w:val="en-US" w:eastAsia="zh-CN"/>
        </w:rPr>
      </w:pPr>
    </w:p>
    <w:p w14:paraId="3F9B2FDB">
      <w:pPr>
        <w:spacing w:line="360" w:lineRule="auto"/>
        <w:ind w:firstLine="482"/>
        <w:rPr>
          <w:rFonts w:hint="eastAsia" w:ascii="宋体" w:hAnsi="宋体" w:cs="宋体"/>
          <w:b/>
          <w:lang w:val="en-US" w:eastAsia="zh-CN"/>
        </w:rPr>
      </w:pPr>
    </w:p>
    <w:p w14:paraId="58E3FA90">
      <w:pPr>
        <w:spacing w:line="360" w:lineRule="auto"/>
        <w:ind w:firstLine="482"/>
        <w:rPr>
          <w:rFonts w:hint="eastAsia" w:ascii="宋体" w:hAnsi="宋体" w:cs="宋体"/>
          <w:b/>
          <w:lang w:val="en-US" w:eastAsia="zh-CN"/>
        </w:rPr>
      </w:pPr>
    </w:p>
    <w:p w14:paraId="2A232A63">
      <w:pPr>
        <w:spacing w:line="360" w:lineRule="auto"/>
        <w:ind w:firstLine="482"/>
        <w:rPr>
          <w:rFonts w:hint="eastAsia" w:ascii="宋体" w:hAnsi="宋体" w:cs="宋体"/>
          <w:b/>
          <w:lang w:val="en-US" w:eastAsia="zh-CN"/>
        </w:rPr>
      </w:pPr>
    </w:p>
    <w:p w14:paraId="61096BCE">
      <w:pPr>
        <w:spacing w:line="360" w:lineRule="auto"/>
        <w:ind w:firstLine="482"/>
        <w:rPr>
          <w:rFonts w:hint="eastAsia" w:ascii="宋体" w:hAnsi="宋体" w:cs="宋体"/>
          <w:b/>
          <w:lang w:val="en-US" w:eastAsia="zh-CN"/>
        </w:rPr>
      </w:pPr>
    </w:p>
    <w:p w14:paraId="72235001">
      <w:pPr>
        <w:spacing w:line="360" w:lineRule="auto"/>
        <w:ind w:firstLine="482"/>
        <w:rPr>
          <w:rFonts w:hint="eastAsia" w:ascii="宋体" w:hAnsi="宋体" w:cs="宋体"/>
          <w:b/>
          <w:lang w:val="en-US" w:eastAsia="zh-CN"/>
        </w:rPr>
      </w:pPr>
    </w:p>
    <w:p w14:paraId="1E946B98">
      <w:pPr>
        <w:spacing w:line="360" w:lineRule="auto"/>
        <w:ind w:firstLine="482"/>
        <w:rPr>
          <w:rFonts w:hint="eastAsia" w:ascii="宋体" w:hAnsi="宋体" w:cs="宋体"/>
          <w:b/>
          <w:lang w:val="en-US" w:eastAsia="zh-CN"/>
        </w:rPr>
      </w:pPr>
    </w:p>
    <w:p w14:paraId="705D466C">
      <w:pPr>
        <w:spacing w:line="360" w:lineRule="auto"/>
        <w:ind w:firstLine="482"/>
        <w:rPr>
          <w:rFonts w:hint="eastAsia" w:ascii="宋体" w:hAnsi="宋体" w:cs="宋体"/>
          <w:b/>
          <w:lang w:val="en-US" w:eastAsia="zh-CN"/>
        </w:rPr>
      </w:pPr>
    </w:p>
    <w:p w14:paraId="5FF8A6B0">
      <w:pPr>
        <w:spacing w:line="360" w:lineRule="auto"/>
        <w:ind w:firstLine="482"/>
        <w:rPr>
          <w:rFonts w:hint="eastAsia" w:ascii="宋体" w:hAnsi="宋体" w:cs="宋体"/>
          <w:b/>
          <w:lang w:val="en-US" w:eastAsia="zh-CN"/>
        </w:rPr>
      </w:pPr>
    </w:p>
    <w:p w14:paraId="2234C91F">
      <w:pPr>
        <w:spacing w:line="360" w:lineRule="auto"/>
        <w:ind w:firstLine="482"/>
        <w:rPr>
          <w:rFonts w:hint="eastAsia" w:ascii="宋体" w:hAnsi="宋体" w:cs="宋体"/>
          <w:b/>
          <w:lang w:val="en-US" w:eastAsia="zh-CN"/>
        </w:rPr>
      </w:pPr>
    </w:p>
    <w:p w14:paraId="1FC1519B">
      <w:pPr>
        <w:spacing w:line="360" w:lineRule="auto"/>
        <w:ind w:firstLine="482"/>
        <w:rPr>
          <w:rFonts w:hint="eastAsia" w:ascii="宋体" w:hAnsi="宋体" w:cs="宋体"/>
          <w:b/>
          <w:lang w:val="en-US" w:eastAsia="zh-CN"/>
        </w:rPr>
      </w:pPr>
    </w:p>
    <w:p w14:paraId="047DD71E">
      <w:pPr>
        <w:pStyle w:val="2"/>
        <w:rPr>
          <w:rFonts w:hint="eastAsia" w:ascii="宋体" w:hAnsi="宋体" w:cs="宋体"/>
          <w:b/>
          <w:lang w:val="en-US" w:eastAsia="zh-CN"/>
        </w:rPr>
      </w:pPr>
    </w:p>
    <w:p w14:paraId="39E74BE4">
      <w:pPr>
        <w:pStyle w:val="2"/>
        <w:rPr>
          <w:rFonts w:hint="eastAsia" w:ascii="宋体" w:hAnsi="宋体" w:cs="宋体"/>
          <w:b/>
          <w:lang w:val="en-US" w:eastAsia="zh-CN"/>
        </w:rPr>
      </w:pPr>
    </w:p>
    <w:p w14:paraId="3B439CFD">
      <w:pPr>
        <w:spacing w:line="360" w:lineRule="auto"/>
        <w:ind w:firstLine="482"/>
        <w:rPr>
          <w:rFonts w:hint="eastAsia" w:ascii="宋体" w:hAnsi="宋体" w:cs="宋体"/>
          <w:b/>
          <w:lang w:val="en-US" w:eastAsia="zh-CN"/>
        </w:rPr>
      </w:pPr>
    </w:p>
    <w:p w14:paraId="56804185">
      <w:pPr>
        <w:spacing w:line="360" w:lineRule="auto"/>
        <w:ind w:firstLine="482"/>
        <w:rPr>
          <w:rFonts w:hint="eastAsia" w:ascii="宋体" w:hAnsi="宋体" w:cs="宋体"/>
          <w:b/>
          <w:lang w:val="en-US" w:eastAsia="zh-CN"/>
        </w:rPr>
      </w:pPr>
    </w:p>
    <w:bookmarkEnd w:id="11"/>
    <w:bookmarkEnd w:id="12"/>
    <w:p w14:paraId="50B28439">
      <w:pPr>
        <w:pStyle w:val="2"/>
        <w:rPr>
          <w:rFonts w:hint="default" w:ascii="宋体" w:hAnsi="宋体" w:cs="宋体"/>
          <w:b/>
          <w:lang w:val="en-US" w:eastAsia="zh-CN"/>
        </w:rPr>
        <w:sectPr>
          <w:footerReference r:id="rId3" w:type="default"/>
          <w:pgSz w:w="11906" w:h="16838"/>
          <w:pgMar w:top="1440" w:right="1800" w:bottom="1440" w:left="1800" w:header="720" w:footer="720" w:gutter="0"/>
          <w:cols w:space="720" w:num="1"/>
          <w:titlePg/>
        </w:sectPr>
      </w:pPr>
    </w:p>
    <w:p w14:paraId="62E9922F">
      <w:pPr>
        <w:spacing w:line="360" w:lineRule="auto"/>
        <w:ind w:firstLine="482"/>
        <w:rPr>
          <w:rFonts w:hint="eastAsia" w:ascii="黑体" w:hAnsi="黑体" w:eastAsia="黑体" w:cs="黑体"/>
          <w:sz w:val="28"/>
          <w:szCs w:val="28"/>
        </w:rPr>
      </w:pPr>
      <w:bookmarkStart w:id="13" w:name="_Toc20366_WPSOffice_Level1"/>
      <w:r>
        <w:rPr>
          <w:rFonts w:hint="eastAsia" w:ascii="黑体" w:hAnsi="黑体" w:eastAsia="黑体" w:cs="黑体"/>
          <w:b/>
          <w:sz w:val="28"/>
          <w:szCs w:val="28"/>
        </w:rPr>
        <w:t>一、总则</w:t>
      </w:r>
      <w:bookmarkEnd w:id="13"/>
    </w:p>
    <w:p w14:paraId="5E56527F">
      <w:pPr>
        <w:spacing w:line="360" w:lineRule="auto"/>
        <w:ind w:firstLine="480"/>
        <w:rPr>
          <w:rFonts w:hint="eastAsia" w:ascii="宋体" w:hAnsi="宋体" w:eastAsia="宋体" w:cs="宋体"/>
          <w:sz w:val="28"/>
          <w:szCs w:val="28"/>
        </w:rPr>
      </w:pPr>
      <w:r>
        <w:rPr>
          <w:rFonts w:hint="eastAsia" w:ascii="宋体" w:hAnsi="宋体" w:eastAsia="宋体" w:cs="宋体"/>
          <w:color w:val="auto"/>
          <w:sz w:val="28"/>
          <w:szCs w:val="28"/>
        </w:rPr>
        <w:t>本规范书适用</w:t>
      </w:r>
      <w:r>
        <w:rPr>
          <w:rFonts w:hint="eastAsia" w:ascii="宋体" w:hAnsi="宋体" w:eastAsia="宋体" w:cs="宋体"/>
          <w:sz w:val="28"/>
          <w:szCs w:val="28"/>
          <w:lang w:val="en-US" w:eastAsia="zh-CN"/>
        </w:rPr>
        <w:t>于2026年玉溪通海供电局营销活动推广费的招标、合同签订、项目验收、项目实施的管理</w:t>
      </w:r>
      <w:r>
        <w:rPr>
          <w:rFonts w:hint="eastAsia" w:ascii="宋体" w:hAnsi="宋体" w:eastAsia="宋体" w:cs="宋体"/>
          <w:sz w:val="28"/>
          <w:szCs w:val="28"/>
        </w:rPr>
        <w:t>。</w:t>
      </w:r>
      <w:bookmarkStart w:id="21" w:name="_GoBack"/>
      <w:bookmarkEnd w:id="21"/>
    </w:p>
    <w:p w14:paraId="4F68A22E">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本技术条件书提出的是最基本的技术要求，并未对所有技术细节作出规定, 也未充分引述有关标准和规范的条文。投标者应满足本技术标书的要求，未涉及部分应不低于现行国家、行业、南方电网有限责任公司、云南电网有限责任公司有关标准及要求。</w:t>
      </w:r>
    </w:p>
    <w:p w14:paraId="72F95AD9">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如果</w:t>
      </w:r>
      <w:r>
        <w:rPr>
          <w:rFonts w:hint="eastAsia" w:ascii="宋体" w:hAnsi="宋体" w:eastAsia="宋体" w:cs="宋体"/>
          <w:sz w:val="28"/>
          <w:szCs w:val="28"/>
          <w:lang w:eastAsia="zh-CN"/>
        </w:rPr>
        <w:t>投标方</w:t>
      </w:r>
      <w:r>
        <w:rPr>
          <w:rFonts w:hint="eastAsia" w:ascii="宋体" w:hAnsi="宋体" w:eastAsia="宋体" w:cs="宋体"/>
          <w:sz w:val="28"/>
          <w:szCs w:val="28"/>
        </w:rPr>
        <w:t>没有以书面形式对本规范书的条文提出异议, 则意味着</w:t>
      </w:r>
      <w:r>
        <w:rPr>
          <w:rFonts w:hint="eastAsia" w:ascii="宋体" w:hAnsi="宋体" w:eastAsia="宋体" w:cs="宋体"/>
          <w:sz w:val="28"/>
          <w:szCs w:val="28"/>
          <w:lang w:eastAsia="zh-CN"/>
        </w:rPr>
        <w:t>投标方</w:t>
      </w:r>
      <w:r>
        <w:rPr>
          <w:rFonts w:hint="eastAsia" w:ascii="宋体" w:hAnsi="宋体" w:eastAsia="宋体" w:cs="宋体"/>
          <w:sz w:val="28"/>
          <w:szCs w:val="28"/>
        </w:rPr>
        <w:t>完全符合本规范书的要求。</w:t>
      </w:r>
    </w:p>
    <w:p w14:paraId="4A8182D8">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本技术规范书所使用的标准如遇与</w:t>
      </w:r>
      <w:r>
        <w:rPr>
          <w:rFonts w:hint="eastAsia" w:ascii="宋体" w:hAnsi="宋体" w:eastAsia="宋体" w:cs="宋体"/>
          <w:sz w:val="28"/>
          <w:szCs w:val="28"/>
          <w:lang w:eastAsia="zh-CN"/>
        </w:rPr>
        <w:t>投标方</w:t>
      </w:r>
      <w:r>
        <w:rPr>
          <w:rFonts w:hint="eastAsia" w:ascii="宋体" w:hAnsi="宋体" w:eastAsia="宋体" w:cs="宋体"/>
          <w:sz w:val="28"/>
          <w:szCs w:val="28"/>
        </w:rPr>
        <w:t>所执行的标准不一致时, 按较高标准执行。</w:t>
      </w:r>
    </w:p>
    <w:p w14:paraId="5F3FE7C1">
      <w:pPr>
        <w:spacing w:line="360" w:lineRule="auto"/>
        <w:ind w:firstLine="482"/>
        <w:rPr>
          <w:rFonts w:hint="eastAsia" w:ascii="黑体" w:hAnsi="黑体" w:eastAsia="黑体" w:cs="黑体"/>
          <w:b/>
          <w:sz w:val="28"/>
          <w:szCs w:val="28"/>
        </w:rPr>
      </w:pPr>
      <w:bookmarkStart w:id="14" w:name="_Toc18296_WPSOffice_Level1"/>
      <w:r>
        <w:rPr>
          <w:rFonts w:hint="eastAsia" w:ascii="黑体" w:hAnsi="黑体" w:eastAsia="黑体" w:cs="黑体"/>
          <w:b/>
          <w:sz w:val="28"/>
          <w:szCs w:val="28"/>
          <w:lang w:val="en-US" w:eastAsia="zh-CN"/>
        </w:rPr>
        <w:t>二、</w:t>
      </w:r>
      <w:r>
        <w:rPr>
          <w:rFonts w:hint="eastAsia" w:ascii="黑体" w:hAnsi="黑体" w:eastAsia="黑体" w:cs="黑体"/>
          <w:b/>
          <w:sz w:val="28"/>
          <w:szCs w:val="28"/>
        </w:rPr>
        <w:t>背景及现状</w:t>
      </w:r>
      <w:bookmarkEnd w:id="14"/>
      <w:bookmarkStart w:id="15" w:name="_Toc20426_WPSOffice_Level1"/>
    </w:p>
    <w:p w14:paraId="319D89A0">
      <w:pPr>
        <w:spacing w:line="360" w:lineRule="auto"/>
        <w:ind w:firstLine="480"/>
        <w:rPr>
          <w:rFonts w:hint="eastAsia" w:ascii="宋体" w:hAnsi="宋体" w:eastAsia="宋体" w:cs="宋体"/>
          <w:sz w:val="28"/>
          <w:szCs w:val="28"/>
        </w:rPr>
      </w:pPr>
      <w:r>
        <w:rPr>
          <w:rFonts w:hint="eastAsia" w:ascii="宋体" w:hAnsi="宋体" w:eastAsia="宋体" w:cs="宋体"/>
          <w:color w:val="auto"/>
          <w:sz w:val="28"/>
          <w:szCs w:val="28"/>
        </w:rPr>
        <w:t>为推广营销业务和开拓电力市场，提高客户满意度</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玉溪通海供电局计划</w:t>
      </w:r>
      <w:r>
        <w:rPr>
          <w:rFonts w:hint="eastAsia" w:ascii="宋体" w:hAnsi="宋体" w:eastAsia="宋体" w:cs="宋体"/>
          <w:color w:val="auto"/>
          <w:sz w:val="28"/>
          <w:szCs w:val="28"/>
        </w:rPr>
        <w:t>通过</w:t>
      </w:r>
      <w:r>
        <w:rPr>
          <w:rFonts w:hint="eastAsia" w:ascii="宋体" w:hAnsi="宋体" w:eastAsia="宋体" w:cs="宋体"/>
          <w:color w:val="auto"/>
          <w:sz w:val="28"/>
          <w:szCs w:val="28"/>
          <w:lang w:val="en-US" w:eastAsia="zh-CN"/>
        </w:rPr>
        <w:t>通海县融媒体中心现有的</w:t>
      </w:r>
      <w:r>
        <w:rPr>
          <w:rFonts w:hint="eastAsia" w:ascii="宋体" w:hAnsi="宋体" w:eastAsia="宋体" w:cs="宋体"/>
          <w:color w:val="auto"/>
          <w:sz w:val="28"/>
          <w:szCs w:val="28"/>
        </w:rPr>
        <w:t>宣传</w:t>
      </w:r>
      <w:r>
        <w:rPr>
          <w:rFonts w:hint="eastAsia" w:ascii="宋体" w:hAnsi="宋体" w:eastAsia="宋体" w:cs="宋体"/>
          <w:color w:val="auto"/>
          <w:sz w:val="28"/>
          <w:szCs w:val="28"/>
          <w:lang w:val="en-US" w:eastAsia="zh-CN"/>
        </w:rPr>
        <w:t>渠道</w:t>
      </w:r>
      <w:r>
        <w:rPr>
          <w:rFonts w:hint="eastAsia" w:ascii="宋体" w:hAnsi="宋体" w:eastAsia="宋体" w:cs="宋体"/>
          <w:color w:val="auto"/>
          <w:sz w:val="28"/>
          <w:szCs w:val="28"/>
        </w:rPr>
        <w:t>拓展营销宣传覆盖面。每个月可根据不同需求，</w:t>
      </w:r>
      <w:r>
        <w:rPr>
          <w:rFonts w:hint="eastAsia" w:ascii="宋体" w:hAnsi="宋体" w:eastAsia="宋体" w:cs="宋体"/>
          <w:color w:val="auto"/>
          <w:sz w:val="28"/>
          <w:szCs w:val="28"/>
          <w:lang w:val="en-US" w:eastAsia="zh-CN"/>
        </w:rPr>
        <w:t>开展</w:t>
      </w:r>
      <w:r>
        <w:rPr>
          <w:rFonts w:hint="eastAsia" w:ascii="宋体" w:hAnsi="宋体" w:eastAsia="宋体" w:cs="宋体"/>
          <w:color w:val="auto"/>
          <w:sz w:val="28"/>
          <w:szCs w:val="28"/>
        </w:rPr>
        <w:t>“停电信息</w:t>
      </w:r>
      <w:r>
        <w:rPr>
          <w:rFonts w:hint="eastAsia" w:ascii="宋体" w:hAnsi="宋体" w:eastAsia="宋体" w:cs="宋体"/>
          <w:color w:val="auto"/>
          <w:sz w:val="28"/>
          <w:szCs w:val="28"/>
          <w:lang w:val="en-US" w:eastAsia="zh-CN"/>
        </w:rPr>
        <w:t>、客户服务平台推广、优化营商环境政策、用电办理流程、安全用电知</w:t>
      </w:r>
      <w:r>
        <w:rPr>
          <w:rFonts w:hint="eastAsia" w:ascii="宋体" w:hAnsi="宋体" w:eastAsia="宋体" w:cs="宋体"/>
          <w:sz w:val="28"/>
          <w:szCs w:val="28"/>
          <w:lang w:val="en-US" w:eastAsia="zh-CN"/>
        </w:rPr>
        <w:t>识、优质服务、节能服务等</w:t>
      </w:r>
      <w:r>
        <w:rPr>
          <w:rFonts w:hint="eastAsia" w:ascii="宋体" w:hAnsi="宋体" w:eastAsia="宋体" w:cs="宋体"/>
          <w:sz w:val="28"/>
          <w:szCs w:val="28"/>
        </w:rPr>
        <w:t>”等宣传</w:t>
      </w:r>
      <w:r>
        <w:rPr>
          <w:rFonts w:hint="eastAsia" w:ascii="宋体" w:hAnsi="宋体" w:eastAsia="宋体" w:cs="宋体"/>
          <w:sz w:val="28"/>
          <w:szCs w:val="28"/>
          <w:lang w:val="en-US" w:eastAsia="zh-CN"/>
        </w:rPr>
        <w:t>服务</w:t>
      </w:r>
      <w:r>
        <w:rPr>
          <w:rFonts w:hint="eastAsia" w:ascii="宋体" w:hAnsi="宋体" w:eastAsia="宋体" w:cs="宋体"/>
          <w:sz w:val="28"/>
          <w:szCs w:val="28"/>
        </w:rPr>
        <w:t>，向社会各界宣传最新用电信息</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电价政策等</w:t>
      </w:r>
      <w:r>
        <w:rPr>
          <w:rFonts w:hint="eastAsia" w:ascii="宋体" w:hAnsi="宋体" w:eastAsia="宋体" w:cs="宋体"/>
          <w:sz w:val="28"/>
          <w:szCs w:val="28"/>
        </w:rPr>
        <w:t>。如停电面积大、影响范围大，</w:t>
      </w:r>
      <w:r>
        <w:rPr>
          <w:rFonts w:hint="eastAsia" w:ascii="宋体" w:hAnsi="宋体" w:eastAsia="宋体" w:cs="宋体"/>
          <w:sz w:val="28"/>
          <w:szCs w:val="28"/>
          <w:lang w:eastAsia="zh-CN"/>
        </w:rPr>
        <w:t>计划停电、故障停电，</w:t>
      </w:r>
      <w:r>
        <w:rPr>
          <w:rFonts w:hint="eastAsia" w:ascii="宋体" w:hAnsi="宋体" w:eastAsia="宋体" w:cs="宋体"/>
          <w:sz w:val="28"/>
          <w:szCs w:val="28"/>
        </w:rPr>
        <w:t>可临时利用新闻媒体开展停电信息的发布</w:t>
      </w:r>
      <w:r>
        <w:rPr>
          <w:rFonts w:hint="eastAsia" w:ascii="宋体" w:hAnsi="宋体" w:eastAsia="宋体" w:cs="宋体"/>
          <w:sz w:val="28"/>
          <w:szCs w:val="28"/>
          <w:lang w:eastAsia="zh-CN"/>
        </w:rPr>
        <w:t>。</w:t>
      </w:r>
    </w:p>
    <w:p w14:paraId="2EA3C7BC">
      <w:pPr>
        <w:spacing w:line="360" w:lineRule="auto"/>
        <w:ind w:firstLine="482"/>
        <w:rPr>
          <w:rFonts w:hint="eastAsia" w:ascii="黑体" w:hAnsi="黑体" w:eastAsia="黑体" w:cs="黑体"/>
          <w:b/>
          <w:sz w:val="28"/>
          <w:szCs w:val="28"/>
          <w:lang w:val="en-US" w:eastAsia="zh-CN"/>
        </w:rPr>
      </w:pPr>
      <w:r>
        <w:rPr>
          <w:rFonts w:hint="eastAsia" w:ascii="黑体" w:hAnsi="黑体" w:eastAsia="黑体" w:cs="黑体"/>
          <w:b/>
          <w:sz w:val="28"/>
          <w:szCs w:val="28"/>
          <w:lang w:val="en-US" w:eastAsia="zh-CN"/>
        </w:rPr>
        <w:t>三、项目概况</w:t>
      </w:r>
      <w:bookmarkEnd w:id="15"/>
    </w:p>
    <w:p w14:paraId="547F9BE0">
      <w:pPr>
        <w:spacing w:line="360" w:lineRule="auto"/>
        <w:ind w:firstLine="480"/>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通海县融媒体中心是通海县唯一家具备向全市播报的电视媒体台平，所以与通海电视台广告部合作编制文本</w:t>
      </w:r>
      <w:r>
        <w:rPr>
          <w:rFonts w:hint="eastAsia" w:ascii="宋体" w:hAnsi="宋体" w:eastAsia="宋体" w:cs="宋体"/>
          <w:color w:val="auto"/>
          <w:sz w:val="28"/>
          <w:szCs w:val="28"/>
          <w:shd w:val="clear" w:color="auto" w:fill="auto"/>
        </w:rPr>
        <w:t>、图片、音频、视频等供电服务信息，通过</w:t>
      </w:r>
      <w:r>
        <w:rPr>
          <w:rFonts w:hint="eastAsia" w:ascii="宋体" w:hAnsi="宋体" w:eastAsia="宋体" w:cs="宋体"/>
          <w:color w:val="auto"/>
          <w:sz w:val="28"/>
          <w:szCs w:val="28"/>
          <w:shd w:val="clear" w:color="auto" w:fill="auto"/>
          <w:lang w:val="en-US" w:eastAsia="zh-CN"/>
        </w:rPr>
        <w:t>通海电视台广告部现有的主流宣传</w:t>
      </w:r>
      <w:r>
        <w:rPr>
          <w:rFonts w:hint="eastAsia" w:ascii="宋体" w:hAnsi="宋体" w:eastAsia="宋体" w:cs="宋体"/>
          <w:color w:val="auto"/>
          <w:sz w:val="28"/>
          <w:szCs w:val="28"/>
          <w:shd w:val="clear" w:color="auto" w:fill="auto"/>
        </w:rPr>
        <w:t>渠道提供给用户。</w:t>
      </w:r>
    </w:p>
    <w:p w14:paraId="68B1D96D">
      <w:pPr>
        <w:spacing w:line="360" w:lineRule="auto"/>
        <w:ind w:firstLine="480"/>
        <w:rPr>
          <w:rFonts w:hint="eastAsia" w:ascii="宋体" w:hAnsi="宋体" w:cs="宋体"/>
          <w:b/>
          <w:lang w:val="en-US" w:eastAsia="zh-CN"/>
        </w:rPr>
      </w:pPr>
      <w:r>
        <w:rPr>
          <w:rFonts w:hint="eastAsia" w:ascii="宋体" w:hAnsi="宋体" w:eastAsia="宋体" w:cs="宋体"/>
          <w:sz w:val="28"/>
          <w:szCs w:val="28"/>
          <w:lang w:val="en-US" w:eastAsia="zh-CN"/>
        </w:rPr>
        <w:t>通海县融媒体中心管理的微信公众号、视频号、抖音号，粉丝数、阅读量、综合影响力长期排名通海县第一。其中：微信公众号（名城通海、礼乐名邦）、礼乐名邦APP、抖音号（通海县融媒体中心）、微博（礼乐名邦通海）是通海县融媒体中心的官方账号，是播报全县民生信息的新媒体平台，80%浏览量属于通海县本地人，所有与通海县融媒体中心合作编制文本、图片、音频、视频等供电服务信息，通过通海县融媒体中心家喻户晓的新媒体宣传平台宣传渠道提供给用户</w:t>
      </w:r>
      <w:r>
        <w:rPr>
          <w:rFonts w:hint="eastAsia" w:ascii="宋体" w:hAnsi="宋体" w:eastAsia="宋体" w:cs="宋体"/>
          <w:kern w:val="2"/>
          <w:sz w:val="28"/>
          <w:szCs w:val="28"/>
          <w:lang w:val="en-US" w:eastAsia="zh-CN" w:bidi="ar-SA"/>
        </w:rPr>
        <w:t>。</w:t>
      </w:r>
    </w:p>
    <w:p w14:paraId="1EF44BE0">
      <w:pPr>
        <w:spacing w:line="360" w:lineRule="auto"/>
        <w:ind w:firstLine="567"/>
        <w:jc w:val="center"/>
        <w:rPr>
          <w:rFonts w:hint="eastAsia" w:ascii="宋体" w:hAnsi="宋体" w:cs="宋体"/>
          <w:b/>
          <w:lang w:val="en-US" w:eastAsia="zh-CN"/>
        </w:rPr>
      </w:pPr>
      <w:r>
        <w:rPr>
          <w:rFonts w:hint="eastAsia" w:ascii="宋体" w:hAnsi="宋体" w:cs="宋体"/>
          <w:b/>
          <w:lang w:val="en-US" w:eastAsia="zh-CN"/>
        </w:rPr>
        <w:t>项目需求</w:t>
      </w:r>
    </w:p>
    <w:tbl>
      <w:tblPr>
        <w:tblStyle w:val="8"/>
        <w:tblW w:w="8597" w:type="dxa"/>
        <w:tblInd w:w="0" w:type="dxa"/>
        <w:tblLayout w:type="fixed"/>
        <w:tblCellMar>
          <w:top w:w="0" w:type="dxa"/>
          <w:left w:w="0" w:type="dxa"/>
          <w:bottom w:w="0" w:type="dxa"/>
          <w:right w:w="0" w:type="dxa"/>
        </w:tblCellMar>
      </w:tblPr>
      <w:tblGrid>
        <w:gridCol w:w="666"/>
        <w:gridCol w:w="3210"/>
        <w:gridCol w:w="1350"/>
        <w:gridCol w:w="1839"/>
        <w:gridCol w:w="1532"/>
      </w:tblGrid>
      <w:tr w14:paraId="5E914E64">
        <w:tblPrEx>
          <w:tblCellMar>
            <w:top w:w="0" w:type="dxa"/>
            <w:left w:w="0" w:type="dxa"/>
            <w:bottom w:w="0" w:type="dxa"/>
            <w:right w:w="0" w:type="dxa"/>
          </w:tblCellMar>
        </w:tblPrEx>
        <w:trPr>
          <w:trHeight w:val="384"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42509A">
            <w:pPr>
              <w:jc w:val="center"/>
              <w:rPr>
                <w:rFonts w:hint="eastAsia" w:ascii="仿宋" w:hAnsi="仿宋" w:eastAsia="仿宋" w:cs="仿宋"/>
                <w:b/>
                <w:sz w:val="28"/>
                <w:szCs w:val="28"/>
              </w:rPr>
            </w:pPr>
            <w:r>
              <w:rPr>
                <w:rFonts w:hint="eastAsia" w:ascii="仿宋" w:hAnsi="仿宋" w:eastAsia="仿宋" w:cs="仿宋"/>
                <w:b/>
                <w:sz w:val="28"/>
                <w:szCs w:val="28"/>
                <w:lang w:val="en-US" w:eastAsia="zh-CN"/>
              </w:rPr>
              <w:t>序号</w:t>
            </w:r>
          </w:p>
        </w:tc>
        <w:tc>
          <w:tcPr>
            <w:tcW w:w="32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AFA72B">
            <w:pPr>
              <w:jc w:val="center"/>
              <w:rPr>
                <w:rFonts w:hint="eastAsia" w:ascii="仿宋" w:hAnsi="仿宋" w:eastAsia="仿宋" w:cs="仿宋"/>
                <w:b/>
                <w:sz w:val="28"/>
                <w:szCs w:val="28"/>
              </w:rPr>
            </w:pPr>
            <w:r>
              <w:rPr>
                <w:rFonts w:hint="eastAsia" w:ascii="仿宋" w:hAnsi="仿宋" w:eastAsia="仿宋" w:cs="仿宋"/>
                <w:b/>
                <w:sz w:val="28"/>
                <w:szCs w:val="28"/>
                <w:lang w:val="en-US" w:eastAsia="zh-CN"/>
              </w:rPr>
              <w:t>采购</w:t>
            </w:r>
            <w:r>
              <w:rPr>
                <w:rFonts w:hint="eastAsia" w:ascii="仿宋" w:hAnsi="仿宋" w:eastAsia="仿宋" w:cs="仿宋"/>
                <w:b/>
                <w:sz w:val="28"/>
                <w:szCs w:val="28"/>
                <w:lang w:val="zh-CN"/>
              </w:rPr>
              <w:t>项目</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0473AC">
            <w:pPr>
              <w:jc w:val="center"/>
              <w:rPr>
                <w:rFonts w:hint="eastAsia" w:ascii="仿宋" w:hAnsi="仿宋" w:eastAsia="仿宋" w:cs="仿宋"/>
                <w:b/>
                <w:sz w:val="28"/>
                <w:szCs w:val="28"/>
              </w:rPr>
            </w:pPr>
            <w:r>
              <w:rPr>
                <w:rFonts w:hint="eastAsia" w:ascii="仿宋" w:hAnsi="仿宋" w:eastAsia="仿宋" w:cs="仿宋"/>
                <w:b/>
                <w:sz w:val="28"/>
                <w:szCs w:val="28"/>
                <w:lang w:val="zh-CN"/>
              </w:rPr>
              <w:t>单位</w:t>
            </w:r>
          </w:p>
        </w:tc>
        <w:tc>
          <w:tcPr>
            <w:tcW w:w="18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8935BA">
            <w:pPr>
              <w:jc w:val="center"/>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预估采购</w:t>
            </w:r>
            <w:r>
              <w:rPr>
                <w:rFonts w:hint="eastAsia" w:ascii="仿宋" w:hAnsi="仿宋" w:eastAsia="仿宋" w:cs="仿宋"/>
                <w:b/>
                <w:sz w:val="28"/>
                <w:szCs w:val="28"/>
                <w:lang w:val="zh-CN"/>
              </w:rPr>
              <w:t>数量</w:t>
            </w:r>
          </w:p>
        </w:tc>
        <w:tc>
          <w:tcPr>
            <w:tcW w:w="153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C7AB60">
            <w:pPr>
              <w:jc w:val="center"/>
              <w:rPr>
                <w:rFonts w:hint="eastAsia" w:ascii="仿宋" w:hAnsi="仿宋" w:eastAsia="仿宋" w:cs="仿宋"/>
                <w:b/>
                <w:kern w:val="2"/>
                <w:sz w:val="28"/>
                <w:szCs w:val="28"/>
                <w:lang w:val="en-US" w:eastAsia="zh-CN" w:bidi="ar-SA"/>
              </w:rPr>
            </w:pPr>
            <w:r>
              <w:rPr>
                <w:rFonts w:hint="eastAsia" w:ascii="仿宋" w:hAnsi="仿宋" w:eastAsia="仿宋" w:cs="仿宋"/>
                <w:b/>
                <w:sz w:val="28"/>
                <w:szCs w:val="28"/>
                <w:lang w:val="en-US" w:eastAsia="zh-CN"/>
              </w:rPr>
              <w:t>备注</w:t>
            </w:r>
          </w:p>
        </w:tc>
      </w:tr>
      <w:tr w14:paraId="7826E4FF">
        <w:tblPrEx>
          <w:tblCellMar>
            <w:top w:w="0" w:type="dxa"/>
            <w:left w:w="0" w:type="dxa"/>
            <w:bottom w:w="0" w:type="dxa"/>
            <w:right w:w="0" w:type="dxa"/>
          </w:tblCellMar>
        </w:tblPrEx>
        <w:trPr>
          <w:trHeight w:val="1065"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657CF6">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w:t>
            </w:r>
          </w:p>
        </w:tc>
        <w:tc>
          <w:tcPr>
            <w:tcW w:w="32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3E658C">
            <w:pPr>
              <w:widowControl/>
              <w:jc w:val="center"/>
              <w:textAlignment w:val="center"/>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rPr>
              <w:t>通过“</w:t>
            </w:r>
            <w:r>
              <w:rPr>
                <w:rFonts w:hint="eastAsia" w:ascii="仿宋" w:hAnsi="仿宋" w:eastAsia="仿宋" w:cs="仿宋"/>
                <w:color w:val="000000"/>
                <w:sz w:val="28"/>
                <w:szCs w:val="28"/>
                <w:highlight w:val="none"/>
                <w:lang w:eastAsia="zh-CN"/>
              </w:rPr>
              <w:t>通海</w:t>
            </w:r>
            <w:r>
              <w:rPr>
                <w:rFonts w:hint="eastAsia" w:ascii="仿宋" w:hAnsi="仿宋" w:eastAsia="仿宋" w:cs="仿宋"/>
                <w:color w:val="000000"/>
                <w:sz w:val="28"/>
                <w:szCs w:val="28"/>
                <w:highlight w:val="none"/>
              </w:rPr>
              <w:t>电视台</w:t>
            </w:r>
            <w:r>
              <w:rPr>
                <w:rFonts w:hint="eastAsia" w:ascii="仿宋" w:hAnsi="仿宋" w:eastAsia="仿宋" w:cs="仿宋"/>
                <w:color w:val="000000"/>
                <w:sz w:val="28"/>
                <w:szCs w:val="28"/>
                <w:highlight w:val="none"/>
                <w:rtl w:val="0"/>
                <w:lang w:val="en-US" w:eastAsia="zh-CN"/>
              </w:rPr>
              <w:t>”播出停电公告、供电服务等信</w:t>
            </w:r>
            <w:r>
              <w:rPr>
                <w:rFonts w:hint="eastAsia" w:ascii="仿宋" w:hAnsi="仿宋" w:eastAsia="仿宋" w:cs="仿宋"/>
                <w:color w:val="000000"/>
                <w:sz w:val="28"/>
                <w:szCs w:val="28"/>
                <w:highlight w:val="none"/>
              </w:rPr>
              <w:t>息内容</w:t>
            </w:r>
            <w:r>
              <w:rPr>
                <w:rFonts w:hint="eastAsia" w:ascii="仿宋" w:hAnsi="仿宋" w:eastAsia="仿宋" w:cs="仿宋"/>
                <w:color w:val="000000"/>
                <w:sz w:val="28"/>
                <w:szCs w:val="28"/>
                <w:highlight w:val="none"/>
                <w:rtl w:val="0"/>
                <w:lang w:val="en-US" w:eastAsia="zh-CN"/>
              </w:rPr>
              <w:t>。</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9AC446">
            <w:pPr>
              <w:widowControl/>
              <w:jc w:val="center"/>
              <w:textAlignment w:val="center"/>
              <w:rPr>
                <w:rFonts w:hint="default" w:ascii="仿宋" w:hAnsi="仿宋" w:eastAsia="仿宋" w:cs="仿宋"/>
                <w:sz w:val="28"/>
                <w:szCs w:val="28"/>
                <w:highlight w:val="none"/>
                <w:rtl w:val="0"/>
                <w:lang w:val="en-US" w:eastAsia="zh-CN"/>
              </w:rPr>
            </w:pPr>
            <w:r>
              <w:rPr>
                <w:rFonts w:hint="eastAsia" w:ascii="仿宋" w:hAnsi="仿宋" w:eastAsia="仿宋" w:cs="仿宋"/>
                <w:sz w:val="28"/>
                <w:szCs w:val="28"/>
                <w:highlight w:val="none"/>
                <w:rtl w:val="0"/>
                <w:lang w:val="en-US" w:eastAsia="zh-CN"/>
              </w:rPr>
              <w:t>期</w:t>
            </w:r>
          </w:p>
        </w:tc>
        <w:tc>
          <w:tcPr>
            <w:tcW w:w="18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66F2FC">
            <w:pPr>
              <w:widowControl/>
              <w:jc w:val="center"/>
              <w:textAlignment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15</w:t>
            </w:r>
          </w:p>
        </w:tc>
        <w:tc>
          <w:tcPr>
            <w:tcW w:w="1532" w:type="dxa"/>
            <w:vMerge w:val="restart"/>
            <w:tcBorders>
              <w:top w:val="single" w:color="000000" w:sz="4" w:space="0"/>
              <w:left w:val="single" w:color="000000" w:sz="4" w:space="0"/>
              <w:right w:val="single" w:color="000000" w:sz="4" w:space="0"/>
            </w:tcBorders>
            <w:shd w:val="clear" w:color="auto" w:fill="auto"/>
            <w:noWrap/>
            <w:tcMar>
              <w:top w:w="15" w:type="dxa"/>
              <w:left w:w="15" w:type="dxa"/>
              <w:right w:w="15" w:type="dxa"/>
            </w:tcMar>
            <w:vAlign w:val="center"/>
          </w:tcPr>
          <w:p w14:paraId="4C949339">
            <w:pPr>
              <w:widowControl/>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具体以招标人制定工作任务数量为准</w:t>
            </w:r>
          </w:p>
          <w:p w14:paraId="36657F57">
            <w:pPr>
              <w:widowControl/>
              <w:jc w:val="center"/>
              <w:textAlignment w:val="center"/>
              <w:rPr>
                <w:rFonts w:hint="eastAsia" w:ascii="仿宋" w:hAnsi="仿宋" w:eastAsia="仿宋" w:cs="仿宋"/>
                <w:kern w:val="2"/>
                <w:sz w:val="28"/>
                <w:szCs w:val="28"/>
                <w:lang w:val="en-US" w:eastAsia="zh-CN" w:bidi="ar-SA"/>
              </w:rPr>
            </w:pPr>
          </w:p>
        </w:tc>
      </w:tr>
      <w:tr w14:paraId="33026309">
        <w:tblPrEx>
          <w:tblCellMar>
            <w:top w:w="0" w:type="dxa"/>
            <w:left w:w="0" w:type="dxa"/>
            <w:bottom w:w="0" w:type="dxa"/>
            <w:right w:w="0" w:type="dxa"/>
          </w:tblCellMar>
        </w:tblPrEx>
        <w:trPr>
          <w:trHeight w:val="1342"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B073D0">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w:t>
            </w:r>
          </w:p>
        </w:tc>
        <w:tc>
          <w:tcPr>
            <w:tcW w:w="32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2CB35E">
            <w:pPr>
              <w:widowControl/>
              <w:jc w:val="center"/>
              <w:textAlignment w:val="center"/>
              <w:rPr>
                <w:rFonts w:hint="eastAsia" w:ascii="仿宋" w:hAnsi="仿宋" w:eastAsia="仿宋" w:cs="仿宋"/>
                <w:color w:val="000000"/>
                <w:sz w:val="28"/>
                <w:szCs w:val="28"/>
                <w:highlight w:val="none"/>
                <w:rtl w:val="0"/>
                <w:lang w:val="en-US" w:eastAsia="zh-CN"/>
              </w:rPr>
            </w:pPr>
            <w:r>
              <w:rPr>
                <w:rFonts w:hint="eastAsia" w:ascii="仿宋" w:hAnsi="仿宋" w:eastAsia="仿宋" w:cs="仿宋"/>
                <w:color w:val="000000"/>
                <w:sz w:val="28"/>
                <w:szCs w:val="28"/>
                <w:highlight w:val="none"/>
              </w:rPr>
              <w:t>通过“</w:t>
            </w:r>
            <w:r>
              <w:rPr>
                <w:rFonts w:hint="eastAsia" w:ascii="仿宋" w:hAnsi="仿宋" w:eastAsia="仿宋" w:cs="仿宋"/>
                <w:color w:val="000000"/>
                <w:sz w:val="28"/>
                <w:szCs w:val="28"/>
                <w:highlight w:val="none"/>
                <w:lang w:eastAsia="zh-CN"/>
              </w:rPr>
              <w:t>名城通海</w:t>
            </w:r>
            <w:r>
              <w:rPr>
                <w:rFonts w:hint="eastAsia" w:ascii="仿宋" w:hAnsi="仿宋" w:eastAsia="仿宋" w:cs="仿宋"/>
                <w:color w:val="000000"/>
                <w:sz w:val="28"/>
                <w:szCs w:val="28"/>
                <w:highlight w:val="none"/>
              </w:rPr>
              <w:t>”微信号发布停电公告、</w:t>
            </w:r>
            <w:r>
              <w:rPr>
                <w:rFonts w:hint="eastAsia" w:ascii="仿宋" w:hAnsi="仿宋" w:eastAsia="仿宋" w:cs="仿宋"/>
                <w:color w:val="000000"/>
                <w:sz w:val="28"/>
                <w:szCs w:val="28"/>
                <w:highlight w:val="none"/>
                <w:rtl w:val="0"/>
                <w:lang w:val="en-US" w:eastAsia="zh-CN"/>
              </w:rPr>
              <w:t>供电服务</w:t>
            </w:r>
            <w:r>
              <w:rPr>
                <w:rFonts w:hint="eastAsia" w:ascii="仿宋" w:hAnsi="仿宋" w:eastAsia="仿宋" w:cs="仿宋"/>
                <w:color w:val="000000"/>
                <w:sz w:val="28"/>
                <w:szCs w:val="28"/>
                <w:highlight w:val="none"/>
              </w:rPr>
              <w:t>等信息内容</w:t>
            </w:r>
            <w:r>
              <w:rPr>
                <w:rFonts w:hint="eastAsia" w:ascii="仿宋" w:hAnsi="仿宋" w:eastAsia="仿宋" w:cs="仿宋"/>
                <w:color w:val="000000"/>
                <w:sz w:val="28"/>
                <w:szCs w:val="28"/>
                <w:highlight w:val="none"/>
                <w:rtl w:val="0"/>
                <w:lang w:val="en-US" w:eastAsia="zh-CN"/>
              </w:rPr>
              <w:t>。</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A95F2A">
            <w:pPr>
              <w:widowControl/>
              <w:jc w:val="center"/>
              <w:textAlignment w:val="center"/>
              <w:rPr>
                <w:rFonts w:hint="eastAsia" w:ascii="仿宋" w:hAnsi="仿宋" w:eastAsia="仿宋" w:cs="仿宋"/>
                <w:sz w:val="28"/>
                <w:szCs w:val="28"/>
                <w:highlight w:val="none"/>
                <w:rtl w:val="0"/>
                <w:lang w:val="en-US" w:eastAsia="zh-CN"/>
              </w:rPr>
            </w:pPr>
            <w:r>
              <w:rPr>
                <w:rFonts w:hint="eastAsia" w:ascii="仿宋" w:hAnsi="仿宋" w:eastAsia="仿宋" w:cs="仿宋"/>
                <w:sz w:val="28"/>
                <w:szCs w:val="28"/>
                <w:highlight w:val="none"/>
                <w:rtl w:val="0"/>
                <w:lang w:val="en-US" w:eastAsia="zh-CN"/>
              </w:rPr>
              <w:t>条</w:t>
            </w:r>
          </w:p>
        </w:tc>
        <w:tc>
          <w:tcPr>
            <w:tcW w:w="18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8A4CEC">
            <w:pPr>
              <w:widowControl/>
              <w:jc w:val="center"/>
              <w:textAlignment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20</w:t>
            </w:r>
          </w:p>
        </w:tc>
        <w:tc>
          <w:tcPr>
            <w:tcW w:w="153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5D850A06">
            <w:pPr>
              <w:widowControl/>
              <w:jc w:val="center"/>
              <w:textAlignment w:val="center"/>
              <w:rPr>
                <w:rFonts w:hint="eastAsia" w:ascii="仿宋" w:hAnsi="仿宋" w:eastAsia="仿宋" w:cs="仿宋"/>
                <w:kern w:val="2"/>
                <w:sz w:val="28"/>
                <w:szCs w:val="28"/>
                <w:lang w:val="en-US" w:eastAsia="zh-CN" w:bidi="ar-SA"/>
              </w:rPr>
            </w:pPr>
          </w:p>
        </w:tc>
      </w:tr>
      <w:tr w14:paraId="4626D242">
        <w:tblPrEx>
          <w:tblCellMar>
            <w:top w:w="0" w:type="dxa"/>
            <w:left w:w="0" w:type="dxa"/>
            <w:bottom w:w="0" w:type="dxa"/>
            <w:right w:w="0" w:type="dxa"/>
          </w:tblCellMar>
        </w:tblPrEx>
        <w:trPr>
          <w:trHeight w:val="1342"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02C2F9">
            <w:p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3</w:t>
            </w:r>
          </w:p>
        </w:tc>
        <w:tc>
          <w:tcPr>
            <w:tcW w:w="32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CA9D82">
            <w:pPr>
              <w:widowControl/>
              <w:jc w:val="center"/>
              <w:textAlignment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通过“礼乐名邦”APP发布停电公告、供电服务等信息内容</w:t>
            </w:r>
            <w:r>
              <w:rPr>
                <w:rFonts w:hint="eastAsia" w:ascii="仿宋" w:hAnsi="仿宋" w:eastAsia="仿宋" w:cs="仿宋"/>
                <w:color w:val="000000"/>
                <w:sz w:val="28"/>
                <w:szCs w:val="28"/>
                <w:highlight w:val="none"/>
                <w:rtl w:val="0"/>
                <w:lang w:val="en-US" w:eastAsia="zh-CN"/>
              </w:rPr>
              <w:t>。</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30A8B3">
            <w:pPr>
              <w:widowControl/>
              <w:jc w:val="center"/>
              <w:textAlignment w:val="center"/>
              <w:rPr>
                <w:rFonts w:hint="eastAsia" w:ascii="仿宋" w:hAnsi="仿宋" w:eastAsia="仿宋" w:cs="仿宋"/>
                <w:sz w:val="28"/>
                <w:szCs w:val="28"/>
                <w:highlight w:val="none"/>
                <w:rtl w:val="0"/>
                <w:lang w:val="en-US" w:eastAsia="zh-CN"/>
              </w:rPr>
            </w:pPr>
            <w:r>
              <w:rPr>
                <w:rFonts w:hint="eastAsia" w:ascii="仿宋" w:hAnsi="仿宋" w:eastAsia="仿宋" w:cs="仿宋"/>
                <w:sz w:val="28"/>
                <w:szCs w:val="28"/>
                <w:highlight w:val="none"/>
                <w:rtl w:val="0"/>
                <w:lang w:val="en-US" w:eastAsia="zh-CN"/>
              </w:rPr>
              <w:t>条</w:t>
            </w:r>
          </w:p>
        </w:tc>
        <w:tc>
          <w:tcPr>
            <w:tcW w:w="18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07E8C2">
            <w:pPr>
              <w:widowControl/>
              <w:jc w:val="center"/>
              <w:textAlignment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20</w:t>
            </w:r>
          </w:p>
        </w:tc>
        <w:tc>
          <w:tcPr>
            <w:tcW w:w="153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0E0C2B5F">
            <w:pPr>
              <w:widowControl/>
              <w:jc w:val="center"/>
              <w:textAlignment w:val="center"/>
              <w:rPr>
                <w:rFonts w:hint="eastAsia" w:ascii="仿宋" w:hAnsi="仿宋" w:eastAsia="仿宋" w:cs="仿宋"/>
                <w:kern w:val="2"/>
                <w:sz w:val="28"/>
                <w:szCs w:val="28"/>
                <w:lang w:val="en-US" w:eastAsia="zh-CN" w:bidi="ar-SA"/>
              </w:rPr>
            </w:pPr>
          </w:p>
        </w:tc>
      </w:tr>
      <w:tr w14:paraId="1A61C062">
        <w:tblPrEx>
          <w:tblCellMar>
            <w:top w:w="0" w:type="dxa"/>
            <w:left w:w="0" w:type="dxa"/>
            <w:bottom w:w="0" w:type="dxa"/>
            <w:right w:w="0" w:type="dxa"/>
          </w:tblCellMar>
        </w:tblPrEx>
        <w:trPr>
          <w:trHeight w:val="1342"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4B3B44">
            <w:p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4</w:t>
            </w:r>
          </w:p>
        </w:tc>
        <w:tc>
          <w:tcPr>
            <w:tcW w:w="32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880004">
            <w:pPr>
              <w:widowControl/>
              <w:jc w:val="center"/>
              <w:textAlignment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通过“礼乐名邦通海”微博发布停电公告、供电服务等信息内容</w:t>
            </w:r>
            <w:r>
              <w:rPr>
                <w:rFonts w:hint="eastAsia" w:ascii="仿宋" w:hAnsi="仿宋" w:eastAsia="仿宋" w:cs="仿宋"/>
                <w:color w:val="000000"/>
                <w:sz w:val="28"/>
                <w:szCs w:val="28"/>
                <w:highlight w:val="none"/>
                <w:rtl w:val="0"/>
                <w:lang w:val="en-US" w:eastAsia="zh-CN"/>
              </w:rPr>
              <w:t>。</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722C19">
            <w:pPr>
              <w:widowControl/>
              <w:jc w:val="center"/>
              <w:textAlignment w:val="center"/>
              <w:rPr>
                <w:rFonts w:hint="eastAsia" w:ascii="仿宋" w:hAnsi="仿宋" w:eastAsia="仿宋" w:cs="仿宋"/>
                <w:sz w:val="28"/>
                <w:szCs w:val="28"/>
                <w:highlight w:val="none"/>
                <w:rtl w:val="0"/>
                <w:lang w:val="en-US" w:eastAsia="zh-CN"/>
              </w:rPr>
            </w:pPr>
            <w:r>
              <w:rPr>
                <w:rFonts w:hint="eastAsia" w:ascii="仿宋" w:hAnsi="仿宋" w:eastAsia="仿宋" w:cs="仿宋"/>
                <w:sz w:val="28"/>
                <w:szCs w:val="28"/>
                <w:highlight w:val="none"/>
                <w:rtl w:val="0"/>
                <w:lang w:val="en-US" w:eastAsia="zh-CN"/>
              </w:rPr>
              <w:t>条</w:t>
            </w:r>
          </w:p>
        </w:tc>
        <w:tc>
          <w:tcPr>
            <w:tcW w:w="18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E4E9DE">
            <w:pPr>
              <w:widowControl/>
              <w:jc w:val="center"/>
              <w:textAlignment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5</w:t>
            </w:r>
          </w:p>
        </w:tc>
        <w:tc>
          <w:tcPr>
            <w:tcW w:w="1532"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70EDA7AD">
            <w:pPr>
              <w:widowControl/>
              <w:jc w:val="center"/>
              <w:textAlignment w:val="center"/>
              <w:rPr>
                <w:rFonts w:hint="eastAsia" w:ascii="仿宋" w:hAnsi="仿宋" w:eastAsia="仿宋" w:cs="仿宋"/>
                <w:kern w:val="2"/>
                <w:sz w:val="28"/>
                <w:szCs w:val="28"/>
                <w:lang w:val="en-US" w:eastAsia="zh-CN" w:bidi="ar-SA"/>
              </w:rPr>
            </w:pPr>
          </w:p>
        </w:tc>
      </w:tr>
      <w:tr w14:paraId="02804EBC">
        <w:tblPrEx>
          <w:tblCellMar>
            <w:top w:w="0" w:type="dxa"/>
            <w:left w:w="0" w:type="dxa"/>
            <w:bottom w:w="0" w:type="dxa"/>
            <w:right w:w="0" w:type="dxa"/>
          </w:tblCellMar>
        </w:tblPrEx>
        <w:trPr>
          <w:trHeight w:val="1412"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295E18">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w:t>
            </w:r>
          </w:p>
        </w:tc>
        <w:tc>
          <w:tcPr>
            <w:tcW w:w="32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A55527">
            <w:pPr>
              <w:widowControl/>
              <w:jc w:val="center"/>
              <w:textAlignment w:val="center"/>
              <w:rPr>
                <w:rFonts w:hint="eastAsia" w:ascii="仿宋" w:hAnsi="仿宋" w:eastAsia="仿宋" w:cs="仿宋"/>
                <w:color w:val="000000"/>
                <w:sz w:val="28"/>
                <w:szCs w:val="28"/>
                <w:highlight w:val="none"/>
                <w:rtl w:val="0"/>
                <w:lang w:val="en-US" w:eastAsia="zh-CN"/>
              </w:rPr>
            </w:pPr>
            <w:r>
              <w:rPr>
                <w:rFonts w:hint="eastAsia" w:ascii="仿宋" w:hAnsi="仿宋" w:eastAsia="仿宋" w:cs="仿宋"/>
                <w:color w:val="000000"/>
                <w:sz w:val="28"/>
                <w:szCs w:val="28"/>
                <w:highlight w:val="none"/>
              </w:rPr>
              <w:t>通过“</w:t>
            </w:r>
            <w:r>
              <w:rPr>
                <w:rFonts w:hint="eastAsia" w:ascii="仿宋" w:hAnsi="仿宋" w:eastAsia="仿宋" w:cs="仿宋"/>
                <w:color w:val="000000"/>
                <w:sz w:val="28"/>
                <w:szCs w:val="28"/>
                <w:highlight w:val="none"/>
                <w:lang w:eastAsia="zh-CN"/>
              </w:rPr>
              <w:t>通海县融媒体中心</w:t>
            </w:r>
            <w:r>
              <w:rPr>
                <w:rFonts w:hint="eastAsia" w:ascii="仿宋" w:hAnsi="仿宋" w:eastAsia="仿宋" w:cs="仿宋"/>
                <w:color w:val="000000"/>
                <w:sz w:val="28"/>
                <w:szCs w:val="28"/>
                <w:highlight w:val="none"/>
              </w:rPr>
              <w:t>”抖音号发布</w:t>
            </w:r>
            <w:r>
              <w:rPr>
                <w:rFonts w:hint="eastAsia" w:ascii="仿宋" w:hAnsi="仿宋" w:eastAsia="仿宋" w:cs="仿宋"/>
                <w:color w:val="000000"/>
                <w:sz w:val="28"/>
                <w:szCs w:val="28"/>
                <w:highlight w:val="none"/>
                <w:lang w:eastAsia="zh-CN"/>
              </w:rPr>
              <w:t>安全宣传、</w:t>
            </w:r>
            <w:r>
              <w:rPr>
                <w:rFonts w:hint="eastAsia" w:ascii="仿宋" w:hAnsi="仿宋" w:eastAsia="仿宋" w:cs="仿宋"/>
                <w:color w:val="000000"/>
                <w:sz w:val="28"/>
                <w:szCs w:val="28"/>
                <w:highlight w:val="none"/>
                <w:rtl w:val="0"/>
                <w:lang w:val="en-US" w:eastAsia="zh-CN"/>
              </w:rPr>
              <w:t>供电服务</w:t>
            </w:r>
            <w:r>
              <w:rPr>
                <w:rFonts w:hint="eastAsia" w:ascii="仿宋" w:hAnsi="仿宋" w:eastAsia="仿宋" w:cs="仿宋"/>
                <w:color w:val="000000"/>
                <w:sz w:val="28"/>
                <w:szCs w:val="28"/>
                <w:highlight w:val="none"/>
              </w:rPr>
              <w:t>等信息内容</w:t>
            </w:r>
            <w:r>
              <w:rPr>
                <w:rFonts w:hint="eastAsia" w:ascii="仿宋" w:hAnsi="仿宋" w:eastAsia="仿宋" w:cs="仿宋"/>
                <w:color w:val="000000"/>
                <w:sz w:val="28"/>
                <w:szCs w:val="28"/>
                <w:highlight w:val="none"/>
                <w:rtl w:val="0"/>
                <w:lang w:val="en-US" w:eastAsia="zh-CN"/>
              </w:rPr>
              <w:t>。</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99E8B2">
            <w:pPr>
              <w:widowControl/>
              <w:jc w:val="center"/>
              <w:textAlignment w:val="center"/>
              <w:rPr>
                <w:rFonts w:hint="eastAsia" w:ascii="仿宋" w:hAnsi="仿宋" w:eastAsia="仿宋" w:cs="仿宋"/>
                <w:sz w:val="28"/>
                <w:szCs w:val="28"/>
                <w:highlight w:val="none"/>
                <w:rtl w:val="0"/>
                <w:lang w:val="en-US" w:eastAsia="zh-CN"/>
              </w:rPr>
            </w:pPr>
            <w:r>
              <w:rPr>
                <w:rFonts w:hint="eastAsia" w:ascii="仿宋" w:hAnsi="仿宋" w:eastAsia="仿宋" w:cs="仿宋"/>
                <w:sz w:val="28"/>
                <w:szCs w:val="28"/>
                <w:highlight w:val="none"/>
                <w:rtl w:val="0"/>
                <w:lang w:val="en-US" w:eastAsia="zh-CN"/>
              </w:rPr>
              <w:t>条</w:t>
            </w:r>
          </w:p>
        </w:tc>
        <w:tc>
          <w:tcPr>
            <w:tcW w:w="183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A122A7">
            <w:pPr>
              <w:widowControl/>
              <w:jc w:val="center"/>
              <w:textAlignment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5</w:t>
            </w:r>
          </w:p>
        </w:tc>
        <w:tc>
          <w:tcPr>
            <w:tcW w:w="1532" w:type="dxa"/>
            <w:vMerge w:val="continue"/>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C23C51">
            <w:pPr>
              <w:widowControl/>
              <w:jc w:val="center"/>
              <w:textAlignment w:val="center"/>
              <w:rPr>
                <w:rFonts w:hint="eastAsia" w:ascii="仿宋" w:hAnsi="仿宋" w:eastAsia="仿宋" w:cs="仿宋"/>
                <w:kern w:val="2"/>
                <w:sz w:val="28"/>
                <w:szCs w:val="28"/>
                <w:lang w:val="en-US" w:eastAsia="zh-CN" w:bidi="ar-SA"/>
              </w:rPr>
            </w:pPr>
          </w:p>
        </w:tc>
      </w:tr>
      <w:tr w14:paraId="46F78A7E">
        <w:tblPrEx>
          <w:tblCellMar>
            <w:top w:w="0" w:type="dxa"/>
            <w:left w:w="0" w:type="dxa"/>
            <w:bottom w:w="0" w:type="dxa"/>
            <w:right w:w="0" w:type="dxa"/>
          </w:tblCellMar>
        </w:tblPrEx>
        <w:trPr>
          <w:trHeight w:val="728" w:hRule="atLeast"/>
        </w:trPr>
        <w:tc>
          <w:tcPr>
            <w:tcW w:w="8597"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F56863">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注：本次营销单据投递费项目为单价招标采购，实际的需求具体与当年实际发生需求为准。</w:t>
            </w:r>
          </w:p>
        </w:tc>
      </w:tr>
    </w:tbl>
    <w:p w14:paraId="67B4D8E0">
      <w:pPr>
        <w:pStyle w:val="2"/>
        <w:rPr>
          <w:rFonts w:hint="default"/>
          <w:lang w:val="en-US" w:eastAsia="zh-CN"/>
        </w:rPr>
      </w:pPr>
    </w:p>
    <w:p w14:paraId="0D55B084">
      <w:pPr>
        <w:spacing w:line="360" w:lineRule="auto"/>
        <w:ind w:firstLine="482"/>
        <w:rPr>
          <w:rFonts w:hint="eastAsia" w:ascii="黑体" w:hAnsi="黑体" w:eastAsia="黑体" w:cs="黑体"/>
          <w:b/>
          <w:bCs w:val="0"/>
          <w:sz w:val="28"/>
          <w:szCs w:val="28"/>
          <w:lang w:val="en-US" w:eastAsia="zh-CN"/>
        </w:rPr>
      </w:pPr>
      <w:bookmarkStart w:id="16" w:name="_Toc27282_WPSOffice_Level1"/>
      <w:r>
        <w:rPr>
          <w:rFonts w:hint="eastAsia" w:ascii="黑体" w:hAnsi="黑体" w:eastAsia="黑体" w:cs="黑体"/>
          <w:b/>
          <w:bCs w:val="0"/>
          <w:sz w:val="28"/>
          <w:szCs w:val="28"/>
          <w:lang w:val="en-US" w:eastAsia="zh-CN"/>
        </w:rPr>
        <w:t>四、技术服务要求</w:t>
      </w:r>
      <w:bookmarkEnd w:id="16"/>
    </w:p>
    <w:p w14:paraId="4CF91576">
      <w:pPr>
        <w:spacing w:line="360" w:lineRule="auto"/>
        <w:ind w:firstLine="560" w:firstLineChars="200"/>
        <w:rPr>
          <w:rFonts w:hint="eastAsia" w:ascii="黑体" w:hAnsi="黑体" w:eastAsia="黑体" w:cs="黑体"/>
          <w:b w:val="0"/>
          <w:bCs/>
          <w:sz w:val="28"/>
          <w:szCs w:val="28"/>
          <w:rtl w:val="0"/>
          <w:lang w:val="en-US" w:eastAsia="zh-CN"/>
        </w:rPr>
      </w:pPr>
      <w:r>
        <w:rPr>
          <w:rFonts w:hint="eastAsia" w:ascii="黑体" w:hAnsi="黑体" w:eastAsia="黑体" w:cs="黑体"/>
          <w:b w:val="0"/>
          <w:bCs/>
          <w:sz w:val="28"/>
          <w:szCs w:val="28"/>
          <w:rtl w:val="0"/>
          <w:lang w:val="en-US" w:eastAsia="zh-CN"/>
        </w:rPr>
        <w:t>4.1发布要求</w:t>
      </w:r>
    </w:p>
    <w:p w14:paraId="1F748246">
      <w:pPr>
        <w:spacing w:line="360" w:lineRule="auto"/>
        <w:ind w:firstLine="560" w:firstLineChars="200"/>
        <w:rPr>
          <w:rFonts w:hint="eastAsia" w:asciiTheme="minorEastAsia" w:hAnsiTheme="minorEastAsia" w:eastAsiaTheme="minorEastAsia" w:cstheme="minorEastAsia"/>
          <w:sz w:val="28"/>
          <w:szCs w:val="28"/>
          <w:rtl w:val="0"/>
          <w:lang w:val="en-US" w:eastAsia="zh-TW"/>
        </w:rPr>
      </w:pPr>
      <w:r>
        <w:rPr>
          <w:rFonts w:hint="eastAsia" w:asciiTheme="minorEastAsia" w:hAnsiTheme="minorEastAsia" w:cstheme="minorEastAsia"/>
          <w:sz w:val="28"/>
          <w:szCs w:val="28"/>
          <w:rtl w:val="0"/>
          <w:lang w:val="en-US" w:eastAsia="zh-CN"/>
        </w:rPr>
        <w:t>4.1.</w:t>
      </w:r>
      <w:r>
        <w:rPr>
          <w:rFonts w:hint="eastAsia" w:asciiTheme="minorEastAsia" w:hAnsiTheme="minorEastAsia" w:eastAsiaTheme="minorEastAsia" w:cstheme="minorEastAsia"/>
          <w:sz w:val="28"/>
          <w:szCs w:val="28"/>
          <w:rtl w:val="0"/>
          <w:lang w:val="en-US" w:eastAsia="zh-CN"/>
        </w:rPr>
        <w:t>1</w:t>
      </w:r>
      <w:r>
        <w:rPr>
          <w:rFonts w:hint="eastAsia" w:asciiTheme="minorEastAsia" w:hAnsiTheme="minorEastAsia" w:cstheme="minorEastAsia"/>
          <w:sz w:val="28"/>
          <w:szCs w:val="28"/>
          <w:rtl w:val="0"/>
          <w:lang w:val="en-US" w:eastAsia="zh-CN"/>
        </w:rPr>
        <w:t>每月</w:t>
      </w:r>
      <w:r>
        <w:rPr>
          <w:rFonts w:hint="eastAsia" w:asciiTheme="minorEastAsia" w:hAnsiTheme="minorEastAsia" w:eastAsiaTheme="minorEastAsia" w:cstheme="minorEastAsia"/>
          <w:sz w:val="28"/>
          <w:szCs w:val="28"/>
          <w:rtl w:val="0"/>
          <w:lang w:val="zh-CN" w:eastAsia="zh-CN"/>
        </w:rPr>
        <w:t>按照我局提供的</w:t>
      </w:r>
      <w:r>
        <w:rPr>
          <w:rFonts w:hint="eastAsia" w:asciiTheme="minorEastAsia" w:hAnsiTheme="minorEastAsia" w:cstheme="minorEastAsia"/>
          <w:sz w:val="28"/>
          <w:szCs w:val="28"/>
          <w:rtl w:val="0"/>
          <w:lang w:val="en-US" w:eastAsia="zh-CN"/>
        </w:rPr>
        <w:t>上、下半月</w:t>
      </w:r>
      <w:r>
        <w:rPr>
          <w:rFonts w:hint="eastAsia" w:asciiTheme="minorEastAsia" w:hAnsiTheme="minorEastAsia" w:eastAsiaTheme="minorEastAsia" w:cstheme="minorEastAsia"/>
          <w:sz w:val="28"/>
          <w:szCs w:val="28"/>
          <w:rtl w:val="0"/>
          <w:lang w:val="zh-CN" w:eastAsia="zh-CN"/>
        </w:rPr>
        <w:t>计划停电信息</w:t>
      </w:r>
      <w:r>
        <w:rPr>
          <w:rFonts w:hint="eastAsia" w:asciiTheme="minorEastAsia" w:hAnsiTheme="minorEastAsia" w:cstheme="minorEastAsia"/>
          <w:sz w:val="28"/>
          <w:szCs w:val="28"/>
          <w:rtl w:val="0"/>
          <w:lang w:val="en-US" w:eastAsia="zh-CN"/>
        </w:rPr>
        <w:t>制作</w:t>
      </w:r>
      <w:r>
        <w:rPr>
          <w:rFonts w:hint="eastAsia" w:asciiTheme="minorEastAsia" w:hAnsiTheme="minorEastAsia" w:eastAsiaTheme="minorEastAsia" w:cstheme="minorEastAsia"/>
          <w:sz w:val="28"/>
          <w:szCs w:val="28"/>
          <w:rtl w:val="0"/>
          <w:lang w:val="en-US" w:eastAsia="zh-CN"/>
        </w:rPr>
        <w:t>播出</w:t>
      </w:r>
      <w:r>
        <w:rPr>
          <w:rFonts w:hint="eastAsia" w:asciiTheme="minorEastAsia" w:hAnsiTheme="minorEastAsia" w:eastAsiaTheme="minorEastAsia" w:cstheme="minorEastAsia"/>
          <w:sz w:val="28"/>
          <w:szCs w:val="28"/>
          <w:rtl w:val="0"/>
          <w:lang w:val="zh-CN" w:eastAsia="zh-CN"/>
        </w:rPr>
        <w:t>，</w:t>
      </w:r>
      <w:r>
        <w:rPr>
          <w:rFonts w:hint="eastAsia" w:asciiTheme="minorEastAsia" w:hAnsiTheme="minorEastAsia" w:eastAsiaTheme="minorEastAsia" w:cstheme="minorEastAsia"/>
          <w:sz w:val="28"/>
          <w:szCs w:val="28"/>
          <w:rtl w:val="0"/>
          <w:lang w:val="en-US" w:eastAsia="zh-CN"/>
        </w:rPr>
        <w:t>每天通过通海电视台</w:t>
      </w:r>
      <w:r>
        <w:rPr>
          <w:rFonts w:hint="eastAsia" w:asciiTheme="minorEastAsia" w:hAnsiTheme="minorEastAsia" w:eastAsiaTheme="minorEastAsia" w:cstheme="minorEastAsia"/>
          <w:sz w:val="28"/>
          <w:szCs w:val="28"/>
          <w:rtl w:val="0"/>
          <w:lang w:val="zh-CN" w:eastAsia="zh-CN"/>
        </w:rPr>
        <w:t>《公告时段》节目</w:t>
      </w:r>
      <w:r>
        <w:rPr>
          <w:rFonts w:hint="eastAsia" w:asciiTheme="minorEastAsia" w:hAnsiTheme="minorEastAsia" w:eastAsiaTheme="minorEastAsia" w:cstheme="minorEastAsia"/>
          <w:sz w:val="28"/>
          <w:szCs w:val="28"/>
          <w:rtl w:val="0"/>
          <w:lang w:val="en-US" w:eastAsia="zh-CN"/>
        </w:rPr>
        <w:t>中播放2次，具体播出时间为：每天</w:t>
      </w:r>
      <w:r>
        <w:rPr>
          <w:rFonts w:hint="eastAsia" w:asciiTheme="minorEastAsia" w:hAnsiTheme="minorEastAsia" w:cstheme="minorEastAsia"/>
          <w:sz w:val="28"/>
          <w:szCs w:val="28"/>
          <w:rtl w:val="0"/>
          <w:lang w:val="en-US" w:eastAsia="zh-CN"/>
        </w:rPr>
        <w:t>11</w:t>
      </w:r>
      <w:r>
        <w:rPr>
          <w:rFonts w:hint="eastAsia" w:asciiTheme="minorEastAsia" w:hAnsiTheme="minorEastAsia" w:eastAsiaTheme="minorEastAsia" w:cstheme="minorEastAsia"/>
          <w:sz w:val="28"/>
          <w:szCs w:val="28"/>
          <w:rtl w:val="0"/>
          <w:lang w:val="en-US" w:eastAsia="zh-CN"/>
        </w:rPr>
        <w:t>:</w:t>
      </w:r>
      <w:r>
        <w:rPr>
          <w:rFonts w:hint="eastAsia" w:asciiTheme="minorEastAsia" w:hAnsiTheme="minorEastAsia" w:cstheme="minorEastAsia"/>
          <w:sz w:val="28"/>
          <w:szCs w:val="28"/>
          <w:rtl w:val="0"/>
          <w:lang w:val="en-US" w:eastAsia="zh-CN"/>
        </w:rPr>
        <w:t>3</w:t>
      </w:r>
      <w:r>
        <w:rPr>
          <w:rFonts w:hint="eastAsia" w:asciiTheme="minorEastAsia" w:hAnsiTheme="minorEastAsia" w:eastAsiaTheme="minorEastAsia" w:cstheme="minorEastAsia"/>
          <w:sz w:val="28"/>
          <w:szCs w:val="28"/>
          <w:rtl w:val="0"/>
          <w:lang w:val="en-US" w:eastAsia="zh-CN"/>
        </w:rPr>
        <w:t>0、</w:t>
      </w:r>
      <w:r>
        <w:rPr>
          <w:rFonts w:hint="eastAsia" w:asciiTheme="minorEastAsia" w:hAnsiTheme="minorEastAsia" w:cstheme="minorEastAsia"/>
          <w:sz w:val="28"/>
          <w:szCs w:val="28"/>
          <w:rtl w:val="0"/>
          <w:lang w:val="en-US" w:eastAsia="zh-CN"/>
        </w:rPr>
        <w:t>18</w:t>
      </w:r>
      <w:r>
        <w:rPr>
          <w:rFonts w:hint="eastAsia" w:asciiTheme="minorEastAsia" w:hAnsiTheme="minorEastAsia" w:eastAsiaTheme="minorEastAsia" w:cstheme="minorEastAsia"/>
          <w:sz w:val="28"/>
          <w:szCs w:val="28"/>
          <w:rtl w:val="0"/>
          <w:lang w:val="en-US" w:eastAsia="zh-CN"/>
        </w:rPr>
        <w:t>:</w:t>
      </w:r>
      <w:r>
        <w:rPr>
          <w:rFonts w:hint="eastAsia" w:asciiTheme="minorEastAsia" w:hAnsiTheme="minorEastAsia" w:cstheme="minorEastAsia"/>
          <w:sz w:val="28"/>
          <w:szCs w:val="28"/>
          <w:rtl w:val="0"/>
          <w:lang w:val="en-US" w:eastAsia="zh-CN"/>
        </w:rPr>
        <w:t>3</w:t>
      </w:r>
      <w:r>
        <w:rPr>
          <w:rFonts w:hint="eastAsia" w:asciiTheme="minorEastAsia" w:hAnsiTheme="minorEastAsia" w:eastAsiaTheme="minorEastAsia" w:cstheme="minorEastAsia"/>
          <w:sz w:val="28"/>
          <w:szCs w:val="28"/>
          <w:rtl w:val="0"/>
          <w:lang w:val="en-US" w:eastAsia="zh-CN"/>
        </w:rPr>
        <w:t>0。</w:t>
      </w:r>
    </w:p>
    <w:p w14:paraId="060DE1A7">
      <w:pPr>
        <w:spacing w:line="360" w:lineRule="auto"/>
        <w:ind w:firstLine="560" w:firstLineChars="200"/>
        <w:rPr>
          <w:rFonts w:hint="eastAsia" w:asciiTheme="minorEastAsia" w:hAnsiTheme="minorEastAsia" w:eastAsiaTheme="minorEastAsia" w:cstheme="minorEastAsia"/>
          <w:color w:val="auto"/>
          <w:sz w:val="28"/>
          <w:szCs w:val="28"/>
          <w:rtl w:val="0"/>
          <w:lang w:val="en-US" w:eastAsia="zh-CN"/>
        </w:rPr>
      </w:pPr>
      <w:r>
        <w:rPr>
          <w:rFonts w:hint="eastAsia" w:asciiTheme="minorEastAsia" w:hAnsiTheme="minorEastAsia" w:eastAsiaTheme="minorEastAsia" w:cstheme="minorEastAsia"/>
          <w:sz w:val="28"/>
          <w:szCs w:val="28"/>
          <w:rtl w:val="0"/>
          <w:lang w:val="en-US" w:eastAsia="zh-CN"/>
        </w:rPr>
        <w:t>4.1.2</w:t>
      </w:r>
      <w:r>
        <w:rPr>
          <w:rFonts w:hint="eastAsia" w:asciiTheme="minorEastAsia" w:hAnsiTheme="minorEastAsia" w:eastAsiaTheme="minorEastAsia" w:cstheme="minorEastAsia"/>
          <w:sz w:val="28"/>
          <w:szCs w:val="28"/>
          <w:rtl w:val="0"/>
          <w:lang w:val="zh-TW" w:eastAsia="zh-TW"/>
        </w:rPr>
        <w:t>按照</w:t>
      </w:r>
      <w:r>
        <w:rPr>
          <w:rFonts w:hint="eastAsia" w:asciiTheme="minorEastAsia" w:hAnsiTheme="minorEastAsia" w:cstheme="minorEastAsia"/>
          <w:sz w:val="28"/>
          <w:szCs w:val="28"/>
          <w:rtl w:val="0"/>
          <w:lang w:val="en-US" w:eastAsia="zh-CN"/>
        </w:rPr>
        <w:t>玉溪通海</w:t>
      </w:r>
      <w:r>
        <w:rPr>
          <w:rFonts w:hint="eastAsia" w:asciiTheme="minorEastAsia" w:hAnsiTheme="minorEastAsia" w:eastAsiaTheme="minorEastAsia" w:cstheme="minorEastAsia"/>
          <w:sz w:val="28"/>
          <w:szCs w:val="28"/>
          <w:rtl w:val="0"/>
          <w:lang w:val="en-US" w:eastAsia="zh-CN"/>
        </w:rPr>
        <w:t>供电局</w:t>
      </w:r>
      <w:r>
        <w:rPr>
          <w:rFonts w:hint="eastAsia" w:asciiTheme="minorEastAsia" w:hAnsiTheme="minorEastAsia" w:eastAsiaTheme="minorEastAsia" w:cstheme="minorEastAsia"/>
          <w:sz w:val="28"/>
          <w:szCs w:val="28"/>
          <w:rtl w:val="0"/>
          <w:lang w:val="zh-TW" w:eastAsia="zh-TW"/>
        </w:rPr>
        <w:t>要</w:t>
      </w:r>
      <w:r>
        <w:rPr>
          <w:rFonts w:hint="eastAsia" w:asciiTheme="minorEastAsia" w:hAnsiTheme="minorEastAsia" w:eastAsiaTheme="minorEastAsia" w:cstheme="minorEastAsia"/>
          <w:color w:val="auto"/>
          <w:sz w:val="28"/>
          <w:szCs w:val="28"/>
          <w:rtl w:val="0"/>
          <w:lang w:val="zh-TW" w:eastAsia="zh-TW"/>
        </w:rPr>
        <w:t>求</w:t>
      </w:r>
      <w:r>
        <w:rPr>
          <w:rFonts w:hint="eastAsia" w:asciiTheme="minorEastAsia" w:hAnsiTheme="minorEastAsia" w:eastAsiaTheme="minorEastAsia" w:cstheme="minorEastAsia"/>
          <w:color w:val="auto"/>
          <w:sz w:val="28"/>
          <w:szCs w:val="28"/>
          <w:rtl w:val="0"/>
          <w:lang w:val="en-US" w:eastAsia="zh-CN"/>
        </w:rPr>
        <w:t>在名城通海公众号对月度停电信息进行公示公告</w:t>
      </w:r>
      <w:r>
        <w:rPr>
          <w:rFonts w:hint="eastAsia" w:asciiTheme="minorEastAsia" w:hAnsiTheme="minorEastAsia" w:cstheme="minorEastAsia"/>
          <w:color w:val="auto"/>
          <w:sz w:val="28"/>
          <w:szCs w:val="28"/>
          <w:rtl w:val="0"/>
          <w:lang w:val="en-US" w:eastAsia="zh-CN"/>
        </w:rPr>
        <w:t>，每月2期次</w:t>
      </w:r>
      <w:r>
        <w:rPr>
          <w:rFonts w:hint="eastAsia" w:asciiTheme="minorEastAsia" w:hAnsiTheme="minorEastAsia" w:eastAsiaTheme="minorEastAsia" w:cstheme="minorEastAsia"/>
          <w:color w:val="auto"/>
          <w:sz w:val="28"/>
          <w:szCs w:val="28"/>
          <w:rtl w:val="0"/>
          <w:lang w:val="en-US" w:eastAsia="zh-CN"/>
        </w:rPr>
        <w:t>。</w:t>
      </w:r>
    </w:p>
    <w:p w14:paraId="6CFFE0B5">
      <w:pPr>
        <w:spacing w:line="360" w:lineRule="auto"/>
        <w:ind w:firstLine="560" w:firstLineChars="200"/>
        <w:rPr>
          <w:rFonts w:hint="eastAsia" w:asciiTheme="minorEastAsia" w:hAnsiTheme="minorEastAsia" w:cstheme="minorEastAsia"/>
          <w:sz w:val="28"/>
          <w:szCs w:val="28"/>
          <w:rtl w:val="0"/>
          <w:lang w:val="en-US" w:eastAsia="zh-CN"/>
        </w:rPr>
      </w:pPr>
      <w:r>
        <w:rPr>
          <w:rFonts w:hint="eastAsia" w:asciiTheme="minorEastAsia" w:hAnsiTheme="minorEastAsia" w:cstheme="minorEastAsia"/>
          <w:sz w:val="28"/>
          <w:szCs w:val="28"/>
          <w:rtl w:val="0"/>
          <w:lang w:val="en-US" w:eastAsia="zh-CN"/>
        </w:rPr>
        <w:t>4.1.3根</w:t>
      </w:r>
      <w:r>
        <w:rPr>
          <w:rFonts w:hint="eastAsia" w:asciiTheme="minorEastAsia" w:hAnsiTheme="minorEastAsia" w:cstheme="minorEastAsia"/>
          <w:color w:val="auto"/>
          <w:sz w:val="28"/>
          <w:szCs w:val="28"/>
          <w:rtl w:val="0"/>
          <w:lang w:val="en-US" w:eastAsia="zh-CN"/>
        </w:rPr>
        <w:t>据玉溪通海供电局要求在</w:t>
      </w:r>
      <w:r>
        <w:rPr>
          <w:rFonts w:hint="eastAsia" w:asciiTheme="minorEastAsia" w:hAnsiTheme="minorEastAsia" w:eastAsiaTheme="minorEastAsia" w:cstheme="minorEastAsia"/>
          <w:color w:val="auto"/>
          <w:sz w:val="28"/>
          <w:szCs w:val="28"/>
          <w:rtl w:val="0"/>
          <w:lang w:val="en-US" w:eastAsia="zh-CN"/>
        </w:rPr>
        <w:t>名城通海公众号</w:t>
      </w:r>
      <w:r>
        <w:rPr>
          <w:rFonts w:hint="eastAsia" w:asciiTheme="minorEastAsia" w:hAnsiTheme="minorEastAsia" w:cstheme="minorEastAsia"/>
          <w:color w:val="auto"/>
          <w:sz w:val="28"/>
          <w:szCs w:val="28"/>
          <w:rtl w:val="0"/>
          <w:lang w:val="en-US" w:eastAsia="zh-CN"/>
        </w:rPr>
        <w:t>、“礼乐名邦”APP、“礼乐名邦通海”微博、“通海县融媒体中心”抖音号</w:t>
      </w:r>
      <w:r>
        <w:rPr>
          <w:rFonts w:hint="eastAsia" w:asciiTheme="minorEastAsia" w:hAnsiTheme="minorEastAsia" w:eastAsiaTheme="minorEastAsia" w:cstheme="minorEastAsia"/>
          <w:color w:val="auto"/>
          <w:sz w:val="28"/>
          <w:szCs w:val="28"/>
          <w:rtl w:val="0"/>
          <w:lang w:val="en-US" w:eastAsia="zh-CN"/>
        </w:rPr>
        <w:t>对重要的优化营商环境政策、用电</w:t>
      </w:r>
      <w:r>
        <w:rPr>
          <w:rFonts w:hint="eastAsia" w:asciiTheme="minorEastAsia" w:hAnsiTheme="minorEastAsia" w:eastAsiaTheme="minorEastAsia" w:cstheme="minorEastAsia"/>
          <w:sz w:val="28"/>
          <w:szCs w:val="28"/>
          <w:rtl w:val="0"/>
          <w:lang w:val="en-US" w:eastAsia="zh-CN"/>
        </w:rPr>
        <w:t>办理流程、安全用电知识</w:t>
      </w:r>
      <w:r>
        <w:rPr>
          <w:rFonts w:hint="eastAsia" w:asciiTheme="minorEastAsia" w:hAnsiTheme="minorEastAsia" w:cstheme="minorEastAsia"/>
          <w:sz w:val="28"/>
          <w:szCs w:val="28"/>
          <w:rtl w:val="0"/>
          <w:lang w:val="en-US" w:eastAsia="zh-CN"/>
        </w:rPr>
        <w:t>、总经理热线等</w:t>
      </w:r>
      <w:r>
        <w:rPr>
          <w:rFonts w:hint="eastAsia" w:ascii="宋体" w:hAnsi="宋体" w:eastAsia="宋体" w:cs="宋体"/>
          <w:sz w:val="28"/>
          <w:szCs w:val="28"/>
          <w:lang w:val="en-US" w:eastAsia="zh-CN"/>
        </w:rPr>
        <w:t>宣传进行</w:t>
      </w:r>
      <w:r>
        <w:rPr>
          <w:rFonts w:hint="eastAsia" w:asciiTheme="minorEastAsia" w:hAnsiTheme="minorEastAsia" w:cstheme="minorEastAsia"/>
          <w:sz w:val="28"/>
          <w:szCs w:val="28"/>
          <w:rtl w:val="0"/>
          <w:lang w:val="en-US" w:eastAsia="zh-CN"/>
        </w:rPr>
        <w:t>发布。</w:t>
      </w:r>
    </w:p>
    <w:p w14:paraId="17D810A9">
      <w:pPr>
        <w:spacing w:line="360" w:lineRule="auto"/>
        <w:ind w:firstLine="560" w:firstLineChars="200"/>
        <w:rPr>
          <w:rFonts w:hint="eastAsia" w:asciiTheme="minorEastAsia" w:hAnsiTheme="minorEastAsia" w:eastAsiaTheme="minorEastAsia" w:cstheme="minorEastAsia"/>
          <w:sz w:val="28"/>
          <w:szCs w:val="28"/>
          <w:rtl w:val="0"/>
          <w:lang w:val="en-US" w:eastAsia="zh-CN"/>
        </w:rPr>
      </w:pPr>
      <w:r>
        <w:rPr>
          <w:rFonts w:hint="eastAsia" w:asciiTheme="minorEastAsia" w:hAnsiTheme="minorEastAsia" w:cstheme="minorEastAsia"/>
          <w:sz w:val="28"/>
          <w:szCs w:val="28"/>
          <w:rtl w:val="0"/>
          <w:lang w:val="en-US" w:eastAsia="zh-CN"/>
        </w:rPr>
        <w:t>4.1.5</w:t>
      </w:r>
      <w:r>
        <w:rPr>
          <w:rFonts w:hint="eastAsia" w:asciiTheme="minorEastAsia" w:hAnsiTheme="minorEastAsia" w:eastAsiaTheme="minorEastAsia" w:cstheme="minorEastAsia"/>
          <w:sz w:val="28"/>
          <w:szCs w:val="28"/>
          <w:rtl w:val="0"/>
          <w:lang w:val="en-US" w:eastAsia="zh-CN"/>
        </w:rPr>
        <w:t>按</w:t>
      </w:r>
      <w:r>
        <w:rPr>
          <w:rFonts w:hint="eastAsia" w:asciiTheme="minorEastAsia" w:hAnsiTheme="minorEastAsia" w:eastAsiaTheme="minorEastAsia" w:cstheme="minorEastAsia"/>
          <w:color w:val="auto"/>
          <w:sz w:val="28"/>
          <w:szCs w:val="28"/>
          <w:rtl w:val="0"/>
          <w:lang w:val="en-US" w:eastAsia="zh-CN"/>
        </w:rPr>
        <w:t>照</w:t>
      </w:r>
      <w:r>
        <w:rPr>
          <w:rFonts w:hint="eastAsia" w:asciiTheme="minorEastAsia" w:hAnsiTheme="minorEastAsia" w:cstheme="minorEastAsia"/>
          <w:color w:val="auto"/>
          <w:sz w:val="28"/>
          <w:szCs w:val="28"/>
          <w:rtl w:val="0"/>
          <w:lang w:val="en-US" w:eastAsia="zh-CN"/>
        </w:rPr>
        <w:t>玉溪通海供电局</w:t>
      </w:r>
      <w:r>
        <w:rPr>
          <w:rFonts w:hint="eastAsia" w:asciiTheme="minorEastAsia" w:hAnsiTheme="minorEastAsia" w:eastAsiaTheme="minorEastAsia" w:cstheme="minorEastAsia"/>
          <w:color w:val="auto"/>
          <w:sz w:val="28"/>
          <w:szCs w:val="28"/>
          <w:rtl w:val="0"/>
          <w:lang w:val="en-US" w:eastAsia="zh-CN"/>
        </w:rPr>
        <w:t>要求编</w:t>
      </w:r>
      <w:r>
        <w:rPr>
          <w:rFonts w:hint="eastAsia" w:asciiTheme="minorEastAsia" w:hAnsiTheme="minorEastAsia" w:eastAsiaTheme="minorEastAsia" w:cstheme="minorEastAsia"/>
          <w:sz w:val="28"/>
          <w:szCs w:val="28"/>
          <w:rtl w:val="0"/>
          <w:lang w:val="en-US" w:eastAsia="zh-CN"/>
        </w:rPr>
        <w:t>排并发布供电服务信息，对播出内容把关，并为宣传内容产生的社会影响负责</w:t>
      </w:r>
      <w:r>
        <w:rPr>
          <w:rFonts w:hint="eastAsia" w:asciiTheme="minorEastAsia" w:hAnsiTheme="minorEastAsia" w:cstheme="minorEastAsia"/>
          <w:sz w:val="28"/>
          <w:szCs w:val="28"/>
          <w:rtl w:val="0"/>
          <w:lang w:val="en-US" w:eastAsia="zh-CN"/>
        </w:rPr>
        <w:t>。</w:t>
      </w:r>
    </w:p>
    <w:p w14:paraId="5646504D">
      <w:pPr>
        <w:spacing w:line="360" w:lineRule="auto"/>
        <w:ind w:firstLine="560" w:firstLineChars="200"/>
        <w:rPr>
          <w:rFonts w:hint="eastAsia" w:asciiTheme="minorEastAsia" w:hAnsiTheme="minorEastAsia" w:eastAsiaTheme="minorEastAsia" w:cstheme="minorEastAsia"/>
          <w:sz w:val="28"/>
          <w:szCs w:val="28"/>
          <w:rtl w:val="0"/>
          <w:lang w:val="en-US" w:eastAsia="zh-CN"/>
        </w:rPr>
      </w:pPr>
      <w:r>
        <w:rPr>
          <w:rFonts w:hint="eastAsia" w:asciiTheme="minorEastAsia" w:hAnsiTheme="minorEastAsia" w:cstheme="minorEastAsia"/>
          <w:sz w:val="28"/>
          <w:szCs w:val="28"/>
          <w:rtl w:val="0"/>
          <w:lang w:val="en-US" w:eastAsia="zh-CN"/>
        </w:rPr>
        <w:t>4.1.6</w:t>
      </w:r>
      <w:r>
        <w:rPr>
          <w:rFonts w:hint="eastAsia" w:asciiTheme="minorEastAsia" w:hAnsiTheme="minorEastAsia" w:eastAsiaTheme="minorEastAsia" w:cstheme="minorEastAsia"/>
          <w:sz w:val="28"/>
          <w:szCs w:val="28"/>
          <w:rtl w:val="0"/>
          <w:lang w:val="en-US" w:eastAsia="zh-CN"/>
        </w:rPr>
        <w:t>公告宣传不侵犯他人肖像权、著作权、商标权、外观专利、企业名称（含企业字号、商号、标示）、字体、图片等合法、在先的知识产权、民事权利。</w:t>
      </w:r>
    </w:p>
    <w:p w14:paraId="2222BC01">
      <w:pPr>
        <w:spacing w:line="360" w:lineRule="auto"/>
        <w:ind w:firstLine="560" w:firstLineChars="200"/>
        <w:rPr>
          <w:rFonts w:hint="eastAsia" w:asciiTheme="minorEastAsia" w:hAnsiTheme="minorEastAsia" w:eastAsiaTheme="minorEastAsia" w:cstheme="minorEastAsia"/>
          <w:sz w:val="28"/>
          <w:szCs w:val="28"/>
          <w:rtl w:val="0"/>
          <w:lang w:val="en-US" w:eastAsia="zh-CN"/>
        </w:rPr>
      </w:pPr>
      <w:r>
        <w:rPr>
          <w:rFonts w:hint="eastAsia" w:asciiTheme="minorEastAsia" w:hAnsiTheme="minorEastAsia" w:cstheme="minorEastAsia"/>
          <w:sz w:val="28"/>
          <w:szCs w:val="28"/>
          <w:rtl w:val="0"/>
          <w:lang w:val="en-US" w:eastAsia="zh-CN"/>
        </w:rPr>
        <w:t>4.1.7</w:t>
      </w:r>
      <w:r>
        <w:rPr>
          <w:rFonts w:hint="eastAsia" w:asciiTheme="minorEastAsia" w:hAnsiTheme="minorEastAsia" w:eastAsiaTheme="minorEastAsia" w:cstheme="minorEastAsia"/>
          <w:sz w:val="28"/>
          <w:szCs w:val="28"/>
          <w:lang w:eastAsia="zh-CN"/>
        </w:rPr>
        <w:t>投标方</w:t>
      </w:r>
      <w:r>
        <w:rPr>
          <w:rFonts w:hint="eastAsia" w:asciiTheme="minorEastAsia" w:hAnsiTheme="minorEastAsia" w:eastAsiaTheme="minorEastAsia" w:cstheme="minorEastAsia"/>
          <w:sz w:val="28"/>
          <w:szCs w:val="28"/>
          <w:rtl w:val="0"/>
          <w:lang w:val="zh-TW" w:eastAsia="zh-TW"/>
        </w:rPr>
        <w:t>必须按时按质按量完成</w:t>
      </w:r>
      <w:r>
        <w:rPr>
          <w:rFonts w:hint="eastAsia" w:asciiTheme="minorEastAsia" w:hAnsiTheme="minorEastAsia" w:eastAsiaTheme="minorEastAsia" w:cstheme="minorEastAsia"/>
          <w:sz w:val="28"/>
          <w:szCs w:val="28"/>
          <w:rtl w:val="0"/>
          <w:lang w:val="en-US" w:eastAsia="zh-CN"/>
        </w:rPr>
        <w:t>受</w:t>
      </w:r>
      <w:r>
        <w:rPr>
          <w:rFonts w:hint="eastAsia" w:asciiTheme="minorEastAsia" w:hAnsiTheme="minorEastAsia" w:eastAsiaTheme="minorEastAsia" w:cstheme="minorEastAsia"/>
          <w:sz w:val="28"/>
          <w:szCs w:val="28"/>
          <w:rtl w:val="0"/>
          <w:lang w:val="zh-TW" w:eastAsia="zh-TW"/>
        </w:rPr>
        <w:t>委托</w:t>
      </w:r>
      <w:r>
        <w:rPr>
          <w:rFonts w:hint="eastAsia" w:asciiTheme="minorEastAsia" w:hAnsiTheme="minorEastAsia" w:eastAsiaTheme="minorEastAsia" w:cstheme="minorEastAsia"/>
          <w:sz w:val="28"/>
          <w:szCs w:val="28"/>
          <w:rtl w:val="0"/>
          <w:lang w:val="zh-TW" w:eastAsia="zh-CN"/>
        </w:rPr>
        <w:t>的</w:t>
      </w:r>
      <w:r>
        <w:rPr>
          <w:rFonts w:hint="eastAsia" w:asciiTheme="minorEastAsia" w:hAnsiTheme="minorEastAsia" w:eastAsiaTheme="minorEastAsia" w:cstheme="minorEastAsia"/>
          <w:sz w:val="28"/>
          <w:szCs w:val="28"/>
          <w:rtl w:val="0"/>
          <w:lang w:val="zh-TW" w:eastAsia="zh-TW"/>
        </w:rPr>
        <w:t>业务工作，</w:t>
      </w:r>
      <w:r>
        <w:rPr>
          <w:rFonts w:hint="eastAsia" w:asciiTheme="minorEastAsia" w:hAnsiTheme="minorEastAsia" w:eastAsiaTheme="minorEastAsia" w:cstheme="minorEastAsia"/>
          <w:sz w:val="28"/>
          <w:szCs w:val="28"/>
          <w:rtl w:val="0"/>
          <w:lang w:val="en-US" w:eastAsia="zh-CN"/>
        </w:rPr>
        <w:t>制作精良，发布及时，</w:t>
      </w:r>
      <w:r>
        <w:rPr>
          <w:rFonts w:hint="eastAsia" w:asciiTheme="minorEastAsia" w:hAnsiTheme="minorEastAsia" w:eastAsiaTheme="minorEastAsia" w:cstheme="minorEastAsia"/>
          <w:sz w:val="28"/>
          <w:szCs w:val="28"/>
          <w:rtl w:val="0"/>
          <w:lang w:val="zh-TW" w:eastAsia="zh-TW"/>
        </w:rPr>
        <w:t>不发生造成社会影响恶劣的服务事故、用户投诉事件。</w:t>
      </w:r>
    </w:p>
    <w:p w14:paraId="6F049D46">
      <w:pPr>
        <w:spacing w:line="360" w:lineRule="auto"/>
        <w:ind w:firstLine="560" w:firstLineChars="200"/>
        <w:rPr>
          <w:rFonts w:hint="eastAsia" w:ascii="宋体" w:hAnsi="宋体" w:eastAsia="宋体" w:cs="宋体"/>
          <w:b w:val="0"/>
          <w:bCs/>
          <w:sz w:val="28"/>
          <w:szCs w:val="28"/>
          <w:highlight w:val="none"/>
        </w:rPr>
      </w:pPr>
      <w:bookmarkStart w:id="17" w:name="_Toc18296_WPSOffice_Level2"/>
      <w:r>
        <w:rPr>
          <w:rFonts w:hint="eastAsia" w:ascii="黑体" w:hAnsi="黑体" w:eastAsia="黑体" w:cs="黑体"/>
          <w:b w:val="0"/>
          <w:bCs/>
          <w:sz w:val="28"/>
          <w:szCs w:val="28"/>
          <w:rtl w:val="0"/>
          <w:lang w:val="en-US" w:eastAsia="zh-CN"/>
        </w:rPr>
        <w:t>4.2 项目机构要求</w:t>
      </w:r>
      <w:bookmarkEnd w:id="17"/>
    </w:p>
    <w:p w14:paraId="5F887F90">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4.2.1</w:t>
      </w:r>
      <w:r>
        <w:rPr>
          <w:rFonts w:hint="eastAsia" w:ascii="宋体" w:hAnsi="宋体" w:eastAsia="宋体" w:cs="宋体"/>
          <w:sz w:val="28"/>
          <w:szCs w:val="28"/>
          <w:rtl w:val="0"/>
          <w:lang w:val="zh-TW" w:eastAsia="zh-TW"/>
        </w:rPr>
        <w:t>受托方</w:t>
      </w:r>
      <w:r>
        <w:rPr>
          <w:rFonts w:hint="eastAsia" w:ascii="宋体" w:hAnsi="宋体" w:eastAsia="宋体" w:cs="宋体"/>
          <w:sz w:val="28"/>
          <w:szCs w:val="28"/>
          <w:highlight w:val="none"/>
        </w:rPr>
        <w:t>应按照招标方要求配备服务团队，并设置</w:t>
      </w:r>
      <w:r>
        <w:rPr>
          <w:rFonts w:hint="eastAsia" w:ascii="宋体" w:hAnsi="宋体" w:eastAsia="宋体" w:cs="宋体"/>
          <w:sz w:val="28"/>
          <w:szCs w:val="28"/>
          <w:highlight w:val="none"/>
          <w:lang w:val="en-US" w:eastAsia="zh-CN"/>
        </w:rPr>
        <w:t>信息联络</w:t>
      </w:r>
      <w:r>
        <w:rPr>
          <w:rFonts w:hint="eastAsia" w:ascii="宋体" w:hAnsi="宋体" w:eastAsia="宋体" w:cs="宋体"/>
          <w:sz w:val="28"/>
          <w:szCs w:val="28"/>
          <w:highlight w:val="none"/>
        </w:rPr>
        <w:t>负责人。</w:t>
      </w:r>
    </w:p>
    <w:p w14:paraId="483DF9F0">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4.2.2</w:t>
      </w:r>
      <w:r>
        <w:rPr>
          <w:rFonts w:hint="eastAsia" w:ascii="宋体" w:hAnsi="宋体" w:eastAsia="宋体" w:cs="宋体"/>
          <w:sz w:val="28"/>
          <w:szCs w:val="28"/>
          <w:lang w:eastAsia="zh-CN"/>
        </w:rPr>
        <w:t>投标方</w:t>
      </w:r>
      <w:r>
        <w:rPr>
          <w:rFonts w:hint="eastAsia" w:ascii="宋体" w:hAnsi="宋体" w:eastAsia="宋体" w:cs="宋体"/>
          <w:sz w:val="28"/>
          <w:szCs w:val="28"/>
        </w:rPr>
        <w:t>必须加强对</w:t>
      </w:r>
      <w:r>
        <w:rPr>
          <w:rFonts w:hint="eastAsia" w:ascii="宋体" w:hAnsi="宋体" w:eastAsia="宋体" w:cs="宋体"/>
          <w:sz w:val="28"/>
          <w:szCs w:val="28"/>
          <w:highlight w:val="none"/>
          <w:lang w:val="en-US" w:eastAsia="zh-CN"/>
        </w:rPr>
        <w:t>信息联络</w:t>
      </w:r>
      <w:r>
        <w:rPr>
          <w:rFonts w:hint="eastAsia" w:ascii="宋体" w:hAnsi="宋体" w:eastAsia="宋体" w:cs="宋体"/>
          <w:sz w:val="28"/>
          <w:szCs w:val="28"/>
          <w:highlight w:val="none"/>
        </w:rPr>
        <w:t>负责人</w:t>
      </w:r>
      <w:r>
        <w:rPr>
          <w:rFonts w:hint="eastAsia" w:ascii="宋体" w:hAnsi="宋体" w:eastAsia="宋体" w:cs="宋体"/>
          <w:sz w:val="28"/>
          <w:szCs w:val="28"/>
        </w:rPr>
        <w:t>的管理，在服务期内不得随意更换项目负责人。</w:t>
      </w:r>
    </w:p>
    <w:p w14:paraId="2D07597D">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4.2.3在项目实施过程中，如遇</w:t>
      </w:r>
      <w:r>
        <w:rPr>
          <w:rFonts w:hint="eastAsia" w:ascii="宋体" w:hAnsi="宋体" w:eastAsia="宋体" w:cs="宋体"/>
          <w:sz w:val="28"/>
          <w:szCs w:val="28"/>
          <w:lang w:eastAsia="zh-CN"/>
        </w:rPr>
        <w:t>投标方</w:t>
      </w:r>
      <w:r>
        <w:rPr>
          <w:rFonts w:hint="eastAsia" w:ascii="宋体" w:hAnsi="宋体" w:eastAsia="宋体" w:cs="宋体"/>
          <w:sz w:val="28"/>
          <w:szCs w:val="28"/>
        </w:rPr>
        <w:t>确实无法按要求完成项目服务时，</w:t>
      </w:r>
      <w:r>
        <w:rPr>
          <w:rFonts w:hint="eastAsia" w:ascii="宋体" w:hAnsi="宋体" w:eastAsia="宋体" w:cs="宋体"/>
          <w:sz w:val="28"/>
          <w:szCs w:val="28"/>
          <w:lang w:eastAsia="zh-CN"/>
        </w:rPr>
        <w:t>投标方</w:t>
      </w:r>
      <w:r>
        <w:rPr>
          <w:rFonts w:hint="eastAsia" w:ascii="宋体" w:hAnsi="宋体" w:eastAsia="宋体" w:cs="宋体"/>
          <w:sz w:val="28"/>
          <w:szCs w:val="28"/>
        </w:rPr>
        <w:t>应按照招标方要求更换项目服务团队人员。</w:t>
      </w:r>
    </w:p>
    <w:p w14:paraId="25970EB3">
      <w:pPr>
        <w:spacing w:line="360" w:lineRule="auto"/>
        <w:ind w:firstLine="560" w:firstLineChars="200"/>
        <w:rPr>
          <w:rFonts w:hint="eastAsia" w:ascii="黑体" w:hAnsi="黑体" w:eastAsia="黑体" w:cs="黑体"/>
          <w:b w:val="0"/>
          <w:bCs/>
          <w:sz w:val="28"/>
          <w:szCs w:val="28"/>
          <w:rtl w:val="0"/>
          <w:lang w:val="en-US" w:eastAsia="zh-CN"/>
        </w:rPr>
      </w:pPr>
      <w:bookmarkStart w:id="18" w:name="_Toc20426_WPSOffice_Level2"/>
      <w:r>
        <w:rPr>
          <w:rFonts w:hint="eastAsia" w:ascii="黑体" w:hAnsi="黑体" w:eastAsia="黑体" w:cs="黑体"/>
          <w:b w:val="0"/>
          <w:bCs/>
          <w:sz w:val="28"/>
          <w:szCs w:val="28"/>
          <w:rtl w:val="0"/>
          <w:lang w:val="en-US" w:eastAsia="zh-CN"/>
        </w:rPr>
        <w:t>4.3 项目实施要求</w:t>
      </w:r>
      <w:bookmarkEnd w:id="18"/>
    </w:p>
    <w:p w14:paraId="1B7358F9">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4.3.1</w:t>
      </w:r>
      <w:r>
        <w:rPr>
          <w:rFonts w:hint="eastAsia" w:ascii="宋体" w:hAnsi="宋体" w:eastAsia="宋体" w:cs="宋体"/>
          <w:sz w:val="28"/>
          <w:szCs w:val="28"/>
          <w:lang w:eastAsia="zh-CN"/>
        </w:rPr>
        <w:t>投标方</w:t>
      </w:r>
      <w:r>
        <w:rPr>
          <w:rFonts w:hint="eastAsia" w:ascii="宋体" w:hAnsi="宋体" w:eastAsia="宋体" w:cs="宋体"/>
          <w:sz w:val="28"/>
          <w:szCs w:val="28"/>
        </w:rPr>
        <w:t>应按照招标方不同</w:t>
      </w:r>
      <w:r>
        <w:rPr>
          <w:rFonts w:hint="eastAsia" w:ascii="宋体" w:hAnsi="宋体" w:eastAsia="宋体" w:cs="宋体"/>
          <w:sz w:val="28"/>
          <w:szCs w:val="28"/>
          <w:lang w:val="en-US" w:eastAsia="zh-CN"/>
        </w:rPr>
        <w:t>信息发布</w:t>
      </w:r>
      <w:r>
        <w:rPr>
          <w:rFonts w:hint="eastAsia" w:ascii="宋体" w:hAnsi="宋体" w:eastAsia="宋体" w:cs="宋体"/>
          <w:sz w:val="28"/>
          <w:szCs w:val="28"/>
        </w:rPr>
        <w:t>需求提出完整的</w:t>
      </w:r>
      <w:r>
        <w:rPr>
          <w:rFonts w:hint="eastAsia" w:ascii="宋体" w:hAnsi="宋体" w:eastAsia="宋体" w:cs="宋体"/>
          <w:sz w:val="28"/>
          <w:szCs w:val="28"/>
          <w:lang w:val="en-US" w:eastAsia="zh-CN"/>
        </w:rPr>
        <w:t>发布</w:t>
      </w:r>
      <w:r>
        <w:rPr>
          <w:rFonts w:hint="eastAsia" w:ascii="宋体" w:hAnsi="宋体" w:eastAsia="宋体" w:cs="宋体"/>
          <w:sz w:val="28"/>
          <w:szCs w:val="28"/>
        </w:rPr>
        <w:t>计划，保证项目实施期间各项工作高效、有效运行。</w:t>
      </w:r>
    </w:p>
    <w:p w14:paraId="0DF292A6">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4.3.2</w:t>
      </w:r>
      <w:r>
        <w:rPr>
          <w:rFonts w:hint="eastAsia" w:ascii="宋体" w:hAnsi="宋体" w:eastAsia="宋体" w:cs="宋体"/>
          <w:sz w:val="28"/>
          <w:szCs w:val="28"/>
          <w:lang w:eastAsia="zh-CN"/>
        </w:rPr>
        <w:t>投标方</w:t>
      </w:r>
      <w:r>
        <w:rPr>
          <w:rFonts w:hint="eastAsia" w:ascii="宋体" w:hAnsi="宋体" w:eastAsia="宋体" w:cs="宋体"/>
          <w:sz w:val="28"/>
          <w:szCs w:val="28"/>
        </w:rPr>
        <w:t>在签订项目合同后即开始项目工作，并能提供资源确保后续项目工作按计划推进。</w:t>
      </w:r>
    </w:p>
    <w:p w14:paraId="4FB1C98E">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4.3.3</w:t>
      </w:r>
      <w:r>
        <w:rPr>
          <w:rFonts w:hint="eastAsia" w:ascii="宋体" w:hAnsi="宋体" w:eastAsia="宋体" w:cs="宋体"/>
          <w:sz w:val="28"/>
          <w:szCs w:val="28"/>
          <w:lang w:eastAsia="zh-CN"/>
        </w:rPr>
        <w:t>投标方</w:t>
      </w:r>
      <w:r>
        <w:rPr>
          <w:rFonts w:hint="eastAsia" w:ascii="宋体" w:hAnsi="宋体" w:eastAsia="宋体" w:cs="宋体"/>
          <w:sz w:val="28"/>
          <w:szCs w:val="28"/>
        </w:rPr>
        <w:t>严格按照其投标承诺及双方商务谈判结果来签署和履行合同。若</w:t>
      </w:r>
      <w:r>
        <w:rPr>
          <w:rFonts w:hint="eastAsia" w:ascii="宋体" w:hAnsi="宋体" w:eastAsia="宋体" w:cs="宋体"/>
          <w:sz w:val="28"/>
          <w:szCs w:val="28"/>
          <w:lang w:eastAsia="zh-CN"/>
        </w:rPr>
        <w:t>投标方</w:t>
      </w:r>
      <w:r>
        <w:rPr>
          <w:rFonts w:hint="eastAsia" w:ascii="宋体" w:hAnsi="宋体" w:eastAsia="宋体" w:cs="宋体"/>
          <w:sz w:val="28"/>
          <w:szCs w:val="28"/>
        </w:rPr>
        <w:t>在合同签署过程中提出超出其投标承诺及双方商务谈判结果范围的其它要求，招标方有权拒绝接受；同时，招标方有权认为</w:t>
      </w:r>
      <w:r>
        <w:rPr>
          <w:rFonts w:hint="eastAsia" w:ascii="宋体" w:hAnsi="宋体" w:eastAsia="宋体" w:cs="宋体"/>
          <w:sz w:val="28"/>
          <w:szCs w:val="28"/>
          <w:lang w:eastAsia="zh-CN"/>
        </w:rPr>
        <w:t>投标方</w:t>
      </w:r>
      <w:r>
        <w:rPr>
          <w:rFonts w:hint="eastAsia" w:ascii="宋体" w:hAnsi="宋体" w:eastAsia="宋体" w:cs="宋体"/>
          <w:sz w:val="28"/>
          <w:szCs w:val="28"/>
        </w:rPr>
        <w:t>企图跳标，将取消其中标资格。</w:t>
      </w:r>
    </w:p>
    <w:p w14:paraId="1749843D">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4.3.4</w:t>
      </w:r>
      <w:r>
        <w:rPr>
          <w:rFonts w:hint="eastAsia" w:ascii="宋体" w:hAnsi="宋体" w:eastAsia="宋体" w:cs="宋体"/>
          <w:sz w:val="28"/>
          <w:szCs w:val="28"/>
          <w:lang w:eastAsia="zh-CN"/>
        </w:rPr>
        <w:t>投标方</w:t>
      </w:r>
      <w:r>
        <w:rPr>
          <w:rFonts w:hint="eastAsia" w:ascii="宋体" w:hAnsi="宋体" w:eastAsia="宋体" w:cs="宋体"/>
          <w:sz w:val="28"/>
          <w:szCs w:val="28"/>
        </w:rPr>
        <w:t>提供的封装必须符合国家相关的环保与安全标准。</w:t>
      </w:r>
    </w:p>
    <w:p w14:paraId="3CEAF1E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4.3.5</w:t>
      </w:r>
      <w:r>
        <w:rPr>
          <w:rFonts w:hint="eastAsia" w:ascii="宋体" w:hAnsi="宋体" w:eastAsia="宋体" w:cs="宋体"/>
          <w:sz w:val="28"/>
          <w:szCs w:val="28"/>
          <w:lang w:eastAsia="zh-CN"/>
        </w:rPr>
        <w:t>投标方</w:t>
      </w:r>
      <w:r>
        <w:rPr>
          <w:rFonts w:hint="eastAsia" w:ascii="宋体" w:hAnsi="宋体" w:eastAsia="宋体" w:cs="宋体"/>
          <w:sz w:val="28"/>
          <w:szCs w:val="28"/>
        </w:rPr>
        <w:t>应确保项目履行期间不发生因乙方原因导致的</w:t>
      </w:r>
      <w:r>
        <w:rPr>
          <w:rFonts w:hint="eastAsia" w:ascii="宋体" w:hAnsi="宋体" w:eastAsia="宋体" w:cs="宋体"/>
          <w:sz w:val="28"/>
          <w:szCs w:val="28"/>
          <w:lang w:val="en-US" w:eastAsia="zh-CN"/>
        </w:rPr>
        <w:t>投诉</w:t>
      </w:r>
      <w:r>
        <w:rPr>
          <w:rFonts w:hint="eastAsia" w:ascii="宋体" w:hAnsi="宋体" w:eastAsia="宋体" w:cs="宋体"/>
          <w:sz w:val="28"/>
          <w:szCs w:val="28"/>
        </w:rPr>
        <w:t>服务事件。</w:t>
      </w:r>
    </w:p>
    <w:p w14:paraId="48BCA5F2">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4.3.6 </w:t>
      </w:r>
      <w:r>
        <w:rPr>
          <w:rFonts w:hint="eastAsia" w:ascii="宋体" w:hAnsi="宋体" w:eastAsia="宋体" w:cs="宋体"/>
          <w:sz w:val="28"/>
          <w:szCs w:val="28"/>
          <w:lang w:eastAsia="zh-CN"/>
        </w:rPr>
        <w:t>投标方</w:t>
      </w:r>
      <w:r>
        <w:rPr>
          <w:rFonts w:hint="eastAsia" w:ascii="宋体" w:hAnsi="宋体" w:eastAsia="宋体" w:cs="宋体"/>
          <w:sz w:val="28"/>
          <w:szCs w:val="28"/>
        </w:rPr>
        <w:t>小组人员应根据招标方需要保证工作及时完成，若发生特殊情况不能按期派送，须及时通知招标方，须在派送前2天通知。招标方在工作中如发现问题，立即函、电</w:t>
      </w:r>
      <w:r>
        <w:rPr>
          <w:rFonts w:hint="eastAsia" w:ascii="宋体" w:hAnsi="宋体" w:eastAsia="宋体" w:cs="宋体"/>
          <w:sz w:val="28"/>
          <w:szCs w:val="28"/>
          <w:lang w:eastAsia="zh-CN"/>
        </w:rPr>
        <w:t>投标方</w:t>
      </w:r>
      <w:r>
        <w:rPr>
          <w:rFonts w:hint="eastAsia" w:ascii="宋体" w:hAnsi="宋体" w:eastAsia="宋体" w:cs="宋体"/>
          <w:sz w:val="28"/>
          <w:szCs w:val="28"/>
        </w:rPr>
        <w:t>，</w:t>
      </w:r>
      <w:r>
        <w:rPr>
          <w:rFonts w:hint="eastAsia" w:ascii="宋体" w:hAnsi="宋体" w:eastAsia="宋体" w:cs="宋体"/>
          <w:sz w:val="28"/>
          <w:szCs w:val="28"/>
          <w:lang w:eastAsia="zh-CN"/>
        </w:rPr>
        <w:t>投标方</w:t>
      </w:r>
      <w:r>
        <w:rPr>
          <w:rFonts w:hint="eastAsia" w:ascii="宋体" w:hAnsi="宋体" w:eastAsia="宋体" w:cs="宋体"/>
          <w:sz w:val="28"/>
          <w:szCs w:val="28"/>
        </w:rPr>
        <w:t>收到函、电后应及时调整，对招标方提出的需求作出及时响应并及时协助解决。</w:t>
      </w:r>
    </w:p>
    <w:p w14:paraId="667180DC">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4.3.</w:t>
      </w:r>
      <w:r>
        <w:rPr>
          <w:rFonts w:hint="eastAsia" w:ascii="宋体" w:hAnsi="宋体" w:eastAsia="宋体" w:cs="宋体"/>
          <w:sz w:val="28"/>
          <w:szCs w:val="28"/>
          <w:lang w:val="en-US" w:eastAsia="zh-CN"/>
        </w:rPr>
        <w:t>7</w:t>
      </w:r>
      <w:r>
        <w:rPr>
          <w:rFonts w:hint="eastAsia" w:ascii="宋体" w:hAnsi="宋体" w:eastAsia="宋体" w:cs="宋体"/>
          <w:sz w:val="28"/>
          <w:szCs w:val="28"/>
          <w:lang w:eastAsia="zh-CN"/>
        </w:rPr>
        <w:t>投标方</w:t>
      </w:r>
      <w:r>
        <w:rPr>
          <w:rFonts w:hint="eastAsia" w:ascii="宋体" w:hAnsi="宋体" w:eastAsia="宋体" w:cs="宋体"/>
          <w:sz w:val="28"/>
          <w:szCs w:val="28"/>
        </w:rPr>
        <w:t>应根据竞争环境、招标方客户群体特点，依据派送经验向招标方提出合理化派送建议。</w:t>
      </w:r>
    </w:p>
    <w:p w14:paraId="4FC916EC">
      <w:pPr>
        <w:spacing w:line="360" w:lineRule="auto"/>
        <w:ind w:firstLine="560" w:firstLineChars="200"/>
        <w:rPr>
          <w:rFonts w:hint="eastAsia" w:ascii="黑体" w:hAnsi="黑体" w:eastAsia="黑体" w:cs="黑体"/>
          <w:b w:val="0"/>
          <w:bCs/>
          <w:sz w:val="28"/>
          <w:szCs w:val="28"/>
          <w:rtl w:val="0"/>
          <w:lang w:val="en-US" w:eastAsia="zh-CN"/>
        </w:rPr>
      </w:pPr>
      <w:bookmarkStart w:id="19" w:name="_Toc27282_WPSOffice_Level2"/>
      <w:r>
        <w:rPr>
          <w:rFonts w:hint="eastAsia" w:ascii="黑体" w:hAnsi="黑体" w:eastAsia="黑体" w:cs="黑体"/>
          <w:b w:val="0"/>
          <w:bCs/>
          <w:sz w:val="28"/>
          <w:szCs w:val="28"/>
          <w:rtl w:val="0"/>
          <w:lang w:val="en-US" w:eastAsia="zh-CN"/>
        </w:rPr>
        <w:t>4.4项目验收要求</w:t>
      </w:r>
      <w:bookmarkEnd w:id="19"/>
    </w:p>
    <w:p w14:paraId="3F360E96">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4.4.1在项目前期准备阶段和项目实施阶段，</w:t>
      </w:r>
      <w:r>
        <w:rPr>
          <w:rFonts w:hint="eastAsia" w:ascii="宋体" w:hAnsi="宋体" w:eastAsia="宋体" w:cs="宋体"/>
          <w:sz w:val="28"/>
          <w:szCs w:val="28"/>
          <w:lang w:eastAsia="zh-CN"/>
        </w:rPr>
        <w:t>投标方</w:t>
      </w:r>
      <w:r>
        <w:rPr>
          <w:rFonts w:hint="eastAsia" w:ascii="宋体" w:hAnsi="宋体" w:eastAsia="宋体" w:cs="宋体"/>
          <w:sz w:val="28"/>
          <w:szCs w:val="28"/>
        </w:rPr>
        <w:t>应投入足够的人力资源及技术力量，完全负责地进行项目实施工作，直至项目完全达到预定要求，保证项目的顺利完成。</w:t>
      </w:r>
    </w:p>
    <w:p w14:paraId="4CFAA69C">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4.4.2</w:t>
      </w:r>
      <w:r>
        <w:rPr>
          <w:rFonts w:hint="eastAsia" w:ascii="宋体" w:hAnsi="宋体" w:eastAsia="宋体" w:cs="宋体"/>
          <w:sz w:val="28"/>
          <w:szCs w:val="28"/>
          <w:lang w:eastAsia="zh-CN"/>
        </w:rPr>
        <w:t>投标方</w:t>
      </w:r>
      <w:r>
        <w:rPr>
          <w:rFonts w:hint="eastAsia" w:ascii="宋体" w:hAnsi="宋体" w:eastAsia="宋体" w:cs="宋体"/>
          <w:sz w:val="28"/>
          <w:szCs w:val="28"/>
        </w:rPr>
        <w:t>在验收前需按要求提交符合招标方要求派送记录，经验收合格后，项目方可验收成功。</w:t>
      </w:r>
    </w:p>
    <w:p w14:paraId="50D4EBB0">
      <w:pPr>
        <w:spacing w:line="360" w:lineRule="auto"/>
        <w:ind w:firstLine="560" w:firstLineChars="200"/>
        <w:rPr>
          <w:rFonts w:hint="eastAsia" w:ascii="黑体" w:hAnsi="黑体" w:eastAsia="黑体" w:cs="黑体"/>
          <w:b w:val="0"/>
          <w:bCs/>
          <w:sz w:val="28"/>
          <w:szCs w:val="28"/>
          <w:rtl w:val="0"/>
          <w:lang w:val="en-US" w:eastAsia="zh-CN"/>
        </w:rPr>
      </w:pPr>
      <w:bookmarkStart w:id="20" w:name="_Toc13100_WPSOffice_Level2"/>
      <w:r>
        <w:rPr>
          <w:rFonts w:hint="eastAsia" w:ascii="黑体" w:hAnsi="黑体" w:eastAsia="黑体" w:cs="黑体"/>
          <w:b w:val="0"/>
          <w:bCs/>
          <w:sz w:val="28"/>
          <w:szCs w:val="28"/>
          <w:rtl w:val="0"/>
          <w:lang w:val="en-US" w:eastAsia="zh-CN"/>
        </w:rPr>
        <w:t>4.5其他要求</w:t>
      </w:r>
      <w:bookmarkEnd w:id="20"/>
    </w:p>
    <w:p w14:paraId="15993FE3">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4.5.1 </w:t>
      </w:r>
      <w:r>
        <w:rPr>
          <w:rFonts w:hint="eastAsia" w:ascii="宋体" w:hAnsi="宋体" w:eastAsia="宋体" w:cs="宋体"/>
          <w:sz w:val="28"/>
          <w:szCs w:val="28"/>
          <w:lang w:eastAsia="zh-CN"/>
        </w:rPr>
        <w:t>投标方</w:t>
      </w:r>
      <w:r>
        <w:rPr>
          <w:rFonts w:hint="eastAsia" w:ascii="宋体" w:hAnsi="宋体" w:eastAsia="宋体" w:cs="宋体"/>
          <w:sz w:val="28"/>
          <w:szCs w:val="28"/>
        </w:rPr>
        <w:t>应严格履行合作协议范围内的工作项目。由于</w:t>
      </w:r>
      <w:r>
        <w:rPr>
          <w:rFonts w:hint="eastAsia" w:ascii="宋体" w:hAnsi="宋体" w:eastAsia="宋体" w:cs="宋体"/>
          <w:sz w:val="28"/>
          <w:szCs w:val="28"/>
          <w:lang w:eastAsia="zh-CN"/>
        </w:rPr>
        <w:t>投标方</w:t>
      </w:r>
      <w:r>
        <w:rPr>
          <w:rFonts w:hint="eastAsia" w:ascii="宋体" w:hAnsi="宋体" w:eastAsia="宋体" w:cs="宋体"/>
          <w:sz w:val="28"/>
          <w:szCs w:val="28"/>
        </w:rPr>
        <w:t>的失误造成招标方损失的，</w:t>
      </w:r>
      <w:r>
        <w:rPr>
          <w:rFonts w:hint="eastAsia" w:ascii="宋体" w:hAnsi="宋体" w:eastAsia="宋体" w:cs="宋体"/>
          <w:sz w:val="28"/>
          <w:szCs w:val="28"/>
          <w:lang w:eastAsia="zh-CN"/>
        </w:rPr>
        <w:t>投标方</w:t>
      </w:r>
      <w:r>
        <w:rPr>
          <w:rFonts w:hint="eastAsia" w:ascii="宋体" w:hAnsi="宋体" w:eastAsia="宋体" w:cs="宋体"/>
          <w:sz w:val="28"/>
          <w:szCs w:val="28"/>
        </w:rPr>
        <w:t>应根据合作协议的相关条款承担相应责任；</w:t>
      </w:r>
      <w:r>
        <w:rPr>
          <w:rFonts w:hint="eastAsia" w:ascii="宋体" w:hAnsi="宋体" w:eastAsia="宋体" w:cs="宋体"/>
          <w:sz w:val="28"/>
          <w:szCs w:val="28"/>
          <w:lang w:eastAsia="zh-CN"/>
        </w:rPr>
        <w:t>投标方</w:t>
      </w:r>
      <w:r>
        <w:rPr>
          <w:rFonts w:hint="eastAsia" w:ascii="宋体" w:hAnsi="宋体" w:eastAsia="宋体" w:cs="宋体"/>
          <w:sz w:val="28"/>
          <w:szCs w:val="28"/>
        </w:rPr>
        <w:t>除负责采取补救措施，还应自行承担因采取补救而发生的费用，具体服务要求以招标方与</w:t>
      </w:r>
      <w:r>
        <w:rPr>
          <w:rFonts w:hint="eastAsia" w:ascii="宋体" w:hAnsi="宋体" w:eastAsia="宋体" w:cs="宋体"/>
          <w:sz w:val="28"/>
          <w:szCs w:val="28"/>
          <w:lang w:eastAsia="zh-CN"/>
        </w:rPr>
        <w:t>投标方</w:t>
      </w:r>
      <w:r>
        <w:rPr>
          <w:rFonts w:hint="eastAsia" w:ascii="宋体" w:hAnsi="宋体" w:eastAsia="宋体" w:cs="宋体"/>
          <w:sz w:val="28"/>
          <w:szCs w:val="28"/>
        </w:rPr>
        <w:t>签订的合同、补充协议为准。</w:t>
      </w:r>
      <w:r>
        <w:rPr>
          <w:rFonts w:hint="eastAsia" w:ascii="宋体" w:hAnsi="宋体" w:eastAsia="宋体" w:cs="宋体"/>
          <w:sz w:val="28"/>
          <w:szCs w:val="28"/>
          <w:lang w:eastAsia="zh-CN"/>
        </w:rPr>
        <w:t>投标方</w:t>
      </w:r>
      <w:r>
        <w:rPr>
          <w:rFonts w:hint="eastAsia" w:ascii="宋体" w:hAnsi="宋体" w:eastAsia="宋体" w:cs="宋体"/>
          <w:sz w:val="28"/>
          <w:szCs w:val="28"/>
        </w:rPr>
        <w:t>违反合同约定的各项服务要求，均须承担相应的违约责任或损害赔偿责任。</w:t>
      </w:r>
    </w:p>
    <w:p w14:paraId="17201E45">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4.5.2 合作期间，在不触犯法律的情况下，</w:t>
      </w:r>
      <w:r>
        <w:rPr>
          <w:rFonts w:hint="eastAsia" w:ascii="宋体" w:hAnsi="宋体" w:eastAsia="宋体" w:cs="宋体"/>
          <w:sz w:val="28"/>
          <w:szCs w:val="28"/>
          <w:lang w:eastAsia="zh-CN"/>
        </w:rPr>
        <w:t>投标方</w:t>
      </w:r>
      <w:r>
        <w:rPr>
          <w:rFonts w:hint="eastAsia" w:ascii="宋体" w:hAnsi="宋体" w:eastAsia="宋体" w:cs="宋体"/>
          <w:sz w:val="28"/>
          <w:szCs w:val="28"/>
        </w:rPr>
        <w:t>须做到对招标方形象的保护和支持。</w:t>
      </w:r>
    </w:p>
    <w:p w14:paraId="33AAC07C">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4.5.3 </w:t>
      </w:r>
      <w:r>
        <w:rPr>
          <w:rFonts w:hint="eastAsia" w:ascii="宋体" w:hAnsi="宋体" w:eastAsia="宋体" w:cs="宋体"/>
          <w:sz w:val="28"/>
          <w:szCs w:val="28"/>
          <w:lang w:eastAsia="zh-CN"/>
        </w:rPr>
        <w:t>投标方</w:t>
      </w:r>
      <w:r>
        <w:rPr>
          <w:rFonts w:hint="eastAsia" w:ascii="宋体" w:hAnsi="宋体" w:eastAsia="宋体" w:cs="宋体"/>
          <w:sz w:val="28"/>
          <w:szCs w:val="28"/>
        </w:rPr>
        <w:t>必须具备突发问题的应急和故障处置能力，如</w:t>
      </w:r>
      <w:r>
        <w:rPr>
          <w:rFonts w:hint="eastAsia" w:ascii="宋体" w:hAnsi="宋体" w:eastAsia="宋体" w:cs="宋体"/>
          <w:sz w:val="28"/>
          <w:szCs w:val="28"/>
          <w:lang w:eastAsia="zh-CN"/>
        </w:rPr>
        <w:t>投标方</w:t>
      </w:r>
      <w:r>
        <w:rPr>
          <w:rFonts w:hint="eastAsia" w:ascii="宋体" w:hAnsi="宋体" w:eastAsia="宋体" w:cs="宋体"/>
          <w:sz w:val="28"/>
          <w:szCs w:val="28"/>
        </w:rPr>
        <w:t>不具备相应能力的，甲方有权中止项目合同。</w:t>
      </w:r>
    </w:p>
    <w:p w14:paraId="6EE9BA07">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4.5.4</w:t>
      </w:r>
      <w:r>
        <w:rPr>
          <w:rFonts w:hint="eastAsia" w:ascii="宋体" w:hAnsi="宋体" w:eastAsia="宋体" w:cs="宋体"/>
          <w:sz w:val="28"/>
          <w:szCs w:val="28"/>
          <w:lang w:eastAsia="zh-CN"/>
        </w:rPr>
        <w:t>投标方</w:t>
      </w:r>
      <w:r>
        <w:rPr>
          <w:rFonts w:hint="eastAsia" w:ascii="宋体" w:hAnsi="宋体" w:eastAsia="宋体" w:cs="宋体"/>
          <w:sz w:val="28"/>
          <w:szCs w:val="28"/>
        </w:rPr>
        <w:t>在收到本技术条件书后，应根据此技术条件书提出相应的建议，建议应满足本技术条件书的要求和相关技术规范的最新版本，如有不符合之处，需提出充分理由并加以详尽说明。</w:t>
      </w:r>
    </w:p>
    <w:p w14:paraId="3620EBD9">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4.5.5当招标方有新建议，而本技术条件书又尚未包括或和本技术条件书不符时，则应符合招标方新建议的要求；对于招标方尚未有标准的，而本技术条件书又未提及的部分，</w:t>
      </w:r>
      <w:r>
        <w:rPr>
          <w:rFonts w:hint="eastAsia" w:ascii="宋体" w:hAnsi="宋体" w:eastAsia="宋体" w:cs="宋体"/>
          <w:sz w:val="28"/>
          <w:szCs w:val="28"/>
          <w:lang w:eastAsia="zh-CN"/>
        </w:rPr>
        <w:t>投标方</w:t>
      </w:r>
      <w:r>
        <w:rPr>
          <w:rFonts w:hint="eastAsia" w:ascii="宋体" w:hAnsi="宋体" w:eastAsia="宋体" w:cs="宋体"/>
          <w:sz w:val="28"/>
          <w:szCs w:val="28"/>
        </w:rPr>
        <w:t>提出其标准，留待双方认可后执行。</w:t>
      </w:r>
    </w:p>
    <w:p w14:paraId="034D521C">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4.5.6因</w:t>
      </w:r>
      <w:r>
        <w:rPr>
          <w:rFonts w:hint="eastAsia" w:ascii="宋体" w:hAnsi="宋体" w:eastAsia="宋体" w:cs="宋体"/>
          <w:sz w:val="28"/>
          <w:szCs w:val="28"/>
          <w:lang w:eastAsia="zh-CN"/>
        </w:rPr>
        <w:t>投标方</w:t>
      </w:r>
      <w:r>
        <w:rPr>
          <w:rFonts w:hint="eastAsia" w:ascii="宋体" w:hAnsi="宋体" w:eastAsia="宋体" w:cs="宋体"/>
          <w:sz w:val="28"/>
          <w:szCs w:val="28"/>
        </w:rPr>
        <w:t>原因造成的工期延误，由</w:t>
      </w:r>
      <w:r>
        <w:rPr>
          <w:rFonts w:hint="eastAsia" w:ascii="宋体" w:hAnsi="宋体" w:eastAsia="宋体" w:cs="宋体"/>
          <w:sz w:val="28"/>
          <w:szCs w:val="28"/>
          <w:lang w:eastAsia="zh-CN"/>
        </w:rPr>
        <w:t>投标方</w:t>
      </w:r>
      <w:r>
        <w:rPr>
          <w:rFonts w:hint="eastAsia" w:ascii="宋体" w:hAnsi="宋体" w:eastAsia="宋体" w:cs="宋体"/>
          <w:sz w:val="28"/>
          <w:szCs w:val="28"/>
        </w:rPr>
        <w:t>赔偿招标方的损失。</w:t>
      </w:r>
    </w:p>
    <w:p w14:paraId="797CA65B">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4.5.7</w:t>
      </w:r>
      <w:r>
        <w:rPr>
          <w:rFonts w:hint="eastAsia" w:ascii="宋体" w:hAnsi="宋体" w:eastAsia="宋体" w:cs="宋体"/>
          <w:sz w:val="28"/>
          <w:szCs w:val="28"/>
        </w:rPr>
        <w:t>招标方将根据实际投放量进行统计，并提交正式签证单作为结算依据，</w:t>
      </w:r>
      <w:r>
        <w:rPr>
          <w:rFonts w:hint="eastAsia" w:ascii="宋体" w:hAnsi="宋体" w:eastAsia="宋体" w:cs="宋体"/>
          <w:sz w:val="28"/>
          <w:szCs w:val="28"/>
          <w:lang w:eastAsia="zh-CN"/>
        </w:rPr>
        <w:t>投标方</w:t>
      </w:r>
      <w:r>
        <w:rPr>
          <w:rFonts w:hint="eastAsia" w:ascii="宋体" w:hAnsi="宋体" w:eastAsia="宋体" w:cs="宋体"/>
          <w:sz w:val="28"/>
          <w:szCs w:val="28"/>
        </w:rPr>
        <w:t>开具符合财务、税务规定的票据后</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结算与合同签订为准</w:t>
      </w:r>
      <w:r>
        <w:rPr>
          <w:rFonts w:hint="eastAsia" w:ascii="宋体" w:hAnsi="宋体" w:eastAsia="宋体" w:cs="宋体"/>
          <w:sz w:val="28"/>
          <w:szCs w:val="28"/>
        </w:rPr>
        <w:t>。</w:t>
      </w:r>
    </w:p>
    <w:p w14:paraId="23A6DB64">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4.5.8 </w:t>
      </w:r>
      <w:r>
        <w:rPr>
          <w:rFonts w:hint="eastAsia" w:ascii="宋体" w:hAnsi="宋体" w:eastAsia="宋体" w:cs="宋体"/>
          <w:sz w:val="28"/>
          <w:szCs w:val="28"/>
          <w:lang w:eastAsia="zh-CN"/>
        </w:rPr>
        <w:t>投标方</w:t>
      </w:r>
      <w:r>
        <w:rPr>
          <w:rFonts w:hint="eastAsia" w:ascii="宋体" w:hAnsi="宋体" w:eastAsia="宋体" w:cs="宋体"/>
          <w:sz w:val="28"/>
          <w:szCs w:val="28"/>
        </w:rPr>
        <w:t>能满足招标方提出的付款条件与时间要求，在付款时间上具有灵活性</w:t>
      </w:r>
      <w:r>
        <w:rPr>
          <w:rFonts w:hint="eastAsia" w:ascii="宋体" w:hAnsi="宋体" w:eastAsia="宋体" w:cs="宋体"/>
          <w:sz w:val="28"/>
          <w:szCs w:val="28"/>
          <w:lang w:eastAsia="zh-CN"/>
        </w:rPr>
        <w:t>。</w:t>
      </w:r>
    </w:p>
    <w:p w14:paraId="0F233EF6">
      <w:pPr>
        <w:spacing w:line="360" w:lineRule="auto"/>
        <w:rPr>
          <w:rFonts w:ascii="宋体" w:hAnsi="宋体" w:cs="宋体"/>
        </w:rPr>
      </w:pPr>
    </w:p>
    <w:sectPr>
      <w:pgSz w:w="11906" w:h="16838"/>
      <w:pgMar w:top="1440" w:right="1800" w:bottom="1440" w:left="1800" w:header="720" w:footer="720"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B2837">
    <w:pPr>
      <w:jc w:val="center"/>
    </w:pPr>
    <w:r>
      <w:fldChar w:fldCharType="begin"/>
    </w:r>
    <w:r>
      <w:instrText xml:space="preserve">PAGE \* MERGEFORMAT</w:instrText>
    </w:r>
    <w:r>
      <w:fldChar w:fldCharType="separate"/>
    </w:r>
    <w:r>
      <w:t>7</w:t>
    </w:r>
    <w:r>
      <w:fldChar w:fldCharType="end"/>
    </w:r>
  </w:p>
  <w:p w14:paraId="3C89D2B0"/>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evenAndOddHeaders w:val="1"/>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YzI4NjljOWU2MTA5NzAyN2U0OTA1ZTE4OWY3ODQifQ=="/>
  </w:docVars>
  <w:rsids>
    <w:rsidRoot w:val="0089238C"/>
    <w:rsid w:val="00024679"/>
    <w:rsid w:val="0005617D"/>
    <w:rsid w:val="000D7C32"/>
    <w:rsid w:val="001245F8"/>
    <w:rsid w:val="00132FFC"/>
    <w:rsid w:val="00133F38"/>
    <w:rsid w:val="0014080C"/>
    <w:rsid w:val="00157F66"/>
    <w:rsid w:val="001644B8"/>
    <w:rsid w:val="00177EC6"/>
    <w:rsid w:val="001A5E5F"/>
    <w:rsid w:val="001A6F55"/>
    <w:rsid w:val="001C4F1F"/>
    <w:rsid w:val="00217516"/>
    <w:rsid w:val="00226066"/>
    <w:rsid w:val="00233B7E"/>
    <w:rsid w:val="00262C0A"/>
    <w:rsid w:val="00262F32"/>
    <w:rsid w:val="002B04C4"/>
    <w:rsid w:val="002D1A54"/>
    <w:rsid w:val="002D3C6F"/>
    <w:rsid w:val="002D7978"/>
    <w:rsid w:val="002E377B"/>
    <w:rsid w:val="002E69B7"/>
    <w:rsid w:val="0030761E"/>
    <w:rsid w:val="00323244"/>
    <w:rsid w:val="00326D3F"/>
    <w:rsid w:val="003348C4"/>
    <w:rsid w:val="003510FA"/>
    <w:rsid w:val="00387EFE"/>
    <w:rsid w:val="00410BCB"/>
    <w:rsid w:val="00423A25"/>
    <w:rsid w:val="004413E7"/>
    <w:rsid w:val="004B248A"/>
    <w:rsid w:val="00515010"/>
    <w:rsid w:val="00527206"/>
    <w:rsid w:val="0053146E"/>
    <w:rsid w:val="00533105"/>
    <w:rsid w:val="00535DF7"/>
    <w:rsid w:val="00551BEE"/>
    <w:rsid w:val="005549B5"/>
    <w:rsid w:val="00555A24"/>
    <w:rsid w:val="005C439A"/>
    <w:rsid w:val="0061717C"/>
    <w:rsid w:val="00625F6B"/>
    <w:rsid w:val="00634B50"/>
    <w:rsid w:val="0064426E"/>
    <w:rsid w:val="00646C39"/>
    <w:rsid w:val="00653617"/>
    <w:rsid w:val="0066744B"/>
    <w:rsid w:val="0068409C"/>
    <w:rsid w:val="006C10F8"/>
    <w:rsid w:val="0076759B"/>
    <w:rsid w:val="00777641"/>
    <w:rsid w:val="007B3BF7"/>
    <w:rsid w:val="007D7DE2"/>
    <w:rsid w:val="007E4BD3"/>
    <w:rsid w:val="007F3243"/>
    <w:rsid w:val="00801958"/>
    <w:rsid w:val="0081652E"/>
    <w:rsid w:val="00826F3F"/>
    <w:rsid w:val="00874CDE"/>
    <w:rsid w:val="0089238C"/>
    <w:rsid w:val="008B44BF"/>
    <w:rsid w:val="008F5FF7"/>
    <w:rsid w:val="00901842"/>
    <w:rsid w:val="00903EE4"/>
    <w:rsid w:val="0094091A"/>
    <w:rsid w:val="009C0659"/>
    <w:rsid w:val="00A32776"/>
    <w:rsid w:val="00A404B2"/>
    <w:rsid w:val="00A65F47"/>
    <w:rsid w:val="00A72FBF"/>
    <w:rsid w:val="00A7498C"/>
    <w:rsid w:val="00A91D0A"/>
    <w:rsid w:val="00AE62E2"/>
    <w:rsid w:val="00AF2480"/>
    <w:rsid w:val="00B070A9"/>
    <w:rsid w:val="00B35E16"/>
    <w:rsid w:val="00B40D7D"/>
    <w:rsid w:val="00B60D69"/>
    <w:rsid w:val="00BB0F19"/>
    <w:rsid w:val="00C277AA"/>
    <w:rsid w:val="00C42778"/>
    <w:rsid w:val="00C7006E"/>
    <w:rsid w:val="00C84DE8"/>
    <w:rsid w:val="00C947B2"/>
    <w:rsid w:val="00CB097E"/>
    <w:rsid w:val="00CD2E34"/>
    <w:rsid w:val="00D221A2"/>
    <w:rsid w:val="00D231DC"/>
    <w:rsid w:val="00D537BE"/>
    <w:rsid w:val="00D561ED"/>
    <w:rsid w:val="00D9242C"/>
    <w:rsid w:val="00D938E0"/>
    <w:rsid w:val="00D94C1F"/>
    <w:rsid w:val="00DB5556"/>
    <w:rsid w:val="00E16CF7"/>
    <w:rsid w:val="00E743F3"/>
    <w:rsid w:val="00ED0E82"/>
    <w:rsid w:val="00ED39BE"/>
    <w:rsid w:val="00F3680A"/>
    <w:rsid w:val="00F640E2"/>
    <w:rsid w:val="00FD0DD2"/>
    <w:rsid w:val="02523991"/>
    <w:rsid w:val="02682509"/>
    <w:rsid w:val="05110102"/>
    <w:rsid w:val="07174884"/>
    <w:rsid w:val="0773216D"/>
    <w:rsid w:val="08664450"/>
    <w:rsid w:val="0A1F0660"/>
    <w:rsid w:val="0AD3302E"/>
    <w:rsid w:val="0B5E347B"/>
    <w:rsid w:val="0B671116"/>
    <w:rsid w:val="0BAF09B1"/>
    <w:rsid w:val="0CF007D5"/>
    <w:rsid w:val="0F282CFF"/>
    <w:rsid w:val="10117F76"/>
    <w:rsid w:val="10DF70B6"/>
    <w:rsid w:val="11AF25C1"/>
    <w:rsid w:val="123A2611"/>
    <w:rsid w:val="13A740AF"/>
    <w:rsid w:val="13BA474F"/>
    <w:rsid w:val="15EF15C7"/>
    <w:rsid w:val="182021C7"/>
    <w:rsid w:val="19216242"/>
    <w:rsid w:val="19264A32"/>
    <w:rsid w:val="1988433F"/>
    <w:rsid w:val="1AF937E2"/>
    <w:rsid w:val="1B25218B"/>
    <w:rsid w:val="1B2A3AF2"/>
    <w:rsid w:val="1C0652B0"/>
    <w:rsid w:val="1E211633"/>
    <w:rsid w:val="1EE97E37"/>
    <w:rsid w:val="1F0C2E79"/>
    <w:rsid w:val="1F4C0DCE"/>
    <w:rsid w:val="2028248B"/>
    <w:rsid w:val="216370FE"/>
    <w:rsid w:val="216F18D1"/>
    <w:rsid w:val="22633F1C"/>
    <w:rsid w:val="22B97045"/>
    <w:rsid w:val="22E80192"/>
    <w:rsid w:val="22FD3113"/>
    <w:rsid w:val="24BA0EEC"/>
    <w:rsid w:val="27076B5B"/>
    <w:rsid w:val="270C7156"/>
    <w:rsid w:val="28301496"/>
    <w:rsid w:val="289B752E"/>
    <w:rsid w:val="28AA72AC"/>
    <w:rsid w:val="2A607C98"/>
    <w:rsid w:val="2AB527D9"/>
    <w:rsid w:val="2E287C63"/>
    <w:rsid w:val="2EDB61F1"/>
    <w:rsid w:val="302663EC"/>
    <w:rsid w:val="30311E04"/>
    <w:rsid w:val="328B7E03"/>
    <w:rsid w:val="32E1129B"/>
    <w:rsid w:val="36A50FB2"/>
    <w:rsid w:val="38301D93"/>
    <w:rsid w:val="38E71E22"/>
    <w:rsid w:val="39B82031"/>
    <w:rsid w:val="3CEC0482"/>
    <w:rsid w:val="3E342F93"/>
    <w:rsid w:val="3F474DEF"/>
    <w:rsid w:val="414B09AC"/>
    <w:rsid w:val="44E72381"/>
    <w:rsid w:val="45697CB8"/>
    <w:rsid w:val="46AA2F9F"/>
    <w:rsid w:val="477F0061"/>
    <w:rsid w:val="49CE62DF"/>
    <w:rsid w:val="4ADE2CC5"/>
    <w:rsid w:val="4B5B4A8B"/>
    <w:rsid w:val="4BFE5F0C"/>
    <w:rsid w:val="4E9B4196"/>
    <w:rsid w:val="4F5D5052"/>
    <w:rsid w:val="501764A0"/>
    <w:rsid w:val="50E440FD"/>
    <w:rsid w:val="51C958BC"/>
    <w:rsid w:val="52DA3DC1"/>
    <w:rsid w:val="561B61B0"/>
    <w:rsid w:val="565E772E"/>
    <w:rsid w:val="56EA26F7"/>
    <w:rsid w:val="571F0FCB"/>
    <w:rsid w:val="57B02734"/>
    <w:rsid w:val="57D36158"/>
    <w:rsid w:val="58C6791B"/>
    <w:rsid w:val="5A023BC1"/>
    <w:rsid w:val="5A91720B"/>
    <w:rsid w:val="5CA11BED"/>
    <w:rsid w:val="5E095A2E"/>
    <w:rsid w:val="5EBA552B"/>
    <w:rsid w:val="5F107571"/>
    <w:rsid w:val="60A46704"/>
    <w:rsid w:val="60F81710"/>
    <w:rsid w:val="61345EF0"/>
    <w:rsid w:val="61C77C1D"/>
    <w:rsid w:val="62A42D9B"/>
    <w:rsid w:val="62DE6038"/>
    <w:rsid w:val="62EC3112"/>
    <w:rsid w:val="62FF4544"/>
    <w:rsid w:val="63A71672"/>
    <w:rsid w:val="63AC5053"/>
    <w:rsid w:val="63F1728F"/>
    <w:rsid w:val="64F600E9"/>
    <w:rsid w:val="65272DD3"/>
    <w:rsid w:val="66CD329D"/>
    <w:rsid w:val="689E04D1"/>
    <w:rsid w:val="694002F9"/>
    <w:rsid w:val="6A8A23D9"/>
    <w:rsid w:val="6B657182"/>
    <w:rsid w:val="6BCD3F5D"/>
    <w:rsid w:val="6BF2118D"/>
    <w:rsid w:val="6CA06FA1"/>
    <w:rsid w:val="6D5B7D0F"/>
    <w:rsid w:val="6D866EBF"/>
    <w:rsid w:val="6E50576C"/>
    <w:rsid w:val="70C64B6C"/>
    <w:rsid w:val="71AA4DBC"/>
    <w:rsid w:val="71DD33DC"/>
    <w:rsid w:val="72F856EE"/>
    <w:rsid w:val="73E24699"/>
    <w:rsid w:val="75C84A54"/>
    <w:rsid w:val="75DF026F"/>
    <w:rsid w:val="773D6C09"/>
    <w:rsid w:val="776E31F9"/>
    <w:rsid w:val="77A036D4"/>
    <w:rsid w:val="79F14B0C"/>
    <w:rsid w:val="7AD5667F"/>
    <w:rsid w:val="7EB14C41"/>
    <w:rsid w:val="7EF66362"/>
    <w:rsid w:val="7F3B7609"/>
    <w:rsid w:val="7FA865F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4"/>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99"/>
    <w:pPr>
      <w:tabs>
        <w:tab w:val="left" w:pos="840"/>
      </w:tabs>
      <w:spacing w:line="360" w:lineRule="auto"/>
      <w:ind w:firstLine="420" w:firstLineChars="0"/>
    </w:pPr>
    <w:rPr>
      <w:rFonts w:cs="宋体"/>
      <w:kern w:val="0"/>
      <w:sz w:val="21"/>
      <w:lang w:val="zh-CN"/>
    </w:rPr>
  </w:style>
  <w:style w:type="paragraph" w:styleId="3">
    <w:name w:val="annotation text"/>
    <w:basedOn w:val="1"/>
    <w:link w:val="14"/>
    <w:unhideWhenUsed/>
    <w:qFormat/>
    <w:uiPriority w:val="99"/>
    <w:pPr>
      <w:jc w:val="left"/>
    </w:pPr>
  </w:style>
  <w:style w:type="paragraph" w:styleId="4">
    <w:name w:val="Balloon Text"/>
    <w:basedOn w:val="1"/>
    <w:link w:val="16"/>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5"/>
    <w:unhideWhenUsed/>
    <w:qFormat/>
    <w:uiPriority w:val="99"/>
    <w:rPr>
      <w:b/>
      <w:bCs/>
    </w:rPr>
  </w:style>
  <w:style w:type="character" w:styleId="10">
    <w:name w:val="annotation reference"/>
    <w:basedOn w:val="9"/>
    <w:unhideWhenUsed/>
    <w:qFormat/>
    <w:uiPriority w:val="99"/>
    <w:rPr>
      <w:sz w:val="21"/>
      <w:szCs w:val="21"/>
    </w:rPr>
  </w:style>
  <w:style w:type="paragraph" w:customStyle="1" w:styleId="11">
    <w:name w:val="列出段落1"/>
    <w:basedOn w:val="1"/>
    <w:qFormat/>
    <w:uiPriority w:val="34"/>
    <w:pPr>
      <w:ind w:firstLine="420" w:firstLineChars="200"/>
    </w:pPr>
  </w:style>
  <w:style w:type="character" w:customStyle="1" w:styleId="12">
    <w:name w:val="页眉 Char"/>
    <w:basedOn w:val="9"/>
    <w:link w:val="6"/>
    <w:semiHidden/>
    <w:qFormat/>
    <w:uiPriority w:val="99"/>
    <w:rPr>
      <w:sz w:val="18"/>
      <w:szCs w:val="18"/>
    </w:rPr>
  </w:style>
  <w:style w:type="character" w:customStyle="1" w:styleId="13">
    <w:name w:val="页脚 Char"/>
    <w:basedOn w:val="9"/>
    <w:link w:val="5"/>
    <w:semiHidden/>
    <w:qFormat/>
    <w:uiPriority w:val="99"/>
    <w:rPr>
      <w:sz w:val="18"/>
      <w:szCs w:val="18"/>
    </w:rPr>
  </w:style>
  <w:style w:type="character" w:customStyle="1" w:styleId="14">
    <w:name w:val="批注文字 Char"/>
    <w:basedOn w:val="9"/>
    <w:link w:val="3"/>
    <w:semiHidden/>
    <w:qFormat/>
    <w:uiPriority w:val="99"/>
  </w:style>
  <w:style w:type="character" w:customStyle="1" w:styleId="15">
    <w:name w:val="批注主题 Char"/>
    <w:basedOn w:val="14"/>
    <w:link w:val="7"/>
    <w:semiHidden/>
    <w:qFormat/>
    <w:uiPriority w:val="99"/>
    <w:rPr>
      <w:b/>
      <w:bCs/>
    </w:rPr>
  </w:style>
  <w:style w:type="character" w:customStyle="1" w:styleId="16">
    <w:name w:val="批注框文本 Char"/>
    <w:basedOn w:val="9"/>
    <w:link w:val="4"/>
    <w:semiHidden/>
    <w:qFormat/>
    <w:uiPriority w:val="99"/>
    <w:rPr>
      <w:sz w:val="18"/>
      <w:szCs w:val="18"/>
    </w:rPr>
  </w:style>
  <w:style w:type="paragraph" w:customStyle="1" w:styleId="17">
    <w:name w:val="gedi封面"/>
    <w:basedOn w:val="1"/>
    <w:qFormat/>
    <w:uiPriority w:val="0"/>
    <w:pPr>
      <w:jc w:val="both"/>
    </w:pPr>
  </w:style>
  <w:style w:type="paragraph" w:customStyle="1" w:styleId="18">
    <w:name w:val="WPSOffice手动目录 1"/>
    <w:qFormat/>
    <w:uiPriority w:val="0"/>
    <w:pPr>
      <w:ind w:leftChars="0"/>
    </w:pPr>
    <w:rPr>
      <w:rFonts w:asciiTheme="minorHAnsi" w:hAnsiTheme="minorHAnsi" w:eastAsiaTheme="minorEastAsia" w:cstheme="minorBidi"/>
      <w:sz w:val="20"/>
      <w:szCs w:val="20"/>
    </w:rPr>
  </w:style>
  <w:style w:type="paragraph" w:customStyle="1" w:styleId="19">
    <w:name w:val="WPSOffice手动目录 2"/>
    <w:qFormat/>
    <w:uiPriority w:val="0"/>
    <w:pPr>
      <w:ind w:leftChars="200"/>
    </w:pPr>
    <w:rPr>
      <w:rFonts w:asciiTheme="minorHAnsi" w:hAnsiTheme="minorHAnsi" w:eastAsiaTheme="minorEastAsia" w:cstheme="minorBidi"/>
      <w:sz w:val="20"/>
      <w:szCs w:val="20"/>
    </w:rPr>
  </w:style>
  <w:style w:type="paragraph" w:customStyle="1" w:styleId="20">
    <w:name w:val="正文 A"/>
    <w:qFormat/>
    <w:uiPriority w:val="0"/>
    <w:pPr>
      <w:keepNext w:val="0"/>
      <w:keepLines w:val="0"/>
      <w:pageBreakBefore w:val="0"/>
      <w:framePr w:wrap="around"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both"/>
      <w:outlineLvl w:val="9"/>
    </w:pPr>
    <w:rPr>
      <w:rFonts w:hint="eastAsia" w:ascii="Arial Unicode MS" w:hAnsi="Arial Unicode MS" w:eastAsia="Arial Unicode MS" w:cs="Arial Unicode MS"/>
      <w:color w:val="000000"/>
      <w:spacing w:val="0"/>
      <w:w w:val="100"/>
      <w:kern w:val="2"/>
      <w:position w:val="0"/>
      <w:sz w:val="21"/>
      <w:szCs w:val="21"/>
      <w:u w:val="none" w:color="000000"/>
      <w:vertAlign w:val="baseline"/>
      <w:lang w:val="en-US"/>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560182d-ab4f-4fe0-849e-25d6c7f89667}"/>
        <w:style w:val=""/>
        <w:category>
          <w:name w:val="常规"/>
          <w:gallery w:val="placeholder"/>
        </w:category>
        <w:types>
          <w:type w:val="bbPlcHdr"/>
        </w:types>
        <w:behaviors>
          <w:behavior w:val="content"/>
        </w:behaviors>
        <w:description w:val=""/>
        <w:guid w:val="{7560182d-ab4f-4fe0-849e-25d6c7f89667}"/>
      </w:docPartPr>
      <w:docPartBody>
        <w:p w14:paraId="3BBF801A">
          <w:r>
            <w:rPr>
              <w:color w:val="808080"/>
            </w:rPr>
            <w:t>单击此处输入文字。</w:t>
          </w:r>
        </w:p>
      </w:docPartBody>
    </w:docPart>
    <w:docPart>
      <w:docPartPr>
        <w:name w:val="{a0e603a5-e63c-4cbd-9105-333c6313f412}"/>
        <w:style w:val=""/>
        <w:category>
          <w:name w:val="常规"/>
          <w:gallery w:val="placeholder"/>
        </w:category>
        <w:types>
          <w:type w:val="bbPlcHdr"/>
        </w:types>
        <w:behaviors>
          <w:behavior w:val="content"/>
        </w:behaviors>
        <w:description w:val=""/>
        <w:guid w:val="{a0e603a5-e63c-4cbd-9105-333c6313f412}"/>
      </w:docPartPr>
      <w:docPartBody>
        <w:p w14:paraId="16922D70">
          <w:r>
            <w:rPr>
              <w:color w:val="808080"/>
            </w:rPr>
            <w:t>单击此处输入文字。</w:t>
          </w:r>
        </w:p>
      </w:docPartBody>
    </w:docPart>
    <w:docPart>
      <w:docPartPr>
        <w:name w:val="{860d7705-379e-45bd-92ba-e8732d5b18a6}"/>
        <w:style w:val=""/>
        <w:category>
          <w:name w:val="常规"/>
          <w:gallery w:val="placeholder"/>
        </w:category>
        <w:types>
          <w:type w:val="bbPlcHdr"/>
        </w:types>
        <w:behaviors>
          <w:behavior w:val="content"/>
        </w:behaviors>
        <w:description w:val=""/>
        <w:guid w:val="{860d7705-379e-45bd-92ba-e8732d5b18a6}"/>
      </w:docPartPr>
      <w:docPartBody>
        <w:p w14:paraId="1EBCEC8F">
          <w:r>
            <w:rPr>
              <w:color w:val="808080"/>
            </w:rPr>
            <w:t>单击此处输入文字。</w:t>
          </w:r>
        </w:p>
      </w:docPartBody>
    </w:docPart>
    <w:docPart>
      <w:docPartPr>
        <w:name w:val="{bfaa7d0d-5ab0-4f1a-a3d6-2ddae98331d1}"/>
        <w:style w:val=""/>
        <w:category>
          <w:name w:val="常规"/>
          <w:gallery w:val="placeholder"/>
        </w:category>
        <w:types>
          <w:type w:val="bbPlcHdr"/>
        </w:types>
        <w:behaviors>
          <w:behavior w:val="content"/>
        </w:behaviors>
        <w:description w:val=""/>
        <w:guid w:val="{bfaa7d0d-5ab0-4f1a-a3d6-2ddae98331d1}"/>
      </w:docPartPr>
      <w:docPartBody>
        <w:p w14:paraId="78A5FF91">
          <w:r>
            <w:rPr>
              <w:color w:val="808080"/>
            </w:rPr>
            <w:t>单击此处输入文字。</w:t>
          </w:r>
        </w:p>
      </w:docPartBody>
    </w:docPart>
    <w:docPart>
      <w:docPartPr>
        <w:name w:val="{1ce276a2-4d6e-40c5-946f-26733eaea893}"/>
        <w:style w:val=""/>
        <w:category>
          <w:name w:val="常规"/>
          <w:gallery w:val="placeholder"/>
        </w:category>
        <w:types>
          <w:type w:val="bbPlcHdr"/>
        </w:types>
        <w:behaviors>
          <w:behavior w:val="content"/>
        </w:behaviors>
        <w:description w:val=""/>
        <w:guid w:val="{1ce276a2-4d6e-40c5-946f-26733eaea893}"/>
      </w:docPartPr>
      <w:docPartBody>
        <w:p w14:paraId="50EB6495">
          <w:r>
            <w:rPr>
              <w:color w:val="808080"/>
            </w:rPr>
            <w:t>单击此处输入文字。</w:t>
          </w:r>
        </w:p>
      </w:docPartBody>
    </w:docPart>
    <w:docPart>
      <w:docPartPr>
        <w:name w:val="{04abb42d-ae55-4923-99ab-f258358128a2}"/>
        <w:style w:val=""/>
        <w:category>
          <w:name w:val="常规"/>
          <w:gallery w:val="placeholder"/>
        </w:category>
        <w:types>
          <w:type w:val="bbPlcHdr"/>
        </w:types>
        <w:behaviors>
          <w:behavior w:val="content"/>
        </w:behaviors>
        <w:description w:val=""/>
        <w:guid w:val="{04abb42d-ae55-4923-99ab-f258358128a2}"/>
      </w:docPartPr>
      <w:docPartBody>
        <w:p w14:paraId="57B3A0F7">
          <w:r>
            <w:rPr>
              <w:color w:val="808080"/>
            </w:rPr>
            <w:t>单击此处输入文字。</w:t>
          </w:r>
        </w:p>
      </w:docPartBody>
    </w:docPart>
    <w:docPart>
      <w:docPartPr>
        <w:name w:val="{cc89c555-5bb1-47af-aced-2907b9529830}"/>
        <w:style w:val=""/>
        <w:category>
          <w:name w:val="常规"/>
          <w:gallery w:val="placeholder"/>
        </w:category>
        <w:types>
          <w:type w:val="bbPlcHdr"/>
        </w:types>
        <w:behaviors>
          <w:behavior w:val="content"/>
        </w:behaviors>
        <w:description w:val=""/>
        <w:guid w:val="{cc89c555-5bb1-47af-aced-2907b9529830}"/>
      </w:docPartPr>
      <w:docPartBody>
        <w:p w14:paraId="590809BA">
          <w:r>
            <w:rPr>
              <w:color w:val="808080"/>
            </w:rPr>
            <w:t>单击此处输入文字。</w:t>
          </w:r>
        </w:p>
      </w:docPartBody>
    </w:docPart>
    <w:docPart>
      <w:docPartPr>
        <w:name w:val="{cc1294e6-147a-4850-936f-44741afcd3aa}"/>
        <w:style w:val=""/>
        <w:category>
          <w:name w:val="常规"/>
          <w:gallery w:val="placeholder"/>
        </w:category>
        <w:types>
          <w:type w:val="bbPlcHdr"/>
        </w:types>
        <w:behaviors>
          <w:behavior w:val="content"/>
        </w:behaviors>
        <w:description w:val=""/>
        <w:guid w:val="{cc1294e6-147a-4850-936f-44741afcd3aa}"/>
      </w:docPartPr>
      <w:docPartBody>
        <w:p w14:paraId="6B99799B">
          <w:r>
            <w:rPr>
              <w:color w:val="808080"/>
            </w:rPr>
            <w:t>单击此处输入文字。</w:t>
          </w:r>
        </w:p>
      </w:docPartBody>
    </w:docPart>
    <w:docPart>
      <w:docPartPr>
        <w:name w:val="{3e1c3f04-7e5f-4257-bfd2-5f07dfdea2ec}"/>
        <w:style w:val=""/>
        <w:category>
          <w:name w:val="常规"/>
          <w:gallery w:val="placeholder"/>
        </w:category>
        <w:types>
          <w:type w:val="bbPlcHdr"/>
        </w:types>
        <w:behaviors>
          <w:behavior w:val="content"/>
        </w:behaviors>
        <w:description w:val=""/>
        <w:guid w:val="{3e1c3f04-7e5f-4257-bfd2-5f07dfdea2ec}"/>
      </w:docPartPr>
      <w:docPartBody>
        <w:p w14:paraId="283E7A33">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AF341-1B8C-4BBD-A574-FA4B98F9108D}">
  <ds:schemaRefs/>
</ds:datastoreItem>
</file>

<file path=docProps/app.xml><?xml version="1.0" encoding="utf-8"?>
<Properties xmlns="http://schemas.openxmlformats.org/officeDocument/2006/extended-properties" xmlns:vt="http://schemas.openxmlformats.org/officeDocument/2006/docPropsVTypes">
  <Template>Normal</Template>
  <Pages>7</Pages>
  <Words>3561</Words>
  <Characters>3879</Characters>
  <Lines>27</Lines>
  <Paragraphs>7</Paragraphs>
  <TotalTime>8</TotalTime>
  <ScaleCrop>false</ScaleCrop>
  <LinksUpToDate>false</LinksUpToDate>
  <CharactersWithSpaces>3910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2020-12-29T05:00:00Z</dcterms:created>
  <dc:creator>Administrator</dc:creator>
  <cp:lastModifiedBy>杜青</cp:lastModifiedBy>
  <cp:lastPrinted>2015-10-22T06:47:00Z</cp:lastPrinted>
  <dcterms:modified xsi:type="dcterms:W3CDTF">2026-04-30T08:39:18Z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7E0FF03B2DC047CEBE1422AA414C190A</vt:lpwstr>
  </property>
</Properties>
</file>