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92" w:rightChars="-44"/>
        <w:jc w:val="center"/>
        <w:rPr>
          <w:rFonts w:hint="eastAsia" w:ascii="仿宋_GB2312" w:hAnsi="仿宋_GB2312" w:eastAsia="仿宋_GB2312" w:cs="仿宋_GB2312"/>
          <w:b/>
          <w:bCs/>
          <w:sz w:val="52"/>
          <w:szCs w:val="52"/>
          <w:lang w:val="en-US" w:eastAsia="zh-CN"/>
        </w:rPr>
      </w:pPr>
      <w:bookmarkStart w:id="0" w:name="_Toc131168595"/>
      <w:bookmarkStart w:id="1" w:name="_Toc131133981"/>
      <w:bookmarkStart w:id="2" w:name="_Toc131134327"/>
      <w:bookmarkStart w:id="3" w:name="_Toc114028927"/>
      <w:bookmarkStart w:id="4" w:name="_Toc131134226"/>
      <w:bookmarkStart w:id="5" w:name="_Toc183578143"/>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center"/>
        <w:rPr>
          <w:rFonts w:hint="eastAsia" w:ascii="仿宋_GB2312" w:hAnsi="仿宋_GB2312" w:eastAsia="仿宋_GB2312" w:cs="仿宋_GB2312"/>
          <w:b/>
          <w:bCs/>
          <w:sz w:val="52"/>
          <w:szCs w:val="52"/>
          <w:lang w:val="en-US" w:eastAsia="zh-CN"/>
        </w:rPr>
      </w:pPr>
      <w:r>
        <w:rPr>
          <w:rFonts w:hint="eastAsia" w:ascii="仿宋_GB2312" w:hAnsi="仿宋_GB2312" w:eastAsia="仿宋_GB2312" w:cs="仿宋_GB2312"/>
          <w:b/>
          <w:bCs/>
          <w:sz w:val="52"/>
          <w:szCs w:val="52"/>
          <w:lang w:val="en-US" w:eastAsia="zh-CN"/>
        </w:rPr>
        <w:t>南方电网绿能科技（广东）有限公司</w:t>
      </w:r>
    </w:p>
    <w:p>
      <w:pPr>
        <w:ind w:right="-92" w:rightChars="-44"/>
        <w:jc w:val="center"/>
        <w:rPr>
          <w:rFonts w:hint="eastAsia" w:ascii="仿宋_GB2312" w:hAnsi="仿宋_GB2312" w:eastAsia="仿宋_GB2312" w:cs="仿宋_GB2312"/>
          <w:b/>
          <w:bCs/>
          <w:sz w:val="52"/>
          <w:szCs w:val="52"/>
          <w:lang w:val="en-US" w:eastAsia="zh-CN"/>
        </w:rPr>
      </w:pPr>
      <w:r>
        <w:rPr>
          <w:rFonts w:hint="eastAsia" w:ascii="仿宋_GB2312" w:hAnsi="仿宋_GB2312" w:eastAsia="仿宋_GB2312" w:cs="仿宋_GB2312"/>
          <w:b/>
          <w:bCs/>
          <w:sz w:val="52"/>
          <w:szCs w:val="52"/>
          <w:lang w:val="en-US" w:eastAsia="zh-CN"/>
        </w:rPr>
        <w:t>检验实验室仪器仪表检验项目技术规范书</w:t>
      </w:r>
    </w:p>
    <w:p>
      <w:pPr>
        <w:spacing w:before="624" w:beforeLines="200" w:line="0" w:lineRule="atLeast"/>
        <w:ind w:firstLine="2168" w:firstLineChars="600"/>
        <w:rPr>
          <w:rFonts w:hint="eastAsia" w:ascii="仿宋" w:hAnsi="仿宋" w:eastAsia="仿宋" w:cs="仿宋"/>
          <w:b/>
          <w:sz w:val="36"/>
        </w:rPr>
      </w:pPr>
    </w:p>
    <w:p>
      <w:pPr>
        <w:spacing w:before="624" w:beforeLines="200" w:line="0" w:lineRule="atLeast"/>
        <w:ind w:firstLine="2168" w:firstLineChars="600"/>
        <w:jc w:val="left"/>
        <w:rPr>
          <w:rFonts w:hint="eastAsia" w:ascii="仿宋" w:hAnsi="仿宋" w:eastAsia="仿宋" w:cs="仿宋"/>
          <w:b/>
          <w:sz w:val="36"/>
        </w:rPr>
      </w:pPr>
    </w:p>
    <w:p>
      <w:pPr>
        <w:pStyle w:val="7"/>
        <w:rPr>
          <w:rFonts w:hint="eastAsia" w:ascii="仿宋" w:hAnsi="仿宋" w:eastAsia="仿宋" w:cs="仿宋"/>
          <w:sz w:val="36"/>
        </w:rPr>
      </w:pPr>
    </w:p>
    <w:p>
      <w:pPr>
        <w:rPr>
          <w:rFonts w:hint="eastAsia"/>
        </w:rPr>
      </w:pPr>
    </w:p>
    <w:p>
      <w:pPr>
        <w:rPr>
          <w:rFonts w:hint="eastAsia" w:ascii="仿宋" w:hAnsi="仿宋" w:eastAsia="仿宋" w:cs="仿宋"/>
          <w:b/>
          <w:sz w:val="36"/>
        </w:rPr>
      </w:pPr>
    </w:p>
    <w:p>
      <w:pPr>
        <w:pStyle w:val="6"/>
        <w:ind w:firstLine="482"/>
        <w:rPr>
          <w:rFonts w:hint="eastAsia"/>
        </w:rPr>
      </w:pPr>
    </w:p>
    <w:p>
      <w:pPr>
        <w:spacing w:before="624" w:beforeLines="200" w:line="0" w:lineRule="atLeast"/>
        <w:jc w:val="center"/>
        <w:rPr>
          <w:rFonts w:hint="eastAsia" w:ascii="仿宋" w:hAnsi="仿宋" w:eastAsia="仿宋" w:cs="仿宋"/>
          <w:b/>
          <w:sz w:val="36"/>
        </w:rPr>
      </w:pPr>
    </w:p>
    <w:bookmarkEnd w:id="0"/>
    <w:bookmarkEnd w:id="1"/>
    <w:bookmarkEnd w:id="2"/>
    <w:bookmarkEnd w:id="3"/>
    <w:bookmarkEnd w:id="4"/>
    <w:bookmarkEnd w:id="5"/>
    <w:p>
      <w:pPr>
        <w:pStyle w:val="6"/>
        <w:spacing w:line="360" w:lineRule="auto"/>
        <w:ind w:left="0" w:leftChars="0" w:firstLine="0" w:firstLineChars="0"/>
        <w:jc w:val="center"/>
        <w:rPr>
          <w:rFonts w:hint="eastAsia" w:ascii="仿宋" w:hAnsi="仿宋" w:eastAsia="仿宋" w:cs="仿宋"/>
          <w:b w:val="0"/>
          <w:sz w:val="28"/>
          <w:szCs w:val="28"/>
        </w:rPr>
      </w:pPr>
      <w:r>
        <w:rPr>
          <w:rFonts w:hint="eastAsia" w:ascii="仿宋" w:hAnsi="仿宋" w:eastAsia="仿宋" w:cs="仿宋"/>
          <w:sz w:val="36"/>
        </w:rPr>
        <w:br w:type="page"/>
      </w:r>
      <w:r>
        <w:rPr>
          <w:rFonts w:hint="eastAsia" w:ascii="仿宋" w:hAnsi="仿宋" w:eastAsia="仿宋" w:cs="仿宋"/>
          <w:b w:val="0"/>
          <w:sz w:val="28"/>
          <w:szCs w:val="28"/>
        </w:rPr>
        <w:t>目 录</w:t>
      </w:r>
    </w:p>
    <w:p>
      <w:pPr>
        <w:pStyle w:val="11"/>
        <w:tabs>
          <w:tab w:val="right" w:leader="dot" w:pos="8306"/>
        </w:tabs>
      </w:pPr>
      <w:r>
        <w:rPr>
          <w:rFonts w:hint="eastAsia" w:ascii="仿宋" w:hAnsi="仿宋" w:eastAsia="仿宋" w:cs="仿宋"/>
          <w:b/>
          <w:bCs/>
          <w:caps/>
          <w:sz w:val="28"/>
          <w:szCs w:val="28"/>
        </w:rPr>
        <w:fldChar w:fldCharType="begin"/>
      </w:r>
      <w:r>
        <w:rPr>
          <w:rFonts w:hint="eastAsia" w:ascii="仿宋" w:hAnsi="仿宋" w:eastAsia="仿宋" w:cs="仿宋"/>
          <w:b/>
          <w:bCs/>
          <w:caps/>
          <w:sz w:val="28"/>
          <w:szCs w:val="28"/>
        </w:rPr>
        <w:instrText xml:space="preserve"> TOC \o "1-3" \h \z \u </w:instrText>
      </w:r>
      <w:r>
        <w:rPr>
          <w:rFonts w:hint="eastAsia" w:ascii="仿宋" w:hAnsi="仿宋" w:eastAsia="仿宋" w:cs="仿宋"/>
          <w:b/>
          <w:bCs/>
          <w:caps/>
          <w:sz w:val="28"/>
          <w:szCs w:val="28"/>
        </w:rPr>
        <w:fldChar w:fldCharType="separate"/>
      </w: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_Toc17143 </w:instrText>
      </w:r>
      <w:r>
        <w:rPr>
          <w:rFonts w:hint="eastAsia" w:ascii="仿宋" w:hAnsi="仿宋" w:eastAsia="仿宋" w:cs="仿宋"/>
          <w:bCs/>
          <w:caps/>
          <w:szCs w:val="28"/>
        </w:rPr>
        <w:fldChar w:fldCharType="separate"/>
      </w:r>
      <w:r>
        <w:rPr>
          <w:rFonts w:hint="default" w:ascii="Times New Roman" w:hAnsi="Times New Roman" w:eastAsia="宋体" w:cs="仿宋"/>
          <w:i w:val="0"/>
          <w:spacing w:val="-12"/>
          <w:szCs w:val="44"/>
        </w:rPr>
        <w:t xml:space="preserve">1. </w:t>
      </w:r>
      <w:r>
        <w:rPr>
          <w:rFonts w:hint="eastAsia" w:ascii="仿宋" w:hAnsi="仿宋" w:eastAsia="仿宋" w:cs="仿宋"/>
        </w:rPr>
        <w:t>总则</w:t>
      </w:r>
      <w:r>
        <w:tab/>
      </w:r>
      <w:r>
        <w:fldChar w:fldCharType="begin"/>
      </w:r>
      <w:r>
        <w:instrText xml:space="preserve"> PAGEREF _Toc17143 \h </w:instrText>
      </w:r>
      <w:r>
        <w:fldChar w:fldCharType="separate"/>
      </w:r>
      <w:r>
        <w:t>1</w:t>
      </w:r>
      <w:r>
        <w:fldChar w:fldCharType="end"/>
      </w:r>
      <w:r>
        <w:rPr>
          <w:rFonts w:hint="eastAsia" w:ascii="仿宋" w:hAnsi="仿宋" w:eastAsia="仿宋" w:cs="仿宋"/>
          <w:bCs/>
          <w:caps/>
          <w:szCs w:val="28"/>
        </w:rPr>
        <w:fldChar w:fldCharType="end"/>
      </w:r>
    </w:p>
    <w:p>
      <w:pPr>
        <w:pStyle w:val="12"/>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_Toc8641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1.1. </w:t>
      </w:r>
      <w:r>
        <w:rPr>
          <w:rFonts w:hint="eastAsia" w:ascii="仿宋" w:hAnsi="仿宋" w:eastAsia="仿宋" w:cs="仿宋"/>
        </w:rPr>
        <w:t>概述</w:t>
      </w:r>
      <w:r>
        <w:tab/>
      </w:r>
      <w:r>
        <w:fldChar w:fldCharType="begin"/>
      </w:r>
      <w:r>
        <w:instrText xml:space="preserve"> PAGEREF _Toc8641 \h </w:instrText>
      </w:r>
      <w:r>
        <w:fldChar w:fldCharType="separate"/>
      </w:r>
      <w:r>
        <w:t>1</w:t>
      </w:r>
      <w:r>
        <w:fldChar w:fldCharType="end"/>
      </w:r>
      <w:r>
        <w:rPr>
          <w:rFonts w:hint="eastAsia" w:ascii="仿宋" w:hAnsi="仿宋" w:eastAsia="仿宋" w:cs="仿宋"/>
          <w:bCs w:val="0"/>
          <w:caps w:val="0"/>
          <w:szCs w:val="28"/>
        </w:rPr>
        <w:fldChar w:fldCharType="end"/>
      </w:r>
    </w:p>
    <w:p>
      <w:pPr>
        <w:pStyle w:val="11"/>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_Toc15840 </w:instrText>
      </w:r>
      <w:r>
        <w:rPr>
          <w:rFonts w:hint="eastAsia" w:ascii="仿宋" w:hAnsi="仿宋" w:eastAsia="仿宋" w:cs="仿宋"/>
          <w:bCs w:val="0"/>
          <w:caps w:val="0"/>
          <w:szCs w:val="28"/>
        </w:rPr>
        <w:fldChar w:fldCharType="separate"/>
      </w:r>
      <w:r>
        <w:rPr>
          <w:rFonts w:hint="default" w:ascii="Times New Roman" w:hAnsi="Times New Roman" w:eastAsia="宋体" w:cs="仿宋"/>
          <w:i w:val="0"/>
          <w:spacing w:val="-12"/>
          <w:szCs w:val="44"/>
        </w:rPr>
        <w:t xml:space="preserve">2. </w:t>
      </w:r>
      <w:r>
        <w:rPr>
          <w:rFonts w:hint="eastAsia" w:ascii="仿宋" w:hAnsi="仿宋" w:eastAsia="仿宋" w:cs="仿宋"/>
        </w:rPr>
        <w:t>项目内容</w:t>
      </w:r>
      <w:r>
        <w:tab/>
      </w:r>
      <w:r>
        <w:fldChar w:fldCharType="begin"/>
      </w:r>
      <w:r>
        <w:instrText xml:space="preserve"> PAGEREF _Toc15840 \h </w:instrText>
      </w:r>
      <w:r>
        <w:fldChar w:fldCharType="separate"/>
      </w:r>
      <w:r>
        <w:t>2</w:t>
      </w:r>
      <w:r>
        <w:fldChar w:fldCharType="end"/>
      </w:r>
      <w:r>
        <w:rPr>
          <w:rFonts w:hint="eastAsia" w:ascii="仿宋" w:hAnsi="仿宋" w:eastAsia="仿宋" w:cs="仿宋"/>
          <w:bCs w:val="0"/>
          <w:caps w:val="0"/>
          <w:szCs w:val="28"/>
        </w:rPr>
        <w:fldChar w:fldCharType="end"/>
      </w:r>
    </w:p>
    <w:p>
      <w:pPr>
        <w:pStyle w:val="12"/>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_Toc23034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2.1. </w:t>
      </w:r>
      <w:r>
        <w:rPr>
          <w:rFonts w:hint="eastAsia" w:ascii="仿宋" w:hAnsi="仿宋" w:eastAsia="仿宋" w:cs="仿宋"/>
        </w:rPr>
        <w:t>项目背景</w:t>
      </w:r>
      <w:r>
        <w:tab/>
      </w:r>
      <w:r>
        <w:fldChar w:fldCharType="begin"/>
      </w:r>
      <w:r>
        <w:instrText xml:space="preserve"> PAGEREF _Toc23034 \h </w:instrText>
      </w:r>
      <w:r>
        <w:fldChar w:fldCharType="separate"/>
      </w:r>
      <w:r>
        <w:t>2</w:t>
      </w:r>
      <w:r>
        <w:fldChar w:fldCharType="end"/>
      </w:r>
      <w:r>
        <w:rPr>
          <w:rFonts w:hint="eastAsia" w:ascii="仿宋" w:hAnsi="仿宋" w:eastAsia="仿宋" w:cs="仿宋"/>
          <w:bCs w:val="0"/>
          <w:caps w:val="0"/>
          <w:szCs w:val="28"/>
        </w:rPr>
        <w:fldChar w:fldCharType="end"/>
      </w:r>
    </w:p>
    <w:p>
      <w:pPr>
        <w:pStyle w:val="12"/>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_Toc9850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2.2. </w:t>
      </w:r>
      <w:r>
        <w:rPr>
          <w:rFonts w:hint="eastAsia" w:ascii="仿宋" w:hAnsi="仿宋" w:eastAsia="仿宋" w:cs="仿宋"/>
          <w:lang w:val="en-US" w:eastAsia="zh-CN"/>
        </w:rPr>
        <w:t>质量</w:t>
      </w:r>
      <w:r>
        <w:rPr>
          <w:rFonts w:hint="eastAsia" w:ascii="仿宋" w:hAnsi="仿宋" w:eastAsia="仿宋" w:cs="仿宋"/>
        </w:rPr>
        <w:t>目标</w:t>
      </w:r>
      <w:r>
        <w:tab/>
      </w:r>
      <w:r>
        <w:fldChar w:fldCharType="begin"/>
      </w:r>
      <w:r>
        <w:instrText xml:space="preserve"> PAGEREF _Toc9850 \h </w:instrText>
      </w:r>
      <w:r>
        <w:fldChar w:fldCharType="separate"/>
      </w:r>
      <w:r>
        <w:t>2</w:t>
      </w:r>
      <w:r>
        <w:fldChar w:fldCharType="end"/>
      </w:r>
      <w:r>
        <w:rPr>
          <w:rFonts w:hint="eastAsia" w:ascii="仿宋" w:hAnsi="仿宋" w:eastAsia="仿宋" w:cs="仿宋"/>
          <w:bCs w:val="0"/>
          <w:caps w:val="0"/>
          <w:szCs w:val="28"/>
        </w:rPr>
        <w:fldChar w:fldCharType="end"/>
      </w:r>
    </w:p>
    <w:p>
      <w:pPr>
        <w:pStyle w:val="12"/>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_Toc18438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2.3. </w:t>
      </w:r>
      <w:r>
        <w:rPr>
          <w:rFonts w:hint="eastAsia" w:ascii="仿宋" w:hAnsi="仿宋" w:eastAsia="仿宋" w:cs="仿宋"/>
          <w:lang w:val="en-US" w:eastAsia="zh-CN"/>
        </w:rPr>
        <w:t>校验</w:t>
      </w:r>
      <w:r>
        <w:rPr>
          <w:rFonts w:hint="eastAsia" w:ascii="仿宋" w:hAnsi="仿宋" w:eastAsia="仿宋" w:cs="仿宋"/>
        </w:rPr>
        <w:t>内容</w:t>
      </w:r>
      <w:r>
        <w:tab/>
      </w:r>
      <w:r>
        <w:fldChar w:fldCharType="begin"/>
      </w:r>
      <w:r>
        <w:instrText xml:space="preserve"> PAGEREF _Toc18438 \h </w:instrText>
      </w:r>
      <w:r>
        <w:fldChar w:fldCharType="separate"/>
      </w:r>
      <w:r>
        <w:t>2</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_Toc20969 </w:instrText>
      </w:r>
      <w:r>
        <w:rPr>
          <w:rFonts w:hint="eastAsia" w:ascii="仿宋" w:hAnsi="仿宋" w:eastAsia="仿宋" w:cs="仿宋"/>
          <w:bCs w:val="0"/>
          <w:caps w:val="0"/>
          <w:szCs w:val="28"/>
        </w:rPr>
        <w:fldChar w:fldCharType="separate"/>
      </w:r>
      <w:r>
        <w:rPr>
          <w:rFonts w:hint="default" w:ascii="Times New Roman" w:hAnsi="Times New Roman" w:eastAsia="仿宋" w:cs="Times New Roman"/>
          <w:szCs w:val="28"/>
          <w:lang w:val="en-US" w:eastAsia="zh-CN"/>
        </w:rPr>
        <w:t xml:space="preserve">2.3.1. </w:t>
      </w:r>
      <w:r>
        <w:rPr>
          <w:rFonts w:hint="eastAsia"/>
          <w:lang w:val="en-US" w:eastAsia="zh-CN"/>
        </w:rPr>
        <w:t>校验依据</w:t>
      </w:r>
      <w:r>
        <w:tab/>
      </w:r>
      <w:r>
        <w:fldChar w:fldCharType="begin"/>
      </w:r>
      <w:r>
        <w:instrText xml:space="preserve"> PAGEREF _Toc20969 \h </w:instrText>
      </w:r>
      <w:r>
        <w:fldChar w:fldCharType="separate"/>
      </w:r>
      <w:r>
        <w:t>4</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_Toc7576 </w:instrText>
      </w:r>
      <w:r>
        <w:rPr>
          <w:rFonts w:hint="eastAsia" w:ascii="仿宋" w:hAnsi="仿宋" w:eastAsia="仿宋" w:cs="仿宋"/>
          <w:bCs w:val="0"/>
          <w:caps w:val="0"/>
          <w:szCs w:val="28"/>
        </w:rPr>
        <w:fldChar w:fldCharType="separate"/>
      </w:r>
      <w:r>
        <w:rPr>
          <w:rFonts w:hint="default" w:ascii="Times New Roman" w:hAnsi="Times New Roman" w:cs="Times New Roman"/>
        </w:rPr>
        <w:t xml:space="preserve">2.3.2. </w:t>
      </w:r>
      <w:r>
        <w:rPr>
          <w:rFonts w:hint="eastAsia"/>
          <w:lang w:val="en-US" w:eastAsia="zh-CN"/>
        </w:rPr>
        <w:t>校准基本原则</w:t>
      </w:r>
      <w:r>
        <w:tab/>
      </w:r>
      <w:r>
        <w:fldChar w:fldCharType="begin"/>
      </w:r>
      <w:r>
        <w:instrText xml:space="preserve"> PAGEREF _Toc7576 \h </w:instrText>
      </w:r>
      <w:r>
        <w:fldChar w:fldCharType="separate"/>
      </w:r>
      <w:r>
        <w:t>4</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_Toc8119 </w:instrText>
      </w:r>
      <w:r>
        <w:rPr>
          <w:rFonts w:hint="eastAsia" w:ascii="仿宋" w:hAnsi="仿宋" w:eastAsia="仿宋" w:cs="仿宋"/>
          <w:bCs w:val="0"/>
          <w:caps w:val="0"/>
          <w:szCs w:val="28"/>
        </w:rPr>
        <w:fldChar w:fldCharType="separate"/>
      </w:r>
      <w:r>
        <w:rPr>
          <w:rFonts w:hint="default" w:ascii="Times New Roman" w:hAnsi="Times New Roman" w:cs="Times New Roman"/>
        </w:rPr>
        <w:t xml:space="preserve">2.3.3. </w:t>
      </w:r>
      <w:r>
        <w:rPr>
          <w:rFonts w:hint="eastAsia"/>
          <w:lang w:val="en-US" w:eastAsia="zh-CN"/>
        </w:rPr>
        <w:t>校准数据要求</w:t>
      </w:r>
      <w:r>
        <w:tab/>
      </w:r>
      <w:r>
        <w:fldChar w:fldCharType="begin"/>
      </w:r>
      <w:r>
        <w:instrText xml:space="preserve"> PAGEREF _Toc8119 \h </w:instrText>
      </w:r>
      <w:r>
        <w:fldChar w:fldCharType="separate"/>
      </w:r>
      <w:r>
        <w:t>5</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_Toc17990 </w:instrText>
      </w:r>
      <w:r>
        <w:rPr>
          <w:rFonts w:hint="eastAsia" w:ascii="仿宋" w:hAnsi="仿宋" w:eastAsia="仿宋" w:cs="仿宋"/>
          <w:bCs w:val="0"/>
          <w:caps w:val="0"/>
          <w:szCs w:val="28"/>
        </w:rPr>
        <w:fldChar w:fldCharType="separate"/>
      </w:r>
      <w:r>
        <w:rPr>
          <w:rFonts w:hint="default" w:ascii="Times New Roman" w:hAnsi="Times New Roman" w:cs="Times New Roman"/>
        </w:rPr>
        <w:t xml:space="preserve">2.3.4. </w:t>
      </w:r>
      <w:r>
        <w:rPr>
          <w:rFonts w:hint="eastAsia"/>
          <w:lang w:val="en-US" w:eastAsia="zh-CN"/>
        </w:rPr>
        <w:t>具体校准要求</w:t>
      </w:r>
      <w:r>
        <w:tab/>
      </w:r>
      <w:r>
        <w:fldChar w:fldCharType="begin"/>
      </w:r>
      <w:r>
        <w:instrText xml:space="preserve"> PAGEREF _Toc17990 \h </w:instrText>
      </w:r>
      <w:r>
        <w:fldChar w:fldCharType="separate"/>
      </w:r>
      <w:r>
        <w:t>5</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_Toc30343 </w:instrText>
      </w:r>
      <w:r>
        <w:rPr>
          <w:rFonts w:hint="eastAsia" w:ascii="仿宋" w:hAnsi="仿宋" w:eastAsia="仿宋" w:cs="仿宋"/>
          <w:bCs w:val="0"/>
          <w:caps w:val="0"/>
          <w:szCs w:val="28"/>
        </w:rPr>
        <w:fldChar w:fldCharType="separate"/>
      </w:r>
      <w:r>
        <w:rPr>
          <w:rFonts w:hint="default" w:ascii="Times New Roman" w:hAnsi="Times New Roman" w:cs="Times New Roman"/>
        </w:rPr>
        <w:t xml:space="preserve">2.3.5. </w:t>
      </w:r>
      <w:r>
        <w:rPr>
          <w:rFonts w:hint="eastAsia"/>
          <w:lang w:val="en-US" w:eastAsia="zh-CN"/>
        </w:rPr>
        <w:t>质量控制要求</w:t>
      </w:r>
      <w:r>
        <w:tab/>
      </w:r>
      <w:r>
        <w:fldChar w:fldCharType="begin"/>
      </w:r>
      <w:r>
        <w:instrText xml:space="preserve"> PAGEREF _Toc30343 \h </w:instrText>
      </w:r>
      <w:r>
        <w:fldChar w:fldCharType="separate"/>
      </w:r>
      <w:r>
        <w:t>6</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_Toc14822 </w:instrText>
      </w:r>
      <w:r>
        <w:rPr>
          <w:rFonts w:hint="eastAsia" w:ascii="仿宋" w:hAnsi="仿宋" w:eastAsia="仿宋" w:cs="仿宋"/>
          <w:bCs w:val="0"/>
          <w:caps w:val="0"/>
          <w:szCs w:val="28"/>
        </w:rPr>
        <w:fldChar w:fldCharType="separate"/>
      </w:r>
      <w:r>
        <w:rPr>
          <w:rFonts w:hint="default" w:ascii="Times New Roman" w:hAnsi="Times New Roman" w:cs="Times New Roman"/>
        </w:rPr>
        <w:t xml:space="preserve">2.3.6. </w:t>
      </w:r>
      <w:r>
        <w:rPr>
          <w:rFonts w:hint="eastAsia"/>
          <w:lang w:val="en-US" w:eastAsia="zh-CN"/>
        </w:rPr>
        <w:t>验收要求</w:t>
      </w:r>
      <w:r>
        <w:tab/>
      </w:r>
      <w:r>
        <w:fldChar w:fldCharType="begin"/>
      </w:r>
      <w:r>
        <w:instrText xml:space="preserve"> PAGEREF _Toc14822 \h </w:instrText>
      </w:r>
      <w:r>
        <w:fldChar w:fldCharType="separate"/>
      </w:r>
      <w:r>
        <w:t>6</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_Toc29587 </w:instrText>
      </w:r>
      <w:r>
        <w:rPr>
          <w:rFonts w:hint="eastAsia" w:ascii="仿宋" w:hAnsi="仿宋" w:eastAsia="仿宋" w:cs="仿宋"/>
          <w:bCs w:val="0"/>
          <w:caps w:val="0"/>
          <w:szCs w:val="28"/>
        </w:rPr>
        <w:fldChar w:fldCharType="separate"/>
      </w:r>
      <w:r>
        <w:rPr>
          <w:rFonts w:hint="default" w:ascii="Times New Roman" w:hAnsi="Times New Roman" w:cs="Times New Roman"/>
        </w:rPr>
        <w:t xml:space="preserve">2.3.7. </w:t>
      </w:r>
      <w:r>
        <w:rPr>
          <w:rFonts w:hint="eastAsia"/>
          <w:lang w:val="en-US" w:eastAsia="zh-CN"/>
        </w:rPr>
        <w:t>基本资质要求</w:t>
      </w:r>
      <w:r>
        <w:tab/>
      </w:r>
      <w:r>
        <w:fldChar w:fldCharType="begin"/>
      </w:r>
      <w:r>
        <w:instrText xml:space="preserve"> PAGEREF _Toc29587 \h </w:instrText>
      </w:r>
      <w:r>
        <w:fldChar w:fldCharType="separate"/>
      </w:r>
      <w:r>
        <w:t>7</w:t>
      </w:r>
      <w:r>
        <w:fldChar w:fldCharType="end"/>
      </w:r>
      <w:r>
        <w:rPr>
          <w:rFonts w:hint="eastAsia" w:ascii="仿宋" w:hAnsi="仿宋" w:eastAsia="仿宋" w:cs="仿宋"/>
          <w:bCs w:val="0"/>
          <w:caps w:val="0"/>
          <w:szCs w:val="28"/>
        </w:rPr>
        <w:fldChar w:fldCharType="end"/>
      </w:r>
    </w:p>
    <w:p>
      <w:pPr>
        <w:pStyle w:val="8"/>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_Toc31393 </w:instrText>
      </w:r>
      <w:r>
        <w:rPr>
          <w:rFonts w:hint="eastAsia" w:ascii="仿宋" w:hAnsi="仿宋" w:eastAsia="仿宋" w:cs="仿宋"/>
          <w:bCs w:val="0"/>
          <w:caps w:val="0"/>
          <w:szCs w:val="28"/>
        </w:rPr>
        <w:fldChar w:fldCharType="separate"/>
      </w:r>
      <w:r>
        <w:rPr>
          <w:rFonts w:hint="default" w:ascii="Times New Roman" w:hAnsi="Times New Roman" w:cs="Times New Roman"/>
        </w:rPr>
        <w:t xml:space="preserve">2.3.8. </w:t>
      </w:r>
      <w:r>
        <w:t>售后服务</w:t>
      </w:r>
      <w:r>
        <w:tab/>
      </w:r>
      <w:r>
        <w:fldChar w:fldCharType="begin"/>
      </w:r>
      <w:r>
        <w:instrText xml:space="preserve"> PAGEREF _Toc31393 \h </w:instrText>
      </w:r>
      <w:r>
        <w:fldChar w:fldCharType="separate"/>
      </w:r>
      <w:r>
        <w:t>8</w:t>
      </w:r>
      <w:r>
        <w:fldChar w:fldCharType="end"/>
      </w:r>
      <w:r>
        <w:rPr>
          <w:rFonts w:hint="eastAsia" w:ascii="仿宋" w:hAnsi="仿宋" w:eastAsia="仿宋" w:cs="仿宋"/>
          <w:bCs w:val="0"/>
          <w:caps w:val="0"/>
          <w:szCs w:val="28"/>
        </w:rPr>
        <w:fldChar w:fldCharType="end"/>
      </w:r>
    </w:p>
    <w:p>
      <w:pPr>
        <w:pStyle w:val="12"/>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_Toc19176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2.4. </w:t>
      </w:r>
      <w:r>
        <w:rPr>
          <w:rFonts w:hint="eastAsia" w:ascii="仿宋" w:hAnsi="仿宋" w:eastAsia="仿宋" w:cs="仿宋"/>
        </w:rPr>
        <w:t>项目进度要求</w:t>
      </w:r>
      <w:r>
        <w:tab/>
      </w:r>
      <w:r>
        <w:fldChar w:fldCharType="begin"/>
      </w:r>
      <w:r>
        <w:instrText xml:space="preserve"> PAGEREF _Toc19176 \h </w:instrText>
      </w:r>
      <w:r>
        <w:fldChar w:fldCharType="separate"/>
      </w:r>
      <w:r>
        <w:t>8</w:t>
      </w:r>
      <w:r>
        <w:fldChar w:fldCharType="end"/>
      </w:r>
      <w:r>
        <w:rPr>
          <w:rFonts w:hint="eastAsia" w:ascii="仿宋" w:hAnsi="仿宋" w:eastAsia="仿宋" w:cs="仿宋"/>
          <w:bCs w:val="0"/>
          <w:caps w:val="0"/>
          <w:szCs w:val="28"/>
        </w:rPr>
        <w:fldChar w:fldCharType="end"/>
      </w:r>
    </w:p>
    <w:p>
      <w:pPr>
        <w:pStyle w:val="12"/>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_Toc25773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2.5. </w:t>
      </w:r>
      <w:r>
        <w:rPr>
          <w:rFonts w:hint="eastAsia" w:ascii="仿宋" w:hAnsi="仿宋" w:eastAsia="仿宋" w:cs="仿宋"/>
        </w:rPr>
        <w:t>安全保密要求</w:t>
      </w:r>
      <w:r>
        <w:tab/>
      </w:r>
      <w:r>
        <w:fldChar w:fldCharType="begin"/>
      </w:r>
      <w:r>
        <w:instrText xml:space="preserve"> PAGEREF _Toc25773 \h </w:instrText>
      </w:r>
      <w:r>
        <w:fldChar w:fldCharType="separate"/>
      </w:r>
      <w:r>
        <w:t>8</w:t>
      </w:r>
      <w:r>
        <w:fldChar w:fldCharType="end"/>
      </w:r>
      <w:r>
        <w:rPr>
          <w:rFonts w:hint="eastAsia" w:ascii="仿宋" w:hAnsi="仿宋" w:eastAsia="仿宋" w:cs="仿宋"/>
          <w:bCs w:val="0"/>
          <w:caps w:val="0"/>
          <w:szCs w:val="28"/>
        </w:rPr>
        <w:fldChar w:fldCharType="end"/>
      </w:r>
    </w:p>
    <w:p>
      <w:pPr>
        <w:pStyle w:val="12"/>
        <w:tabs>
          <w:tab w:val="right" w:leader="dot" w:pos="8306"/>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_Toc1727 </w:instrText>
      </w:r>
      <w:r>
        <w:rPr>
          <w:rFonts w:hint="eastAsia" w:ascii="仿宋" w:hAnsi="仿宋" w:eastAsia="仿宋" w:cs="仿宋"/>
          <w:bCs w:val="0"/>
          <w:caps w:val="0"/>
          <w:szCs w:val="28"/>
        </w:rPr>
        <w:fldChar w:fldCharType="separate"/>
      </w:r>
      <w:r>
        <w:rPr>
          <w:rFonts w:hint="default" w:ascii="Times New Roman" w:hAnsi="Times New Roman" w:eastAsia="宋体" w:cs="仿宋"/>
          <w:szCs w:val="24"/>
        </w:rPr>
        <w:t xml:space="preserve">2.6. </w:t>
      </w:r>
      <w:r>
        <w:rPr>
          <w:rFonts w:hint="eastAsia" w:ascii="仿宋" w:hAnsi="仿宋" w:eastAsia="仿宋" w:cs="仿宋"/>
        </w:rPr>
        <w:t>项目验收要求</w:t>
      </w:r>
      <w:r>
        <w:tab/>
      </w:r>
      <w:r>
        <w:fldChar w:fldCharType="begin"/>
      </w:r>
      <w:r>
        <w:instrText xml:space="preserve"> PAGEREF _Toc1727 \h </w:instrText>
      </w:r>
      <w:r>
        <w:fldChar w:fldCharType="separate"/>
      </w:r>
      <w:r>
        <w:t>8</w:t>
      </w:r>
      <w:r>
        <w:fldChar w:fldCharType="end"/>
      </w:r>
      <w:r>
        <w:rPr>
          <w:rFonts w:hint="eastAsia" w:ascii="仿宋" w:hAnsi="仿宋" w:eastAsia="仿宋" w:cs="仿宋"/>
          <w:bCs w:val="0"/>
          <w:caps w:val="0"/>
          <w:szCs w:val="28"/>
        </w:rPr>
        <w:fldChar w:fldCharType="end"/>
      </w:r>
    </w:p>
    <w:p>
      <w:pPr>
        <w:pStyle w:val="16"/>
        <w:tabs>
          <w:tab w:val="left" w:pos="420"/>
          <w:tab w:val="right" w:leader="dot" w:pos="8302"/>
        </w:tabs>
        <w:spacing w:line="360" w:lineRule="auto"/>
        <w:rPr>
          <w:rFonts w:hint="eastAsia" w:ascii="仿宋" w:hAnsi="仿宋" w:eastAsia="仿宋" w:cs="仿宋"/>
          <w:sz w:val="28"/>
          <w:szCs w:val="28"/>
        </w:rPr>
      </w:pPr>
      <w:r>
        <w:rPr>
          <w:rFonts w:hint="eastAsia" w:ascii="仿宋" w:hAnsi="仿宋" w:eastAsia="仿宋" w:cs="仿宋"/>
          <w:bCs w:val="0"/>
          <w:caps w:val="0"/>
          <w:szCs w:val="28"/>
        </w:rPr>
        <w:fldChar w:fldCharType="end"/>
      </w:r>
    </w:p>
    <w:p>
      <w:pPr>
        <w:spacing w:line="360" w:lineRule="auto"/>
        <w:rPr>
          <w:rFonts w:hint="eastAsia" w:ascii="仿宋" w:hAnsi="仿宋" w:eastAsia="仿宋" w:cs="仿宋"/>
          <w:sz w:val="24"/>
        </w:rPr>
        <w:sectPr>
          <w:footerReference r:id="rId3" w:type="default"/>
          <w:pgSz w:w="11906" w:h="16838"/>
          <w:pgMar w:top="1440" w:right="1800" w:bottom="1440" w:left="1800" w:header="851" w:footer="992" w:gutter="0"/>
          <w:pgNumType w:fmt="lowerRoman" w:start="1"/>
          <w:cols w:space="720" w:num="1"/>
          <w:docGrid w:type="lines" w:linePitch="312" w:charSpace="0"/>
        </w:sectPr>
      </w:pPr>
    </w:p>
    <w:p>
      <w:pPr>
        <w:pStyle w:val="2"/>
        <w:rPr>
          <w:rFonts w:hint="eastAsia" w:ascii="仿宋" w:hAnsi="仿宋" w:eastAsia="仿宋" w:cs="仿宋"/>
        </w:rPr>
      </w:pPr>
      <w:bookmarkStart w:id="6" w:name="_Toc192340308"/>
      <w:bookmarkEnd w:id="6"/>
      <w:bookmarkStart w:id="7" w:name="_Toc192340307"/>
      <w:bookmarkEnd w:id="7"/>
      <w:bookmarkStart w:id="8" w:name="_Toc198288426"/>
      <w:bookmarkStart w:id="9" w:name="_Toc17143"/>
      <w:bookmarkStart w:id="10" w:name="_Toc147371417"/>
      <w:r>
        <w:rPr>
          <w:rFonts w:hint="eastAsia" w:ascii="仿宋" w:hAnsi="仿宋" w:eastAsia="仿宋" w:cs="仿宋"/>
        </w:rPr>
        <w:t>总则</w:t>
      </w:r>
      <w:bookmarkEnd w:id="8"/>
      <w:bookmarkEnd w:id="9"/>
    </w:p>
    <w:p>
      <w:pPr>
        <w:pStyle w:val="3"/>
        <w:rPr>
          <w:rFonts w:hint="eastAsia" w:ascii="仿宋" w:hAnsi="仿宋" w:eastAsia="仿宋" w:cs="仿宋"/>
        </w:rPr>
      </w:pPr>
      <w:bookmarkStart w:id="11" w:name="_Toc270544309"/>
      <w:bookmarkStart w:id="12" w:name="_Toc296516184"/>
      <w:bookmarkStart w:id="13" w:name="_Toc8641"/>
      <w:r>
        <w:rPr>
          <w:rFonts w:hint="eastAsia" w:ascii="仿宋" w:hAnsi="仿宋" w:eastAsia="仿宋" w:cs="仿宋"/>
        </w:rPr>
        <w:t>概述</w:t>
      </w:r>
      <w:bookmarkEnd w:id="11"/>
      <w:bookmarkEnd w:id="12"/>
      <w:bookmarkEnd w:id="13"/>
    </w:p>
    <w:p>
      <w:pPr>
        <w:pStyle w:val="5"/>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rPr>
        <w:t>本文件适用于南方</w:t>
      </w:r>
      <w:r>
        <w:rPr>
          <w:rFonts w:hint="eastAsia" w:ascii="仿宋" w:hAnsi="仿宋" w:eastAsia="仿宋" w:cs="仿宋"/>
          <w:sz w:val="28"/>
          <w:szCs w:val="28"/>
          <w:lang w:val="en-US" w:eastAsia="zh-CN"/>
        </w:rPr>
        <w:t>电网绿能科技（广东）</w:t>
      </w:r>
      <w:r>
        <w:rPr>
          <w:rFonts w:hint="eastAsia" w:ascii="仿宋" w:hAnsi="仿宋" w:eastAsia="仿宋" w:cs="仿宋"/>
          <w:sz w:val="28"/>
          <w:szCs w:val="28"/>
        </w:rPr>
        <w:t>有限公司（以下简称</w:t>
      </w:r>
      <w:r>
        <w:rPr>
          <w:rFonts w:hint="eastAsia" w:ascii="仿宋" w:hAnsi="仿宋" w:eastAsia="仿宋" w:cs="仿宋"/>
          <w:sz w:val="28"/>
          <w:szCs w:val="28"/>
          <w:lang w:eastAsia="zh-CN"/>
        </w:rPr>
        <w:t>需方</w:t>
      </w:r>
      <w:r>
        <w:rPr>
          <w:rFonts w:hint="eastAsia" w:ascii="仿宋" w:hAnsi="仿宋" w:eastAsia="仿宋" w:cs="仿宋"/>
          <w:sz w:val="28"/>
          <w:szCs w:val="28"/>
        </w:rPr>
        <w:t>）</w:t>
      </w:r>
      <w:r>
        <w:rPr>
          <w:rFonts w:hint="eastAsia" w:ascii="仿宋" w:hAnsi="仿宋" w:eastAsia="仿宋" w:cs="仿宋"/>
          <w:sz w:val="28"/>
          <w:szCs w:val="28"/>
          <w:u w:val="single"/>
        </w:rPr>
        <w:t>南方电网</w:t>
      </w:r>
      <w:r>
        <w:rPr>
          <w:rFonts w:hint="eastAsia" w:ascii="仿宋" w:hAnsi="仿宋" w:eastAsia="仿宋" w:cs="仿宋"/>
          <w:sz w:val="28"/>
          <w:szCs w:val="28"/>
          <w:u w:val="single"/>
          <w:lang w:val="en-US" w:eastAsia="zh-CN"/>
        </w:rPr>
        <w:t>绿能科技（广东）</w:t>
      </w:r>
      <w:r>
        <w:rPr>
          <w:rFonts w:hint="eastAsia" w:ascii="仿宋" w:hAnsi="仿宋" w:eastAsia="仿宋" w:cs="仿宋"/>
          <w:sz w:val="28"/>
          <w:szCs w:val="28"/>
          <w:u w:val="single"/>
          <w:lang w:val="en-US"/>
        </w:rPr>
        <w:t>有限公司</w:t>
      </w:r>
      <w:r>
        <w:rPr>
          <w:rFonts w:hint="eastAsia" w:ascii="仿宋" w:hAnsi="仿宋" w:eastAsia="仿宋" w:cs="仿宋"/>
          <w:sz w:val="28"/>
          <w:szCs w:val="28"/>
          <w:u w:val="single"/>
          <w:lang w:val="en-US" w:eastAsia="zh-CN"/>
        </w:rPr>
        <w:t>仪器仪表检验零星采购项目</w:t>
      </w:r>
      <w:r>
        <w:rPr>
          <w:rFonts w:hint="eastAsia" w:ascii="仿宋" w:hAnsi="仿宋" w:eastAsia="仿宋" w:cs="仿宋"/>
          <w:sz w:val="28"/>
          <w:szCs w:val="28"/>
          <w:u w:val="single"/>
        </w:rPr>
        <w:t>采</w:t>
      </w:r>
      <w:r>
        <w:rPr>
          <w:rFonts w:hint="eastAsia" w:ascii="仿宋" w:hAnsi="仿宋" w:eastAsia="仿宋" w:cs="仿宋"/>
          <w:sz w:val="28"/>
          <w:szCs w:val="28"/>
        </w:rPr>
        <w:t>购，本文件的最终解释权归南方</w:t>
      </w:r>
      <w:r>
        <w:rPr>
          <w:rFonts w:hint="eastAsia" w:ascii="仿宋" w:hAnsi="仿宋" w:eastAsia="仿宋" w:cs="仿宋"/>
          <w:sz w:val="28"/>
          <w:szCs w:val="28"/>
          <w:lang w:val="en-US" w:eastAsia="zh-CN"/>
        </w:rPr>
        <w:t>电网绿能科技（广东）</w:t>
      </w:r>
      <w:r>
        <w:rPr>
          <w:rFonts w:hint="eastAsia" w:ascii="仿宋" w:hAnsi="仿宋" w:eastAsia="仿宋" w:cs="仿宋"/>
          <w:sz w:val="28"/>
          <w:szCs w:val="28"/>
        </w:rPr>
        <w:t>有限公司。</w:t>
      </w:r>
    </w:p>
    <w:p>
      <w:pPr>
        <w:pStyle w:val="5"/>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可以就</w:t>
      </w:r>
      <w:r>
        <w:rPr>
          <w:rFonts w:hint="eastAsia" w:ascii="仿宋" w:hAnsi="仿宋" w:eastAsia="仿宋" w:cs="仿宋"/>
          <w:sz w:val="28"/>
          <w:szCs w:val="28"/>
          <w:lang w:eastAsia="zh-CN"/>
        </w:rPr>
        <w:t>需方</w:t>
      </w:r>
      <w:r>
        <w:rPr>
          <w:rFonts w:hint="eastAsia" w:ascii="仿宋" w:hAnsi="仿宋" w:eastAsia="仿宋" w:cs="仿宋"/>
          <w:sz w:val="28"/>
          <w:szCs w:val="28"/>
        </w:rPr>
        <w:t>认为的遗漏项目提请</w:t>
      </w:r>
      <w:r>
        <w:rPr>
          <w:rFonts w:hint="eastAsia" w:ascii="仿宋" w:hAnsi="仿宋" w:eastAsia="仿宋" w:cs="仿宋"/>
          <w:sz w:val="28"/>
          <w:szCs w:val="28"/>
          <w:lang w:eastAsia="zh-CN"/>
        </w:rPr>
        <w:t>需方</w:t>
      </w:r>
      <w:r>
        <w:rPr>
          <w:rFonts w:hint="eastAsia" w:ascii="仿宋" w:hAnsi="仿宋" w:eastAsia="仿宋" w:cs="仿宋"/>
          <w:sz w:val="28"/>
          <w:szCs w:val="28"/>
        </w:rPr>
        <w:t>注意，并详细说明理由。</w:t>
      </w:r>
      <w:r>
        <w:rPr>
          <w:rFonts w:hint="eastAsia" w:ascii="仿宋" w:hAnsi="仿宋" w:eastAsia="仿宋" w:cs="仿宋"/>
          <w:sz w:val="28"/>
          <w:szCs w:val="28"/>
          <w:lang w:eastAsia="zh-CN"/>
        </w:rPr>
        <w:t>需方</w:t>
      </w:r>
      <w:r>
        <w:rPr>
          <w:rFonts w:hint="eastAsia" w:ascii="仿宋" w:hAnsi="仿宋" w:eastAsia="仿宋" w:cs="仿宋"/>
          <w:sz w:val="28"/>
          <w:szCs w:val="28"/>
        </w:rPr>
        <w:t>将就此进行澄清。</w:t>
      </w:r>
    </w:p>
    <w:p>
      <w:pPr>
        <w:pStyle w:val="5"/>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应保证所提供的所有资料真实、完整、准确无误，否则</w:t>
      </w:r>
      <w:r>
        <w:rPr>
          <w:rFonts w:hint="eastAsia" w:ascii="仿宋" w:hAnsi="仿宋" w:eastAsia="仿宋" w:cs="仿宋"/>
          <w:sz w:val="28"/>
          <w:szCs w:val="28"/>
          <w:lang w:eastAsia="zh-CN"/>
        </w:rPr>
        <w:t>需方</w:t>
      </w:r>
      <w:r>
        <w:rPr>
          <w:rFonts w:hint="eastAsia" w:ascii="仿宋" w:hAnsi="仿宋" w:eastAsia="仿宋" w:cs="仿宋"/>
          <w:sz w:val="28"/>
          <w:szCs w:val="28"/>
        </w:rPr>
        <w:t>将有权取消</w:t>
      </w:r>
      <w:r>
        <w:rPr>
          <w:rFonts w:hint="eastAsia" w:ascii="仿宋" w:hAnsi="仿宋" w:eastAsia="仿宋" w:cs="仿宋"/>
          <w:sz w:val="28"/>
          <w:szCs w:val="28"/>
          <w:lang w:eastAsia="zh-CN"/>
        </w:rPr>
        <w:t>供方</w:t>
      </w:r>
      <w:r>
        <w:rPr>
          <w:rFonts w:hint="eastAsia" w:ascii="仿宋" w:hAnsi="仿宋" w:eastAsia="仿宋" w:cs="仿宋"/>
          <w:sz w:val="28"/>
          <w:szCs w:val="28"/>
        </w:rPr>
        <w:t>的投标资格，由此产生的一切后果由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pStyle w:val="5"/>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应按照本技术规范书的要求提供详细、完整的技术方案。所提供的技术方案应完全满足或高于本技术规范书的要求，对于本技术规范书中的条款，</w:t>
      </w:r>
      <w:r>
        <w:rPr>
          <w:rFonts w:hint="eastAsia" w:ascii="仿宋" w:hAnsi="仿宋" w:eastAsia="仿宋" w:cs="仿宋"/>
          <w:sz w:val="28"/>
          <w:szCs w:val="28"/>
          <w:lang w:eastAsia="zh-CN"/>
        </w:rPr>
        <w:t>供方</w:t>
      </w:r>
      <w:r>
        <w:rPr>
          <w:rFonts w:hint="eastAsia" w:ascii="仿宋" w:hAnsi="仿宋" w:eastAsia="仿宋" w:cs="仿宋"/>
          <w:sz w:val="28"/>
          <w:szCs w:val="28"/>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仿宋" w:hAnsi="仿宋" w:eastAsia="仿宋" w:cs="仿宋"/>
          <w:sz w:val="28"/>
          <w:szCs w:val="28"/>
          <w:lang w:eastAsia="zh-CN"/>
        </w:rPr>
        <w:t>供方</w:t>
      </w:r>
      <w:r>
        <w:rPr>
          <w:rFonts w:hint="eastAsia" w:ascii="仿宋" w:hAnsi="仿宋" w:eastAsia="仿宋" w:cs="仿宋"/>
          <w:sz w:val="28"/>
          <w:szCs w:val="28"/>
        </w:rPr>
        <w:t>应提出补充要求或建议，并陈述其理由。</w:t>
      </w:r>
    </w:p>
    <w:bookmarkEnd w:id="10"/>
    <w:p>
      <w:pPr>
        <w:pStyle w:val="2"/>
        <w:rPr>
          <w:rFonts w:hint="eastAsia" w:ascii="仿宋" w:hAnsi="仿宋" w:eastAsia="仿宋" w:cs="仿宋"/>
        </w:rPr>
      </w:pPr>
      <w:bookmarkStart w:id="14" w:name="_Toc25935"/>
      <w:bookmarkStart w:id="15" w:name="_Toc15840"/>
      <w:r>
        <w:rPr>
          <w:rFonts w:hint="eastAsia" w:ascii="仿宋" w:hAnsi="仿宋" w:eastAsia="仿宋" w:cs="仿宋"/>
        </w:rPr>
        <w:t>项目内容</w:t>
      </w:r>
      <w:bookmarkEnd w:id="14"/>
      <w:bookmarkEnd w:id="15"/>
    </w:p>
    <w:p>
      <w:pPr>
        <w:pStyle w:val="3"/>
        <w:rPr>
          <w:rFonts w:hint="eastAsia" w:ascii="仿宋" w:hAnsi="仿宋" w:eastAsia="仿宋" w:cs="仿宋"/>
        </w:rPr>
      </w:pPr>
      <w:bookmarkStart w:id="16" w:name="_Toc23034"/>
      <w:bookmarkStart w:id="17" w:name="_Toc11813"/>
      <w:r>
        <w:rPr>
          <w:rFonts w:hint="eastAsia" w:ascii="仿宋" w:hAnsi="仿宋" w:eastAsia="仿宋" w:cs="仿宋"/>
        </w:rPr>
        <w:t>项目背景</w:t>
      </w:r>
      <w:bookmarkEnd w:id="16"/>
      <w:bookmarkEnd w:id="17"/>
    </w:p>
    <w:p>
      <w:pPr>
        <w:numPr>
          <w:ilvl w:val="0"/>
          <w:numId w:val="0"/>
        </w:numPr>
        <w:spacing w:before="120" w:after="120" w:line="288" w:lineRule="auto"/>
        <w:ind w:firstLine="560" w:firstLineChars="200"/>
        <w:jc w:val="left"/>
        <w:rPr>
          <w:rFonts w:hint="eastAsia" w:ascii="仿宋" w:hAnsi="仿宋" w:eastAsia="仿宋" w:cs="仿宋"/>
          <w:sz w:val="28"/>
          <w:szCs w:val="28"/>
          <w:lang w:val="en-US" w:eastAsia="zh-CN"/>
        </w:rPr>
      </w:pPr>
      <w:bookmarkStart w:id="18" w:name="_Toc27246"/>
      <w:bookmarkStart w:id="19" w:name="_Toc22333"/>
      <w:bookmarkStart w:id="20" w:name="_Toc26239"/>
      <w:bookmarkStart w:id="21" w:name="_Toc10869"/>
      <w:r>
        <w:rPr>
          <w:rFonts w:hint="eastAsia" w:ascii="仿宋" w:hAnsi="仿宋" w:eastAsia="仿宋" w:cs="仿宋"/>
          <w:sz w:val="28"/>
          <w:szCs w:val="28"/>
          <w:lang w:val="en-US" w:eastAsia="zh-CN"/>
        </w:rPr>
        <w:t>本项目为需方计量校准零星采购项目，旨在通过公开采购方式，选择具备相应资质、技术能力和服务水平的供应商，为需方提供各类仪器设备的计量校准服务。服务范围试验仪器、监测仪器等的零星校准需求，确保各类仪器设备量值准确、性能稳定，符合国家计量法规、行业标准及南方电网相关技术要求，保障电网安全、稳定、高效运行。</w:t>
      </w:r>
      <w:bookmarkEnd w:id="18"/>
      <w:bookmarkEnd w:id="19"/>
      <w:bookmarkEnd w:id="20"/>
      <w:bookmarkEnd w:id="21"/>
    </w:p>
    <w:p>
      <w:pPr>
        <w:pStyle w:val="3"/>
        <w:rPr>
          <w:rFonts w:hint="eastAsia" w:ascii="仿宋" w:hAnsi="仿宋" w:eastAsia="仿宋" w:cs="仿宋"/>
        </w:rPr>
      </w:pPr>
      <w:bookmarkStart w:id="22" w:name="_Toc9850"/>
      <w:bookmarkStart w:id="23" w:name="_Toc6910"/>
      <w:r>
        <w:rPr>
          <w:rFonts w:hint="eastAsia" w:ascii="仿宋" w:hAnsi="仿宋" w:eastAsia="仿宋" w:cs="仿宋"/>
          <w:lang w:val="en-US" w:eastAsia="zh-CN"/>
        </w:rPr>
        <w:t>质量</w:t>
      </w:r>
      <w:r>
        <w:rPr>
          <w:rFonts w:hint="eastAsia" w:ascii="仿宋" w:hAnsi="仿宋" w:eastAsia="仿宋" w:cs="仿宋"/>
        </w:rPr>
        <w:t>目标</w:t>
      </w:r>
      <w:bookmarkEnd w:id="22"/>
      <w:bookmarkEnd w:id="23"/>
    </w:p>
    <w:p>
      <w:pPr>
        <w:spacing w:before="120" w:after="120" w:line="288" w:lineRule="auto"/>
        <w:ind w:left="0" w:firstLine="560" w:firstLineChars="200"/>
        <w:jc w:val="left"/>
        <w:rPr>
          <w:rFonts w:hint="eastAsia" w:ascii="仿宋" w:hAnsi="仿宋" w:eastAsia="仿宋" w:cs="仿宋"/>
          <w:sz w:val="28"/>
          <w:szCs w:val="28"/>
        </w:rPr>
      </w:pPr>
      <w:bookmarkStart w:id="24" w:name="_Toc6947"/>
      <w:r>
        <w:rPr>
          <w:rFonts w:hint="eastAsia" w:ascii="仿宋" w:hAnsi="仿宋" w:eastAsia="仿宋" w:cs="仿宋"/>
          <w:sz w:val="28"/>
          <w:szCs w:val="28"/>
        </w:rPr>
        <w:t>本项目校准服务质量需达到以下目标：</w:t>
      </w:r>
    </w:p>
    <w:p>
      <w:pPr>
        <w:numPr>
          <w:ilvl w:val="0"/>
          <w:numId w:val="3"/>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校准工作严格遵循国家计量法规、行业标准及南方电网相关要求，确保校准过程规范、数据真实准确；</w:t>
      </w:r>
    </w:p>
    <w:p>
      <w:pPr>
        <w:numPr>
          <w:ilvl w:val="0"/>
          <w:numId w:val="4"/>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校准后的仪器设备量值误差符合相应校准规范及仪器说明书要求，合格率达到100%；</w:t>
      </w:r>
    </w:p>
    <w:p>
      <w:pPr>
        <w:numPr>
          <w:ilvl w:val="0"/>
          <w:numId w:val="5"/>
        </w:numPr>
        <w:spacing w:before="120" w:after="120" w:line="288" w:lineRule="auto"/>
        <w:ind w:left="0"/>
        <w:jc w:val="left"/>
      </w:pPr>
      <w:r>
        <w:rPr>
          <w:rFonts w:hint="eastAsia" w:ascii="仿宋" w:hAnsi="仿宋" w:eastAsia="仿宋" w:cs="仿宋"/>
          <w:sz w:val="28"/>
          <w:szCs w:val="28"/>
        </w:rPr>
        <w:t>校准报告完整、规范、有效，符合计量认证要求，可作为仪器设备合格使用的依据；</w:t>
      </w:r>
    </w:p>
    <w:p>
      <w:pPr>
        <w:pStyle w:val="3"/>
        <w:rPr>
          <w:rFonts w:hint="eastAsia" w:ascii="仿宋" w:hAnsi="仿宋" w:eastAsia="仿宋" w:cs="仿宋"/>
        </w:rPr>
      </w:pPr>
      <w:bookmarkStart w:id="25" w:name="_Toc18438"/>
      <w:r>
        <w:rPr>
          <w:rFonts w:hint="eastAsia" w:ascii="仿宋" w:hAnsi="仿宋" w:eastAsia="仿宋" w:cs="仿宋"/>
          <w:lang w:val="en-US" w:eastAsia="zh-CN"/>
        </w:rPr>
        <w:t>校验</w:t>
      </w:r>
      <w:r>
        <w:rPr>
          <w:rFonts w:hint="eastAsia" w:ascii="仿宋" w:hAnsi="仿宋" w:eastAsia="仿宋" w:cs="仿宋"/>
        </w:rPr>
        <w:t>内容</w:t>
      </w:r>
      <w:bookmarkEnd w:id="24"/>
      <w:bookmarkEnd w:id="25"/>
      <w:bookmarkStart w:id="26" w:name="_Toc198288469"/>
      <w:bookmarkStart w:id="27" w:name="_Toc197719624"/>
    </w:p>
    <w:p>
      <w:pPr>
        <w:numPr>
          <w:ilvl w:val="0"/>
          <w:numId w:val="0"/>
        </w:numPr>
        <w:spacing w:line="360" w:lineRule="auto"/>
        <w:ind w:firstLine="560" w:firstLineChars="200"/>
        <w:rPr>
          <w:rFonts w:hint="eastAsia" w:ascii="仿宋" w:hAnsi="仿宋" w:eastAsia="仿宋" w:cs="仿宋"/>
          <w:b w:val="0"/>
          <w:bCs w:val="0"/>
          <w:color w:val="auto"/>
          <w:sz w:val="28"/>
          <w:szCs w:val="28"/>
          <w:lang w:val="en-US" w:eastAsia="zh-CN"/>
        </w:rPr>
      </w:pPr>
      <w:bookmarkStart w:id="28" w:name="_Toc168479656"/>
      <w:bookmarkEnd w:id="28"/>
      <w:r>
        <w:rPr>
          <w:rFonts w:hint="eastAsia" w:ascii="仿宋" w:hAnsi="仿宋" w:eastAsia="仿宋" w:cs="仿宋"/>
          <w:sz w:val="28"/>
          <w:szCs w:val="28"/>
          <w:u w:val="single"/>
        </w:rPr>
        <w:t>南方电网</w:t>
      </w:r>
      <w:r>
        <w:rPr>
          <w:rFonts w:hint="eastAsia" w:ascii="仿宋" w:hAnsi="仿宋" w:eastAsia="仿宋" w:cs="仿宋"/>
          <w:sz w:val="28"/>
          <w:szCs w:val="28"/>
          <w:u w:val="single"/>
          <w:lang w:val="en-US" w:eastAsia="zh-CN"/>
        </w:rPr>
        <w:t>绿能科技（广东）</w:t>
      </w:r>
      <w:r>
        <w:rPr>
          <w:rFonts w:hint="eastAsia" w:ascii="仿宋" w:hAnsi="仿宋" w:eastAsia="仿宋" w:cs="仿宋"/>
          <w:sz w:val="28"/>
          <w:szCs w:val="28"/>
          <w:u w:val="single"/>
          <w:lang w:val="en-US"/>
        </w:rPr>
        <w:t>有限公司</w:t>
      </w:r>
      <w:r>
        <w:rPr>
          <w:rFonts w:hint="eastAsia" w:ascii="仿宋" w:hAnsi="仿宋" w:eastAsia="仿宋" w:cs="仿宋"/>
          <w:sz w:val="28"/>
          <w:szCs w:val="28"/>
          <w:u w:val="none"/>
          <w:lang w:val="en-US" w:eastAsia="zh-CN"/>
        </w:rPr>
        <w:t>11项仪器仪表，共计13台仪器</w:t>
      </w:r>
      <w:r>
        <w:rPr>
          <w:rFonts w:hint="eastAsia" w:ascii="仿宋" w:hAnsi="仿宋" w:eastAsia="仿宋" w:cs="仿宋"/>
          <w:b w:val="0"/>
          <w:bCs w:val="0"/>
          <w:color w:val="auto"/>
          <w:sz w:val="21"/>
          <w:szCs w:val="21"/>
          <w:lang w:val="en-US" w:eastAsia="zh-CN"/>
        </w:rPr>
        <w:t>。</w:t>
      </w:r>
      <w:r>
        <w:rPr>
          <w:rFonts w:hint="eastAsia" w:ascii="仿宋" w:hAnsi="仿宋" w:eastAsia="仿宋" w:cs="仿宋"/>
          <w:b w:val="0"/>
          <w:bCs w:val="0"/>
          <w:color w:val="auto"/>
          <w:sz w:val="28"/>
          <w:szCs w:val="28"/>
          <w:lang w:val="en-US" w:eastAsia="zh-CN"/>
        </w:rPr>
        <w:t>报价应包含上门服务和送检所产生的所有费用，具体需开展校验的设备和仪器仪表详见下表：</w:t>
      </w:r>
    </w:p>
    <w:p>
      <w:pPr>
        <w:numPr>
          <w:ilvl w:val="0"/>
          <w:numId w:val="0"/>
        </w:numPr>
        <w:spacing w:line="360" w:lineRule="auto"/>
        <w:ind w:firstLine="1260" w:firstLineChars="600"/>
        <w:rPr>
          <w:rFonts w:hint="eastAsia" w:ascii="宋体" w:hAnsi="宋体" w:eastAsia="宋体" w:cs="宋体"/>
          <w:b w:val="0"/>
          <w:bCs w:val="0"/>
          <w:color w:val="auto"/>
          <w:sz w:val="21"/>
          <w:szCs w:val="21"/>
          <w:lang w:val="en-US" w:eastAsia="zh-CN"/>
        </w:rPr>
      </w:pPr>
    </w:p>
    <w:p>
      <w:pPr>
        <w:numPr>
          <w:ilvl w:val="0"/>
          <w:numId w:val="0"/>
        </w:numPr>
        <w:spacing w:line="360" w:lineRule="auto"/>
        <w:ind w:firstLine="1260" w:firstLineChars="600"/>
        <w:rPr>
          <w:rFonts w:hint="eastAsia" w:ascii="宋体" w:hAnsi="宋体" w:eastAsia="宋体" w:cs="宋体"/>
          <w:b w:val="0"/>
          <w:bCs w:val="0"/>
          <w:color w:val="auto"/>
          <w:sz w:val="21"/>
          <w:szCs w:val="21"/>
          <w:lang w:val="en-US" w:eastAsia="zh-CN"/>
        </w:rPr>
      </w:pPr>
    </w:p>
    <w:p>
      <w:pPr>
        <w:numPr>
          <w:ilvl w:val="0"/>
          <w:numId w:val="0"/>
        </w:numPr>
        <w:spacing w:line="360" w:lineRule="auto"/>
        <w:ind w:firstLine="1260" w:firstLineChars="600"/>
        <w:rPr>
          <w:rFonts w:hint="eastAsia" w:ascii="宋体" w:hAnsi="宋体" w:eastAsia="宋体" w:cs="宋体"/>
          <w:b w:val="0"/>
          <w:bCs w:val="0"/>
          <w:color w:val="auto"/>
          <w:sz w:val="21"/>
          <w:szCs w:val="21"/>
          <w:lang w:val="en-US" w:eastAsia="zh-CN"/>
        </w:rPr>
      </w:pPr>
    </w:p>
    <w:p>
      <w:pPr>
        <w:numPr>
          <w:ilvl w:val="0"/>
          <w:numId w:val="0"/>
        </w:numPr>
        <w:spacing w:line="360" w:lineRule="auto"/>
        <w:ind w:firstLine="1260" w:firstLineChars="600"/>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南方电网绿能科技（广东）有限公司设备及仪器仪表校验项目清单</w:t>
      </w:r>
    </w:p>
    <w:tbl>
      <w:tblPr>
        <w:tblStyle w:val="13"/>
        <w:tblW w:w="774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908"/>
        <w:gridCol w:w="912"/>
        <w:gridCol w:w="1012"/>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852" w:type="dxa"/>
            <w:shd w:val="clear" w:color="auto" w:fill="auto"/>
            <w:vAlign w:val="center"/>
          </w:tcPr>
          <w:p>
            <w:pPr>
              <w:spacing w:line="360" w:lineRule="auto"/>
              <w:jc w:val="center"/>
              <w:rPr>
                <w:sz w:val="24"/>
                <w:szCs w:val="24"/>
              </w:rPr>
            </w:pPr>
            <w:r>
              <w:rPr>
                <w:rFonts w:hint="eastAsia"/>
                <w:sz w:val="24"/>
                <w:szCs w:val="24"/>
              </w:rPr>
              <w:t>序号</w:t>
            </w:r>
          </w:p>
        </w:tc>
        <w:tc>
          <w:tcPr>
            <w:tcW w:w="2908" w:type="dxa"/>
            <w:shd w:val="clear" w:color="auto" w:fill="auto"/>
            <w:vAlign w:val="center"/>
          </w:tcPr>
          <w:p>
            <w:pPr>
              <w:spacing w:line="360" w:lineRule="auto"/>
              <w:jc w:val="center"/>
              <w:rPr>
                <w:sz w:val="24"/>
                <w:szCs w:val="24"/>
              </w:rPr>
            </w:pPr>
            <w:r>
              <w:rPr>
                <w:rFonts w:hint="eastAsia"/>
                <w:sz w:val="24"/>
                <w:szCs w:val="24"/>
                <w:lang w:val="en-US" w:eastAsia="zh-CN"/>
              </w:rPr>
              <w:t>项目</w:t>
            </w:r>
            <w:r>
              <w:rPr>
                <w:rFonts w:hint="eastAsia"/>
                <w:sz w:val="24"/>
                <w:szCs w:val="24"/>
              </w:rPr>
              <w:t>名称</w:t>
            </w:r>
          </w:p>
        </w:tc>
        <w:tc>
          <w:tcPr>
            <w:tcW w:w="912" w:type="dxa"/>
            <w:shd w:val="clear" w:color="auto" w:fill="auto"/>
            <w:vAlign w:val="center"/>
          </w:tcPr>
          <w:p>
            <w:pPr>
              <w:spacing w:line="360" w:lineRule="auto"/>
              <w:jc w:val="center"/>
              <w:rPr>
                <w:rFonts w:hint="eastAsia" w:eastAsiaTheme="minorEastAsia"/>
                <w:sz w:val="24"/>
                <w:szCs w:val="24"/>
                <w:lang w:eastAsia="zh-CN"/>
              </w:rPr>
            </w:pPr>
            <w:r>
              <w:rPr>
                <w:rFonts w:hint="eastAsia"/>
                <w:sz w:val="24"/>
                <w:szCs w:val="24"/>
                <w:lang w:val="en-US" w:eastAsia="zh-CN"/>
              </w:rPr>
              <w:t>数量</w:t>
            </w:r>
          </w:p>
        </w:tc>
        <w:tc>
          <w:tcPr>
            <w:tcW w:w="1012" w:type="dxa"/>
            <w:vAlign w:val="center"/>
          </w:tcPr>
          <w:p>
            <w:pPr>
              <w:spacing w:line="360" w:lineRule="auto"/>
              <w:jc w:val="center"/>
              <w:rPr>
                <w:rFonts w:hint="eastAsia" w:eastAsiaTheme="minorEastAsia"/>
                <w:sz w:val="24"/>
                <w:szCs w:val="24"/>
                <w:lang w:eastAsia="zh-CN"/>
              </w:rPr>
            </w:pPr>
            <w:r>
              <w:rPr>
                <w:rFonts w:hint="eastAsia"/>
                <w:sz w:val="24"/>
                <w:szCs w:val="24"/>
                <w:lang w:val="en-US" w:eastAsia="zh-CN"/>
              </w:rPr>
              <w:t>单位</w:t>
            </w:r>
          </w:p>
        </w:tc>
        <w:tc>
          <w:tcPr>
            <w:tcW w:w="2058" w:type="dxa"/>
            <w:vAlign w:val="center"/>
          </w:tcPr>
          <w:p>
            <w:pPr>
              <w:spacing w:line="360" w:lineRule="auto"/>
              <w:jc w:val="center"/>
              <w:rPr>
                <w:rFonts w:hint="default"/>
                <w:sz w:val="24"/>
                <w:szCs w:val="24"/>
                <w:lang w:val="en-US" w:eastAsia="zh-CN"/>
              </w:rPr>
            </w:pPr>
            <w:r>
              <w:rPr>
                <w:rFonts w:hint="eastAsia"/>
                <w:sz w:val="24"/>
                <w:szCs w:val="24"/>
                <w:lang w:val="en-US" w:eastAsia="zh-CN"/>
              </w:rPr>
              <w:t>校准要求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52" w:type="dxa"/>
            <w:shd w:val="clear" w:color="auto" w:fill="auto"/>
            <w:vAlign w:val="center"/>
          </w:tcPr>
          <w:p>
            <w:pPr>
              <w:spacing w:line="276" w:lineRule="auto"/>
              <w:jc w:val="center"/>
              <w:rPr>
                <w:sz w:val="24"/>
                <w:szCs w:val="24"/>
              </w:rPr>
            </w:pPr>
            <w:r>
              <w:rPr>
                <w:rFonts w:hint="default" w:ascii="Times New Roman" w:hAnsi="Times New Roman" w:cs="Times New Roman"/>
                <w:sz w:val="24"/>
                <w:szCs w:val="24"/>
                <w:lang w:val="en-US" w:eastAsia="zh-CN"/>
              </w:rPr>
              <w:t>1</w:t>
            </w:r>
          </w:p>
        </w:tc>
        <w:tc>
          <w:tcPr>
            <w:tcW w:w="2908" w:type="dxa"/>
            <w:shd w:val="clear" w:color="auto" w:fill="auto"/>
            <w:vAlign w:val="center"/>
          </w:tcPr>
          <w:p>
            <w:pPr>
              <w:keepNext w:val="0"/>
              <w:keepLines w:val="0"/>
              <w:widowControl/>
              <w:suppressLineNumbers w:val="0"/>
              <w:jc w:val="center"/>
              <w:textAlignment w:val="center"/>
              <w:rPr>
                <w:rFonts w:hint="default" w:eastAsiaTheme="minorEastAsia"/>
                <w:sz w:val="24"/>
                <w:szCs w:val="24"/>
                <w:lang w:val="en-US" w:eastAsia="zh-CN"/>
              </w:rPr>
            </w:pPr>
            <w:r>
              <w:rPr>
                <w:rFonts w:hint="eastAsia" w:ascii="宋体" w:hAnsi="宋体" w:eastAsia="宋体" w:cs="宋体"/>
                <w:i w:val="0"/>
                <w:iCs w:val="0"/>
                <w:color w:val="000000"/>
                <w:kern w:val="0"/>
                <w:sz w:val="22"/>
                <w:szCs w:val="22"/>
                <w:u w:val="none"/>
                <w:lang w:val="en-US" w:eastAsia="zh-CN" w:bidi="ar"/>
              </w:rPr>
              <w:t>安全帽试验机</w:t>
            </w:r>
          </w:p>
        </w:tc>
        <w:tc>
          <w:tcPr>
            <w:tcW w:w="912" w:type="dxa"/>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default" w:eastAsiaTheme="minor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常规校准点，包含4900N，校准动态力、落锤、穿刺锥同步校准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tc>
        <w:tc>
          <w:tcPr>
            <w:tcW w:w="2908" w:type="dxa"/>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多功能组合力学测试装置</w:t>
            </w:r>
          </w:p>
        </w:tc>
        <w:tc>
          <w:tcPr>
            <w:tcW w:w="912"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常规校准点，包含90N、800N、1.176kN、1.2kN、1.765kN、2.205kN、3.3kN、4.9kN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接地线成组电阻测试仪</w:t>
            </w:r>
          </w:p>
        </w:tc>
        <w:tc>
          <w:tcPr>
            <w:tcW w:w="912"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val="en-US" w:eastAsia="zh-CN" w:bidi="ar"/>
              </w:rPr>
            </w:pPr>
            <w:r>
              <w:rPr>
                <w:rFonts w:hint="default" w:ascii="Times New Roman" w:hAnsi="Times New Roman" w:eastAsia="仿宋" w:cs="Times New Roman"/>
                <w:i w:val="0"/>
                <w:color w:val="000000"/>
                <w:kern w:val="0"/>
                <w:sz w:val="22"/>
                <w:szCs w:val="22"/>
                <w:u w:val="none"/>
                <w:lang w:val="en-US" w:eastAsia="zh-CN" w:bidi="ar"/>
              </w:rPr>
              <w:t>常规校准点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导电鞋电阻测试仪</w:t>
            </w:r>
          </w:p>
        </w:tc>
        <w:tc>
          <w:tcPr>
            <w:tcW w:w="912"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常规校准点，包含100kΩ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屏蔽服效率测试仪</w:t>
            </w:r>
          </w:p>
        </w:tc>
        <w:tc>
          <w:tcPr>
            <w:tcW w:w="912" w:type="dxa"/>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屏蔽服表面电阻测试仪</w:t>
            </w:r>
          </w:p>
        </w:tc>
        <w:tc>
          <w:tcPr>
            <w:tcW w:w="912" w:type="dxa"/>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常规校准点，包含15Ω、20Ω、500Ω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7</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游标卡尺</w:t>
            </w:r>
          </w:p>
        </w:tc>
        <w:tc>
          <w:tcPr>
            <w:tcW w:w="912" w:type="dxa"/>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val="en-US" w:eastAsia="zh-CN" w:bidi="ar"/>
              </w:rPr>
            </w:pPr>
            <w:r>
              <w:rPr>
                <w:rFonts w:hint="default" w:ascii="Times New Roman" w:hAnsi="Times New Roman" w:eastAsia="仿宋" w:cs="Times New Roman"/>
                <w:i w:val="0"/>
                <w:color w:val="000000"/>
                <w:kern w:val="0"/>
                <w:sz w:val="22"/>
                <w:szCs w:val="22"/>
                <w:u w:val="none"/>
                <w:lang w:val="en-US" w:eastAsia="zh-CN" w:bidi="ar"/>
              </w:rPr>
              <w:t>常规校准点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8</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量角器</w:t>
            </w:r>
          </w:p>
        </w:tc>
        <w:tc>
          <w:tcPr>
            <w:tcW w:w="912" w:type="dxa"/>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val="en-US" w:eastAsia="zh-CN" w:bidi="ar"/>
              </w:rPr>
            </w:pPr>
            <w:r>
              <w:rPr>
                <w:rFonts w:hint="default" w:ascii="Times New Roman" w:hAnsi="Times New Roman" w:eastAsia="仿宋" w:cs="Times New Roman"/>
                <w:i w:val="0"/>
                <w:color w:val="000000"/>
                <w:kern w:val="0"/>
                <w:sz w:val="22"/>
                <w:szCs w:val="22"/>
                <w:u w:val="none"/>
                <w:lang w:val="en-US" w:eastAsia="zh-CN" w:bidi="ar"/>
              </w:rPr>
              <w:t>常规校准点，包含65°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9</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卷尺</w:t>
            </w:r>
          </w:p>
        </w:tc>
        <w:tc>
          <w:tcPr>
            <w:tcW w:w="912" w:type="dxa"/>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color w:val="000000"/>
                <w:kern w:val="0"/>
                <w:sz w:val="22"/>
                <w:szCs w:val="22"/>
                <w:u w:val="none"/>
                <w:lang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照度计</w:t>
            </w:r>
          </w:p>
        </w:tc>
        <w:tc>
          <w:tcPr>
            <w:tcW w:w="912"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1</w:t>
            </w:r>
          </w:p>
        </w:tc>
        <w:tc>
          <w:tcPr>
            <w:tcW w:w="1012" w:type="dxa"/>
            <w:vAlign w:val="center"/>
          </w:tcPr>
          <w:p>
            <w:pPr>
              <w:spacing w:line="360" w:lineRule="auto"/>
              <w:jc w:val="center"/>
              <w:rPr>
                <w:rFonts w:hint="default"/>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52" w:type="dxa"/>
            <w:shd w:val="clear" w:color="auto" w:fill="auto"/>
            <w:vAlign w:val="center"/>
          </w:tcPr>
          <w:p>
            <w:pPr>
              <w:spacing w:line="276" w:lineRule="auto"/>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11</w:t>
            </w:r>
          </w:p>
        </w:tc>
        <w:tc>
          <w:tcPr>
            <w:tcW w:w="2908"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温湿度计</w:t>
            </w:r>
          </w:p>
        </w:tc>
        <w:tc>
          <w:tcPr>
            <w:tcW w:w="912" w:type="dxa"/>
            <w:shd w:val="clear" w:color="auto" w:fill="auto"/>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eastAsia="仿宋" w:cs="Times New Roman"/>
                <w:i w:val="0"/>
                <w:color w:val="000000"/>
                <w:kern w:val="0"/>
                <w:sz w:val="22"/>
                <w:szCs w:val="22"/>
                <w:u w:val="none"/>
                <w:lang w:val="en-US" w:eastAsia="zh-CN" w:bidi="ar"/>
              </w:rPr>
              <w:t>3</w:t>
            </w:r>
          </w:p>
        </w:tc>
        <w:tc>
          <w:tcPr>
            <w:tcW w:w="1012" w:type="dxa"/>
            <w:vAlign w:val="center"/>
          </w:tcPr>
          <w:p>
            <w:pPr>
              <w:spacing w:line="360" w:lineRule="auto"/>
              <w:jc w:val="center"/>
              <w:rPr>
                <w:rFonts w:hint="eastAsia"/>
                <w:sz w:val="24"/>
                <w:szCs w:val="24"/>
                <w:lang w:val="en-US" w:eastAsia="zh-CN"/>
              </w:rPr>
            </w:pPr>
            <w:r>
              <w:rPr>
                <w:rFonts w:hint="eastAsia" w:eastAsiaTheme="minorEastAsia"/>
                <w:sz w:val="24"/>
                <w:szCs w:val="24"/>
                <w:lang w:val="en-US" w:eastAsia="zh-CN"/>
              </w:rPr>
              <w:t>台</w:t>
            </w:r>
          </w:p>
        </w:tc>
        <w:tc>
          <w:tcPr>
            <w:tcW w:w="2058" w:type="dxa"/>
            <w:vAlign w:val="center"/>
          </w:tcPr>
          <w:p>
            <w:pPr>
              <w:keepNext w:val="0"/>
              <w:keepLines w:val="0"/>
              <w:widowControl/>
              <w:suppressLineNumbers w:val="0"/>
              <w:jc w:val="center"/>
              <w:textAlignment w:val="center"/>
              <w:rPr>
                <w:rFonts w:hint="eastAsia" w:ascii="Times New Roman" w:hAnsi="Times New Roman" w:eastAsia="仿宋" w:cs="Times New Roman"/>
                <w:i w:val="0"/>
                <w:color w:val="000000"/>
                <w:kern w:val="0"/>
                <w:sz w:val="22"/>
                <w:szCs w:val="22"/>
                <w:u w:val="none"/>
                <w:lang w:val="en-US" w:eastAsia="zh-CN" w:bidi="ar"/>
              </w:rPr>
            </w:pPr>
            <w:r>
              <w:rPr>
                <w:rFonts w:hint="eastAsia" w:ascii="Times New Roman" w:hAnsi="Times New Roman" w:eastAsia="仿宋" w:cs="Times New Roman"/>
                <w:i w:val="0"/>
                <w:color w:val="000000"/>
                <w:kern w:val="0"/>
                <w:sz w:val="22"/>
                <w:szCs w:val="22"/>
                <w:u w:val="none"/>
                <w:lang w:val="en-US" w:eastAsia="zh-CN" w:bidi="ar"/>
              </w:rPr>
              <w:t>常规校准点，温度包含10℃、20℃、30℃，湿度包含40%RH、60%RH、80%RH</w:t>
            </w:r>
          </w:p>
        </w:tc>
      </w:tr>
    </w:tbl>
    <w:p>
      <w:pPr>
        <w:pStyle w:val="4"/>
        <w:numPr>
          <w:ilvl w:val="2"/>
          <w:numId w:val="0"/>
        </w:numPr>
        <w:bidi w:val="0"/>
        <w:ind w:leftChars="0"/>
        <w:rPr>
          <w:rFonts w:hint="eastAsia"/>
        </w:rPr>
      </w:pPr>
    </w:p>
    <w:p>
      <w:pPr>
        <w:rPr>
          <w:rFonts w:hint="eastAsia"/>
          <w:color w:val="FF0000"/>
          <w:shd w:val="clear" w:color="auto" w:fill="auto"/>
        </w:rPr>
      </w:pPr>
    </w:p>
    <w:p>
      <w:pPr>
        <w:rPr>
          <w:rFonts w:hint="eastAsia"/>
          <w:color w:val="FF0000"/>
          <w:shd w:val="clear" w:color="auto" w:fill="auto"/>
        </w:rPr>
      </w:pPr>
    </w:p>
    <w:p>
      <w:pPr>
        <w:rPr>
          <w:rFonts w:hint="eastAsia"/>
          <w:color w:val="FF0000"/>
          <w:shd w:val="clear" w:color="auto" w:fill="auto"/>
        </w:rPr>
      </w:pPr>
    </w:p>
    <w:p>
      <w:pPr>
        <w:pStyle w:val="4"/>
        <w:bidi w:val="0"/>
        <w:ind w:left="709" w:leftChars="0" w:hanging="709" w:firstLineChars="0"/>
        <w:rPr>
          <w:rFonts w:hint="eastAsia" w:ascii="仿宋" w:hAnsi="仿宋" w:eastAsia="仿宋" w:cs="仿宋"/>
          <w:sz w:val="28"/>
          <w:szCs w:val="28"/>
          <w:lang w:val="en-US" w:eastAsia="zh-CN"/>
        </w:rPr>
      </w:pPr>
      <w:bookmarkStart w:id="29" w:name="_Toc20969"/>
      <w:r>
        <w:rPr>
          <w:rFonts w:hint="eastAsia"/>
          <w:lang w:val="en-US" w:eastAsia="zh-CN"/>
        </w:rPr>
        <w:t>校验依据</w:t>
      </w:r>
      <w:bookmarkEnd w:id="29"/>
    </w:p>
    <w:p>
      <w:p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本技术规范书编制依据以下国家法规、行业标准及南方电网相关要求，所有校准工作必须严格遵循下述规范（包括但不限于）：</w:t>
      </w:r>
    </w:p>
    <w:p>
      <w:pPr>
        <w:numPr>
          <w:ilvl w:val="0"/>
          <w:numId w:val="6"/>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《中华人民共和国计量法》</w:t>
      </w:r>
    </w:p>
    <w:p>
      <w:pPr>
        <w:numPr>
          <w:ilvl w:val="0"/>
          <w:numId w:val="7"/>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《中华人民共和国计量法实施细则》</w:t>
      </w:r>
    </w:p>
    <w:p>
      <w:pPr>
        <w:numPr>
          <w:ilvl w:val="0"/>
          <w:numId w:val="8"/>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JJF 1071-2010《国家计量校准规范编写规则》</w:t>
      </w:r>
    </w:p>
    <w:p>
      <w:pPr>
        <w:numPr>
          <w:ilvl w:val="0"/>
          <w:numId w:val="9"/>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JJF 1001-2011《通用计量术语及定义》</w:t>
      </w:r>
    </w:p>
    <w:p>
      <w:pPr>
        <w:numPr>
          <w:ilvl w:val="0"/>
          <w:numId w:val="10"/>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JJF 1059.1-2012《测量不确定度评定与表示》</w:t>
      </w:r>
    </w:p>
    <w:p>
      <w:pPr>
        <w:numPr>
          <w:ilvl w:val="0"/>
          <w:numId w:val="11"/>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国家及行业发布的各类仪器计量校准规程、规范（如JJG系列检定规程、JJF系列校准规范）</w:t>
      </w:r>
    </w:p>
    <w:p>
      <w:pPr>
        <w:numPr>
          <w:ilvl w:val="0"/>
          <w:numId w:val="12"/>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南方电网公司《电力设备计量管理办法》</w:t>
      </w:r>
    </w:p>
    <w:p>
      <w:pPr>
        <w:numPr>
          <w:ilvl w:val="0"/>
          <w:numId w:val="13"/>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南方电网公司相关仪器设备技术标准及校准要求</w:t>
      </w:r>
    </w:p>
    <w:p>
      <w:pPr>
        <w:numPr>
          <w:ilvl w:val="0"/>
          <w:numId w:val="14"/>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本项目采购文件及相关补充要求</w:t>
      </w:r>
    </w:p>
    <w:p>
      <w:pPr>
        <w:pStyle w:val="6"/>
        <w:rPr>
          <w:rFonts w:hint="eastAsia"/>
          <w:lang w:val="en-US" w:eastAsia="zh-CN"/>
        </w:rPr>
      </w:pPr>
    </w:p>
    <w:p>
      <w:pPr>
        <w:pStyle w:val="4"/>
        <w:bidi w:val="0"/>
        <w:ind w:left="709" w:leftChars="0" w:hanging="709" w:firstLineChars="0"/>
        <w:rPr>
          <w:rFonts w:hint="eastAsia"/>
        </w:rPr>
      </w:pPr>
      <w:bookmarkStart w:id="30" w:name="_Toc7576"/>
      <w:r>
        <w:rPr>
          <w:rFonts w:hint="eastAsia"/>
          <w:lang w:val="en-US" w:eastAsia="zh-CN"/>
        </w:rPr>
        <w:t>校准基本原则</w:t>
      </w:r>
      <w:bookmarkEnd w:id="30"/>
    </w:p>
    <w:p>
      <w:pPr>
        <w:numPr>
          <w:ilvl w:val="0"/>
          <w:numId w:val="15"/>
        </w:numPr>
        <w:spacing w:before="120" w:after="120" w:line="288" w:lineRule="auto"/>
        <w:ind w:left="0"/>
        <w:jc w:val="left"/>
        <w:rPr>
          <w:rFonts w:hint="eastAsia" w:ascii="仿宋" w:hAnsi="仿宋" w:eastAsia="仿宋" w:cs="仿宋"/>
          <w:sz w:val="28"/>
          <w:szCs w:val="28"/>
        </w:rPr>
      </w:pPr>
      <w:bookmarkStart w:id="31" w:name="_Toc5841"/>
      <w:r>
        <w:rPr>
          <w:rFonts w:hint="eastAsia" w:ascii="仿宋" w:hAnsi="仿宋" w:eastAsia="仿宋" w:cs="仿宋"/>
          <w:sz w:val="28"/>
          <w:szCs w:val="28"/>
        </w:rPr>
        <w:t>校准工作必须严格按照国家计量校准规程、行业标准及仪器设备说明书的要求进行，确保校准过程规范、科学、合理。</w:t>
      </w:r>
    </w:p>
    <w:p>
      <w:pPr>
        <w:numPr>
          <w:ilvl w:val="0"/>
          <w:numId w:val="16"/>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校准所使用的标准计量器具必须经法定计量机构校准合格，且在有效期内，标准器具的量程、精度等级须满足被校仪器的校准要求。</w:t>
      </w:r>
    </w:p>
    <w:p>
      <w:pPr>
        <w:numPr>
          <w:ilvl w:val="0"/>
          <w:numId w:val="17"/>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校准过程中，须对仪器设备的各项计量特性进行全面检测，包括示值误差、重复性、稳定性等，确保校准数据全面、真实、准确。</w:t>
      </w:r>
    </w:p>
    <w:p>
      <w:pPr>
        <w:numPr>
          <w:ilvl w:val="0"/>
          <w:numId w:val="18"/>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校准环境须符合相关规范要求，对于有温度、湿度等环境要求的校准项目，须在规定的环境条件下进行，并记录环境参数。</w:t>
      </w:r>
    </w:p>
    <w:bookmarkEnd w:id="31"/>
    <w:p>
      <w:pPr>
        <w:pStyle w:val="4"/>
        <w:bidi w:val="0"/>
        <w:ind w:left="709" w:leftChars="0" w:hanging="709" w:firstLineChars="0"/>
        <w:rPr>
          <w:rFonts w:hint="eastAsia"/>
        </w:rPr>
      </w:pPr>
      <w:bookmarkStart w:id="32" w:name="_Toc8119"/>
      <w:r>
        <w:rPr>
          <w:rFonts w:hint="eastAsia"/>
          <w:lang w:val="en-US" w:eastAsia="zh-CN"/>
        </w:rPr>
        <w:t>校准数据要求</w:t>
      </w:r>
      <w:bookmarkEnd w:id="32"/>
    </w:p>
    <w:p>
      <w:pPr>
        <w:numPr>
          <w:ilvl w:val="0"/>
          <w:numId w:val="19"/>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校准过程中，须详细记录各项校准数据，包括校准点、标准值、被校仪器示值、误差值、环境参数等，记录须真实、完整、清晰，不得涂改、伪造。</w:t>
      </w:r>
    </w:p>
    <w:p>
      <w:pPr>
        <w:numPr>
          <w:ilvl w:val="0"/>
          <w:numId w:val="20"/>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校准数据须进行合理的处理和分析，计算测量不确定度，确保校准结果的科学性和可靠性。测量不确定度评定需符合JJF 1059.1-2012《测量不确定度评定与表示》要求。</w:t>
      </w:r>
    </w:p>
    <w:p>
      <w:pPr>
        <w:numPr>
          <w:ilvl w:val="0"/>
          <w:numId w:val="21"/>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校准数据须经审核人员审核确认，确保数据准确无误后，方可纳入校准报告。</w:t>
      </w:r>
    </w:p>
    <w:p>
      <w:pPr>
        <w:pStyle w:val="4"/>
        <w:bidi w:val="0"/>
        <w:ind w:left="709" w:leftChars="0" w:hanging="709" w:firstLineChars="0"/>
        <w:rPr>
          <w:rFonts w:hint="eastAsia"/>
          <w:color w:val="auto"/>
        </w:rPr>
      </w:pPr>
      <w:bookmarkStart w:id="49" w:name="_GoBack"/>
      <w:bookmarkEnd w:id="49"/>
      <w:bookmarkStart w:id="33" w:name="_Toc17990"/>
      <w:r>
        <w:rPr>
          <w:rFonts w:hint="eastAsia"/>
          <w:color w:val="auto"/>
          <w:lang w:val="en-US" w:eastAsia="zh-CN"/>
        </w:rPr>
        <w:t>具体校准要求</w:t>
      </w:r>
      <w:bookmarkEnd w:id="33"/>
    </w:p>
    <w:p>
      <w:pPr>
        <w:spacing w:before="120" w:after="120" w:line="288" w:lineRule="auto"/>
        <w:jc w:val="left"/>
        <w:rPr>
          <w:rFonts w:hint="eastAsia" w:ascii="仿宋" w:hAnsi="仿宋" w:eastAsia="仿宋" w:cs="仿宋"/>
          <w:sz w:val="28"/>
          <w:szCs w:val="28"/>
        </w:rPr>
      </w:pPr>
      <w:r>
        <w:rPr>
          <w:rFonts w:hint="eastAsia" w:ascii="仿宋" w:hAnsi="仿宋" w:eastAsia="仿宋" w:cs="仿宋"/>
          <w:sz w:val="28"/>
          <w:szCs w:val="28"/>
        </w:rPr>
        <w:t>包括但不限于安全帽试验机、多功能组合力学测试装置、接地线成组电阻测试仪</w:t>
      </w:r>
      <w:r>
        <w:rPr>
          <w:rFonts w:hint="eastAsia" w:ascii="仿宋" w:hAnsi="仿宋" w:eastAsia="仿宋" w:cs="仿宋"/>
          <w:sz w:val="28"/>
          <w:szCs w:val="28"/>
          <w:lang w:eastAsia="zh-CN"/>
        </w:rPr>
        <w:t>、导电鞋电阻测试仪、屏蔽服效率测试仪屏蔽服表面电阻测试仪、游标卡尺、量角器、卷尺、照度计、温湿度计</w:t>
      </w:r>
      <w:r>
        <w:rPr>
          <w:rFonts w:hint="eastAsia" w:ascii="仿宋" w:hAnsi="仿宋" w:eastAsia="仿宋" w:cs="仿宋"/>
          <w:sz w:val="28"/>
          <w:szCs w:val="28"/>
        </w:rPr>
        <w:t>，校准要求如下：</w:t>
      </w:r>
    </w:p>
    <w:p>
      <w:pPr>
        <w:numPr>
          <w:ilvl w:val="0"/>
          <w:numId w:val="22"/>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示值误差：符合相应校准规程要求，误差值不超过仪器最大允许误差；</w:t>
      </w:r>
    </w:p>
    <w:p>
      <w:pPr>
        <w:numPr>
          <w:ilvl w:val="0"/>
          <w:numId w:val="23"/>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重复性：同一条件下，多次测量同一量值的重复性误差不超过最大允许误差绝对值的1/3；</w:t>
      </w:r>
    </w:p>
    <w:p>
      <w:pPr>
        <w:pStyle w:val="20"/>
        <w:numPr>
          <w:ilvl w:val="0"/>
          <w:numId w:val="0"/>
        </w:numPr>
        <w:ind w:leftChars="0"/>
        <w:rPr>
          <w:color w:val="auto"/>
        </w:rPr>
      </w:pPr>
      <w:r>
        <w:rPr>
          <w:rFonts w:hint="eastAsia" w:ascii="仿宋" w:hAnsi="仿宋" w:eastAsia="仿宋" w:cs="仿宋"/>
          <w:sz w:val="28"/>
          <w:szCs w:val="28"/>
        </w:rPr>
        <w:t>校准点选择：须根据仪器量程及使用需求，合理选择校准点，确保校准覆盖仪器常用量程范围等核心指标的校准点，符合相关标准要求。</w:t>
      </w:r>
    </w:p>
    <w:p>
      <w:pPr>
        <w:pStyle w:val="4"/>
        <w:bidi w:val="0"/>
        <w:ind w:left="709" w:leftChars="0" w:hanging="709" w:firstLineChars="0"/>
        <w:rPr>
          <w:rFonts w:hint="eastAsia"/>
          <w:color w:val="auto"/>
        </w:rPr>
      </w:pPr>
      <w:bookmarkStart w:id="34" w:name="_Toc32734"/>
      <w:bookmarkStart w:id="35" w:name="_Toc30343"/>
      <w:r>
        <w:rPr>
          <w:rFonts w:hint="eastAsia"/>
          <w:color w:val="auto"/>
          <w:lang w:val="en-US" w:eastAsia="zh-CN"/>
        </w:rPr>
        <w:t>质量控制要求</w:t>
      </w:r>
      <w:bookmarkEnd w:id="34"/>
      <w:bookmarkEnd w:id="35"/>
    </w:p>
    <w:p>
      <w:pPr>
        <w:numPr>
          <w:ilvl w:val="0"/>
          <w:numId w:val="24"/>
        </w:numPr>
        <w:spacing w:before="120" w:after="120" w:line="288" w:lineRule="auto"/>
        <w:ind w:left="0"/>
        <w:jc w:val="left"/>
        <w:rPr>
          <w:rFonts w:hint="eastAsia" w:ascii="仿宋" w:hAnsi="仿宋" w:eastAsia="仿宋" w:cs="仿宋"/>
          <w:sz w:val="28"/>
          <w:szCs w:val="28"/>
        </w:rPr>
      </w:pPr>
      <w:bookmarkStart w:id="36" w:name="_Toc31200"/>
      <w:r>
        <w:rPr>
          <w:rFonts w:hint="eastAsia" w:ascii="仿宋" w:hAnsi="仿宋" w:eastAsia="仿宋" w:cs="仿宋"/>
          <w:sz w:val="28"/>
          <w:szCs w:val="28"/>
        </w:rPr>
        <w:t>供应商须建立完善的质量控制体系，对校准全过程进行质量管控，包括人员培训、设备管理、校准过程控制、报告审核等环节，确保校准服务质量。</w:t>
      </w:r>
    </w:p>
    <w:p>
      <w:pPr>
        <w:numPr>
          <w:ilvl w:val="0"/>
          <w:numId w:val="25"/>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供应商须定期对校准技术人员进行培训，更新知识和技能，确保技术人员熟悉最新的计量法规、标准及校准技术，具备相应的校准能力。</w:t>
      </w:r>
    </w:p>
    <w:p>
      <w:pPr>
        <w:numPr>
          <w:ilvl w:val="0"/>
          <w:numId w:val="26"/>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供应商须定期对标准计量器具进行校准，确保标准器具在有效期内，精度符合要求，同时做好标准器具的维护、保养工作，确保其性能稳定。</w:t>
      </w:r>
    </w:p>
    <w:p>
      <w:pPr>
        <w:numPr>
          <w:ilvl w:val="0"/>
          <w:numId w:val="27"/>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校准过程中，须严格执行校准规范，做好每一个环节的记录，确保校准数据真实、准确，校准报告规范、有效。校准报告需执行三级审核制度（校准员→审核员→批准人）。</w:t>
      </w:r>
    </w:p>
    <w:bookmarkEnd w:id="36"/>
    <w:p>
      <w:pPr>
        <w:pStyle w:val="4"/>
        <w:bidi w:val="0"/>
        <w:ind w:left="709" w:leftChars="0" w:hanging="709" w:firstLineChars="0"/>
        <w:rPr>
          <w:rFonts w:hint="eastAsia"/>
        </w:rPr>
      </w:pPr>
      <w:bookmarkStart w:id="37" w:name="_Toc14822"/>
      <w:r>
        <w:rPr>
          <w:rFonts w:hint="eastAsia"/>
          <w:lang w:val="en-US" w:eastAsia="zh-CN"/>
        </w:rPr>
        <w:t>验收要求</w:t>
      </w:r>
      <w:bookmarkEnd w:id="37"/>
    </w:p>
    <w:p>
      <w:pPr>
        <w:numPr>
          <w:ilvl w:val="0"/>
          <w:numId w:val="28"/>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委托单位收到校准报告及校准后的仪器后，须对校准结果进行验收，验收内容包括校准报告的完整性、规范性、准确性，仪器的外观、状态及校准精度等。</w:t>
      </w:r>
    </w:p>
    <w:p>
      <w:pPr>
        <w:numPr>
          <w:ilvl w:val="0"/>
          <w:numId w:val="29"/>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若验收过程中发现校准报告不符合要求、仪器校准精度未达到标准或仪器损坏等问题，委托单位有权要求供应商重新校准、更换仪器或退还校准费用，供应商须在规定时间内完成整改，直至验收合格。</w:t>
      </w:r>
    </w:p>
    <w:p>
      <w:pPr>
        <w:numPr>
          <w:ilvl w:val="0"/>
          <w:numId w:val="30"/>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验收合格后，委托单位须在验收单上签字确认，作为校准服务完成的依据。</w:t>
      </w:r>
    </w:p>
    <w:p>
      <w:pPr>
        <w:numPr>
          <w:ilvl w:val="0"/>
          <w:numId w:val="31"/>
        </w:numPr>
        <w:spacing w:before="120" w:after="120" w:line="288" w:lineRule="auto"/>
        <w:ind w:left="0"/>
        <w:jc w:val="left"/>
        <w:rPr>
          <w:rFonts w:hint="eastAsia"/>
          <w:lang w:val="en-US" w:eastAsia="zh-CN"/>
        </w:rPr>
      </w:pPr>
      <w:r>
        <w:rPr>
          <w:rFonts w:hint="eastAsia" w:ascii="仿宋" w:hAnsi="仿宋" w:eastAsia="仿宋" w:cs="仿宋"/>
          <w:sz w:val="28"/>
          <w:szCs w:val="28"/>
        </w:rPr>
        <w:t>校准报告及相关记录需按要求归档，至少保存6年，便于后续查阅和追溯。</w:t>
      </w:r>
    </w:p>
    <w:p>
      <w:pPr>
        <w:pStyle w:val="4"/>
        <w:bidi w:val="0"/>
        <w:ind w:left="709" w:leftChars="0" w:hanging="709" w:firstLineChars="0"/>
        <w:rPr>
          <w:color w:val="auto"/>
        </w:rPr>
      </w:pPr>
      <w:bookmarkStart w:id="38" w:name="_Toc29587"/>
      <w:r>
        <w:rPr>
          <w:rFonts w:hint="eastAsia"/>
          <w:color w:val="auto"/>
          <w:lang w:val="en-US" w:eastAsia="zh-CN"/>
        </w:rPr>
        <w:t>基本资质要求</w:t>
      </w:r>
      <w:bookmarkEnd w:id="38"/>
    </w:p>
    <w:p>
      <w:pPr>
        <w:numPr>
          <w:ilvl w:val="0"/>
          <w:numId w:val="32"/>
        </w:numPr>
        <w:spacing w:before="120" w:after="120" w:line="288" w:lineRule="auto"/>
        <w:ind w:left="0"/>
        <w:jc w:val="left"/>
        <w:rPr>
          <w:rFonts w:hint="eastAsia" w:ascii="仿宋" w:hAnsi="仿宋" w:eastAsia="仿宋" w:cs="仿宋"/>
          <w:sz w:val="28"/>
          <w:szCs w:val="28"/>
        </w:rPr>
      </w:pPr>
      <w:bookmarkStart w:id="39" w:name="_Toc3707"/>
      <w:r>
        <w:rPr>
          <w:rFonts w:hint="eastAsia" w:ascii="仿宋" w:hAnsi="仿宋" w:eastAsia="仿宋" w:cs="仿宋"/>
          <w:sz w:val="28"/>
          <w:szCs w:val="28"/>
        </w:rPr>
        <w:t>供应商须为中华人民共和国境内注册的独立法人或具有企业法人授权的其他组织，具有独立承担民事责任的能力、独立承担本项目的能力和独立履行合同的能力，营业执照经营范围包含计量校准相关服务内容。</w:t>
      </w:r>
    </w:p>
    <w:p>
      <w:pPr>
        <w:numPr>
          <w:ilvl w:val="0"/>
          <w:numId w:val="33"/>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供应商须具备有效的计量认证（CMA）证书或国家实验室认可（CNAS）证书，或ILAC-MRA国际互认资质，认证范围涵盖本项目所涉及的各类仪器设备校准项目，证书在有效期内。</w:t>
      </w:r>
    </w:p>
    <w:p>
      <w:pPr>
        <w:numPr>
          <w:ilvl w:val="0"/>
          <w:numId w:val="34"/>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供应商未列入南方电网公司供应商黑名单，近3年内无重大质量事故、安全事故及违法违规经营记录，无被相关部门处罚的不良信用记录。</w:t>
      </w:r>
    </w:p>
    <w:p>
      <w:pPr>
        <w:numPr>
          <w:ilvl w:val="0"/>
          <w:numId w:val="35"/>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供应商须具备完善的质量管理体系，通过ISO9001质量管理体系认证，且认证在有效期内，能够有效保障校准服务质量。</w:t>
      </w:r>
    </w:p>
    <w:p>
      <w:pPr>
        <w:pStyle w:val="4"/>
        <w:bidi w:val="0"/>
        <w:ind w:left="709" w:leftChars="0" w:hanging="709" w:firstLineChars="0"/>
      </w:pPr>
      <w:bookmarkStart w:id="40" w:name="_Toc31393"/>
      <w:r>
        <w:t>售后服务</w:t>
      </w:r>
      <w:bookmarkEnd w:id="39"/>
      <w:bookmarkEnd w:id="40"/>
    </w:p>
    <w:p>
      <w:pPr>
        <w:numPr>
          <w:ilvl w:val="0"/>
          <w:numId w:val="36"/>
        </w:numPr>
        <w:spacing w:before="120" w:after="120" w:line="288" w:lineRule="auto"/>
        <w:ind w:left="0"/>
        <w:jc w:val="left"/>
        <w:rPr>
          <w:rFonts w:hint="eastAsia" w:ascii="仿宋" w:hAnsi="仿宋" w:eastAsia="仿宋" w:cs="仿宋"/>
          <w:sz w:val="28"/>
          <w:szCs w:val="28"/>
        </w:rPr>
      </w:pPr>
      <w:bookmarkStart w:id="41" w:name="_Toc31017"/>
      <w:r>
        <w:rPr>
          <w:rFonts w:hint="eastAsia" w:ascii="仿宋" w:hAnsi="仿宋" w:eastAsia="仿宋" w:cs="仿宋"/>
          <w:sz w:val="28"/>
          <w:szCs w:val="28"/>
        </w:rPr>
        <w:t>校准后的仪器，在校准有效期内，若因校准原因导致仪器量值不准确，供应商须免费重新校准，并承担相应的责任。</w:t>
      </w:r>
    </w:p>
    <w:p>
      <w:pPr>
        <w:numPr>
          <w:ilvl w:val="0"/>
          <w:numId w:val="37"/>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供应商须为委托单位提供仪器维护、保养建议，协助委托单位做好仪器的日常管理工作，延长仪器使用寿命。</w:t>
      </w:r>
    </w:p>
    <w:p>
      <w:pPr>
        <w:numPr>
          <w:ilvl w:val="0"/>
          <w:numId w:val="38"/>
        </w:num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供应商须定期回访委托单位，了解校准服务质量及仪器使用情况，收集客户意见和建议，不断改进服务质量。</w:t>
      </w:r>
    </w:p>
    <w:p>
      <w:pPr>
        <w:pStyle w:val="3"/>
        <w:rPr>
          <w:rFonts w:hint="eastAsia" w:ascii="仿宋" w:hAnsi="仿宋" w:eastAsia="仿宋" w:cs="仿宋"/>
        </w:rPr>
      </w:pPr>
      <w:bookmarkStart w:id="42" w:name="_Toc19176"/>
      <w:r>
        <w:rPr>
          <w:rFonts w:hint="eastAsia" w:ascii="仿宋" w:hAnsi="仿宋" w:eastAsia="仿宋" w:cs="仿宋"/>
        </w:rPr>
        <w:t>项目进度要求</w:t>
      </w:r>
      <w:bookmarkEnd w:id="41"/>
      <w:bookmarkEnd w:id="42"/>
    </w:p>
    <w:p>
      <w:pPr>
        <w:pStyle w:val="18"/>
        <w:adjustRightInd w:val="0"/>
        <w:snapToGrid w:val="0"/>
        <w:rPr>
          <w:rFonts w:hint="eastAsia" w:ascii="仿宋" w:hAnsi="仿宋" w:eastAsia="仿宋" w:cs="仿宋"/>
          <w:kern w:val="2"/>
          <w:sz w:val="28"/>
          <w:szCs w:val="28"/>
        </w:rPr>
      </w:pP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必须保证在</w:t>
      </w:r>
      <w:r>
        <w:rPr>
          <w:rFonts w:hint="eastAsia" w:ascii="仿宋" w:hAnsi="仿宋" w:eastAsia="仿宋" w:cs="仿宋"/>
          <w:kern w:val="2"/>
          <w:sz w:val="28"/>
          <w:szCs w:val="28"/>
          <w:lang w:eastAsia="zh-CN"/>
        </w:rPr>
        <w:t>签订合同后</w:t>
      </w:r>
      <w:r>
        <w:rPr>
          <w:rFonts w:hint="eastAsia" w:ascii="仿宋" w:hAnsi="仿宋" w:eastAsia="仿宋" w:cs="仿宋"/>
          <w:kern w:val="2"/>
          <w:sz w:val="28"/>
          <w:szCs w:val="28"/>
        </w:rPr>
        <w:t>，</w:t>
      </w:r>
      <w:r>
        <w:rPr>
          <w:rFonts w:hint="eastAsia" w:ascii="仿宋" w:hAnsi="仿宋" w:eastAsia="仿宋" w:cs="仿宋"/>
          <w:kern w:val="2"/>
          <w:sz w:val="28"/>
          <w:szCs w:val="28"/>
          <w:lang w:val="en-US" w:eastAsia="zh-CN"/>
        </w:rPr>
        <w:t>由需求方提供校验清单，安排现场或送检，</w:t>
      </w:r>
      <w:r>
        <w:rPr>
          <w:rFonts w:hint="eastAsia" w:ascii="仿宋" w:hAnsi="仿宋" w:eastAsia="仿宋" w:cs="仿宋"/>
          <w:kern w:val="2"/>
          <w:sz w:val="28"/>
          <w:szCs w:val="28"/>
          <w:u w:val="single"/>
          <w:lang w:val="en-US" w:eastAsia="zh-CN"/>
        </w:rPr>
        <w:t xml:space="preserve"> 10 </w:t>
      </w:r>
      <w:r>
        <w:rPr>
          <w:rFonts w:hint="eastAsia" w:ascii="仿宋" w:hAnsi="仿宋" w:eastAsia="仿宋" w:cs="仿宋"/>
          <w:kern w:val="2"/>
          <w:sz w:val="28"/>
          <w:szCs w:val="28"/>
        </w:rPr>
        <w:t>个工作日内完成所有</w:t>
      </w:r>
      <w:r>
        <w:rPr>
          <w:rFonts w:hint="eastAsia" w:ascii="仿宋" w:hAnsi="仿宋" w:eastAsia="仿宋" w:cs="仿宋"/>
          <w:kern w:val="2"/>
          <w:sz w:val="28"/>
          <w:szCs w:val="28"/>
          <w:lang w:val="en-US" w:eastAsia="zh-CN"/>
        </w:rPr>
        <w:t>仪器检验送回需方</w:t>
      </w:r>
      <w:r>
        <w:rPr>
          <w:rFonts w:hint="eastAsia" w:ascii="仿宋" w:hAnsi="仿宋" w:eastAsia="仿宋" w:cs="仿宋"/>
          <w:kern w:val="2"/>
          <w:sz w:val="28"/>
          <w:szCs w:val="28"/>
        </w:rPr>
        <w:t>。</w:t>
      </w:r>
      <w:bookmarkStart w:id="43" w:name="_Toc6010"/>
    </w:p>
    <w:bookmarkEnd w:id="43"/>
    <w:p>
      <w:pPr>
        <w:pStyle w:val="3"/>
        <w:rPr>
          <w:rFonts w:hint="eastAsia" w:ascii="仿宋" w:hAnsi="仿宋" w:eastAsia="仿宋" w:cs="仿宋"/>
          <w:sz w:val="28"/>
        </w:rPr>
      </w:pPr>
      <w:bookmarkStart w:id="44" w:name="_Toc15250"/>
      <w:bookmarkStart w:id="45" w:name="_Toc25773"/>
      <w:r>
        <w:rPr>
          <w:rFonts w:hint="eastAsia" w:ascii="仿宋" w:hAnsi="仿宋" w:eastAsia="仿宋" w:cs="仿宋"/>
        </w:rPr>
        <w:t>安全保密要求</w:t>
      </w:r>
      <w:bookmarkEnd w:id="44"/>
      <w:bookmarkEnd w:id="45"/>
    </w:p>
    <w:p>
      <w:pPr>
        <w:pStyle w:val="19"/>
        <w:numPr>
          <w:ilvl w:val="0"/>
          <w:numId w:val="39"/>
        </w:numPr>
        <w:ind w:firstLineChars="0"/>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在服务期间，负有保护</w:t>
      </w:r>
      <w:r>
        <w:rPr>
          <w:rFonts w:hint="eastAsia" w:ascii="仿宋" w:hAnsi="仿宋" w:eastAsia="仿宋" w:cs="仿宋"/>
          <w:bCs/>
          <w:sz w:val="28"/>
          <w:szCs w:val="28"/>
        </w:rPr>
        <w:t>本项目</w:t>
      </w:r>
      <w:r>
        <w:rPr>
          <w:rFonts w:hint="eastAsia" w:ascii="仿宋" w:hAnsi="仿宋" w:eastAsia="仿宋" w:cs="仿宋"/>
          <w:sz w:val="28"/>
          <w:szCs w:val="28"/>
        </w:rPr>
        <w:t>的网络安全、信息安全和系统数据安全的义务和责任；负有保护所持有、接触的属于或涉及商业秘密的信息安全的义务和责任。</w:t>
      </w:r>
    </w:p>
    <w:p>
      <w:pPr>
        <w:pStyle w:val="19"/>
        <w:numPr>
          <w:ilvl w:val="0"/>
          <w:numId w:val="39"/>
        </w:numPr>
        <w:ind w:firstLineChars="0"/>
        <w:rPr>
          <w:rFonts w:hint="eastAsia" w:ascii="仿宋" w:hAnsi="仿宋" w:eastAsia="仿宋" w:cs="仿宋"/>
          <w:sz w:val="28"/>
          <w:szCs w:val="28"/>
        </w:rPr>
      </w:pPr>
      <w:r>
        <w:rPr>
          <w:rFonts w:hint="eastAsia" w:ascii="仿宋" w:hAnsi="仿宋" w:eastAsia="仿宋" w:cs="仿宋"/>
          <w:sz w:val="28"/>
          <w:szCs w:val="28"/>
        </w:rPr>
        <w:t>无论何种原因导致合同解除或终止，本项目约定下的保密条款、保密内容及相关的违约责任的约定仍然生效。保密期限为签订合同之后至永久，保密范围为项目所涉及的任何资料。</w:t>
      </w:r>
    </w:p>
    <w:p>
      <w:pPr>
        <w:pStyle w:val="3"/>
        <w:rPr>
          <w:rFonts w:hint="eastAsia" w:ascii="仿宋" w:hAnsi="仿宋" w:eastAsia="仿宋" w:cs="仿宋"/>
        </w:rPr>
      </w:pPr>
      <w:bookmarkStart w:id="46" w:name="_Toc1727"/>
      <w:bookmarkStart w:id="47" w:name="_Toc12679"/>
      <w:r>
        <w:rPr>
          <w:rFonts w:hint="eastAsia" w:ascii="仿宋" w:hAnsi="仿宋" w:eastAsia="仿宋" w:cs="仿宋"/>
        </w:rPr>
        <w:t>项目验收要求</w:t>
      </w:r>
      <w:bookmarkEnd w:id="46"/>
      <w:bookmarkEnd w:id="47"/>
    </w:p>
    <w:bookmarkEnd w:id="26"/>
    <w:bookmarkEnd w:id="27"/>
    <w:p>
      <w:pPr>
        <w:spacing w:line="360" w:lineRule="auto"/>
        <w:ind w:firstLine="280" w:firstLineChars="100"/>
        <w:rPr>
          <w:rFonts w:hint="default"/>
          <w:lang w:val="en-US" w:eastAsia="zh-CN"/>
        </w:rPr>
      </w:pPr>
      <w:bookmarkStart w:id="48" w:name="_Toc413948021"/>
      <w:bookmarkEnd w:id="48"/>
      <w:r>
        <w:rPr>
          <w:rFonts w:hint="eastAsia" w:ascii="仿宋" w:hAnsi="仿宋" w:eastAsia="仿宋" w:cs="仿宋"/>
          <w:sz w:val="28"/>
          <w:szCs w:val="28"/>
        </w:rPr>
        <w:t>按</w:t>
      </w:r>
      <w:r>
        <w:rPr>
          <w:rFonts w:hint="eastAsia" w:ascii="仿宋" w:hAnsi="仿宋" w:eastAsia="仿宋" w:cs="仿宋"/>
          <w:sz w:val="28"/>
          <w:szCs w:val="28"/>
          <w:lang w:eastAsia="zh-CN"/>
        </w:rPr>
        <w:t>需方</w:t>
      </w:r>
      <w:r>
        <w:rPr>
          <w:rFonts w:hint="eastAsia" w:ascii="仿宋" w:hAnsi="仿宋" w:eastAsia="仿宋" w:cs="仿宋"/>
          <w:sz w:val="28"/>
          <w:szCs w:val="28"/>
        </w:rPr>
        <w:t>的管理制度和要求进行到货验收。</w:t>
      </w:r>
    </w:p>
    <w:p>
      <w:pPr>
        <w:spacing w:line="360" w:lineRule="auto"/>
        <w:ind w:firstLine="210" w:firstLineChars="100"/>
        <w:rPr>
          <w:rFonts w:hint="default"/>
          <w:lang w:val="en-US" w:eastAsia="zh-CN"/>
        </w:rPr>
      </w:pPr>
    </w:p>
    <w:sectPr>
      <w:headerReference r:id="rId4" w:type="first"/>
      <w:footerReference r:id="rId6" w:type="first"/>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rStyle w:val="15"/>
        <w:rFonts w:hint="eastAsia"/>
      </w:rPr>
      <w:t xml:space="preserve">－ </w:t>
    </w:r>
    <w:r>
      <w:fldChar w:fldCharType="begin"/>
    </w:r>
    <w:r>
      <w:rPr>
        <w:rStyle w:val="15"/>
      </w:rPr>
      <w:instrText xml:space="preserve"> PAGE </w:instrText>
    </w:r>
    <w:r>
      <w:fldChar w:fldCharType="separate"/>
    </w:r>
    <w:r>
      <w:rPr>
        <w:rStyle w:val="15"/>
      </w:rPr>
      <w:t>i</w:t>
    </w:r>
    <w:r>
      <w:fldChar w:fldCharType="end"/>
    </w:r>
    <w:r>
      <w:rPr>
        <w:rStyle w:val="15"/>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PAGE   \* MERGEFORMAT</w:instrText>
    </w:r>
    <w:r>
      <w:fldChar w:fldCharType="separate"/>
    </w:r>
    <w:r>
      <w:rPr>
        <w:lang w:val="zh-CN"/>
      </w:rPr>
      <w:t>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 PAGE   \* MERGEFORMAT </w:instrText>
    </w:r>
    <w:r>
      <w:fldChar w:fldCharType="separate"/>
    </w:r>
    <w:r>
      <w:rPr>
        <w:lang w:val="zh-CN"/>
      </w:rPr>
      <w:t>1</w:t>
    </w:r>
    <w:r>
      <w:fldChar w:fldCharType="end"/>
    </w:r>
  </w:p>
  <w:p>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singleLevel"/>
    <w:tmpl w:val="813A4B87"/>
    <w:lvl w:ilvl="0" w:tentative="0">
      <w:start w:val="0"/>
      <w:numFmt w:val="bullet"/>
      <w:lvlText w:val="•"/>
      <w:lvlJc w:val="left"/>
      <w:rPr>
        <w:color w:val="3370FF"/>
      </w:rPr>
    </w:lvl>
  </w:abstractNum>
  <w:abstractNum w:abstractNumId="1">
    <w:nsid w:val="8461FADE"/>
    <w:multiLevelType w:val="singleLevel"/>
    <w:tmpl w:val="8461FADE"/>
    <w:lvl w:ilvl="0" w:tentative="0">
      <w:start w:val="0"/>
      <w:numFmt w:val="bullet"/>
      <w:lvlText w:val="•"/>
      <w:lvlJc w:val="left"/>
      <w:rPr>
        <w:color w:val="3370FF"/>
      </w:rPr>
    </w:lvl>
  </w:abstractNum>
  <w:abstractNum w:abstractNumId="2">
    <w:nsid w:val="8CAEB125"/>
    <w:multiLevelType w:val="singleLevel"/>
    <w:tmpl w:val="8CAEB125"/>
    <w:lvl w:ilvl="0" w:tentative="0">
      <w:start w:val="0"/>
      <w:numFmt w:val="bullet"/>
      <w:lvlText w:val="•"/>
      <w:lvlJc w:val="left"/>
      <w:rPr>
        <w:color w:val="3370FF"/>
      </w:rPr>
    </w:lvl>
  </w:abstractNum>
  <w:abstractNum w:abstractNumId="3">
    <w:nsid w:val="9C8AC8EF"/>
    <w:multiLevelType w:val="singleLevel"/>
    <w:tmpl w:val="9C8AC8EF"/>
    <w:lvl w:ilvl="0" w:tentative="0">
      <w:start w:val="0"/>
      <w:numFmt w:val="bullet"/>
      <w:lvlText w:val="•"/>
      <w:lvlJc w:val="left"/>
      <w:rPr>
        <w:color w:val="3370FF"/>
      </w:rPr>
    </w:lvl>
  </w:abstractNum>
  <w:abstractNum w:abstractNumId="4">
    <w:nsid w:val="A0F05207"/>
    <w:multiLevelType w:val="singleLevel"/>
    <w:tmpl w:val="A0F05207"/>
    <w:lvl w:ilvl="0" w:tentative="0">
      <w:start w:val="0"/>
      <w:numFmt w:val="bullet"/>
      <w:lvlText w:val="•"/>
      <w:lvlJc w:val="left"/>
      <w:rPr>
        <w:color w:val="3370FF"/>
      </w:rPr>
    </w:lvl>
  </w:abstractNum>
  <w:abstractNum w:abstractNumId="5">
    <w:nsid w:val="B23A94A9"/>
    <w:multiLevelType w:val="singleLevel"/>
    <w:tmpl w:val="B23A94A9"/>
    <w:lvl w:ilvl="0" w:tentative="0">
      <w:start w:val="0"/>
      <w:numFmt w:val="bullet"/>
      <w:lvlText w:val="•"/>
      <w:lvlJc w:val="left"/>
      <w:rPr>
        <w:color w:val="3370FF"/>
      </w:rPr>
    </w:lvl>
  </w:abstractNum>
  <w:abstractNum w:abstractNumId="6">
    <w:nsid w:val="B5E306ED"/>
    <w:multiLevelType w:val="singleLevel"/>
    <w:tmpl w:val="B5E306ED"/>
    <w:lvl w:ilvl="0" w:tentative="0">
      <w:start w:val="0"/>
      <w:numFmt w:val="bullet"/>
      <w:lvlText w:val="•"/>
      <w:lvlJc w:val="left"/>
      <w:rPr>
        <w:color w:val="3370FF"/>
      </w:rPr>
    </w:lvl>
  </w:abstractNum>
  <w:abstractNum w:abstractNumId="7">
    <w:nsid w:val="BF205925"/>
    <w:multiLevelType w:val="singleLevel"/>
    <w:tmpl w:val="BF205925"/>
    <w:lvl w:ilvl="0" w:tentative="0">
      <w:start w:val="0"/>
      <w:numFmt w:val="bullet"/>
      <w:lvlText w:val="•"/>
      <w:lvlJc w:val="left"/>
      <w:rPr>
        <w:color w:val="3370FF"/>
      </w:rPr>
    </w:lvl>
  </w:abstractNum>
  <w:abstractNum w:abstractNumId="8">
    <w:nsid w:val="C0915F4F"/>
    <w:multiLevelType w:val="singleLevel"/>
    <w:tmpl w:val="C0915F4F"/>
    <w:lvl w:ilvl="0" w:tentative="0">
      <w:start w:val="0"/>
      <w:numFmt w:val="bullet"/>
      <w:lvlText w:val="•"/>
      <w:lvlJc w:val="left"/>
      <w:rPr>
        <w:color w:val="3370FF"/>
      </w:rPr>
    </w:lvl>
  </w:abstractNum>
  <w:abstractNum w:abstractNumId="9">
    <w:nsid w:val="CF092B84"/>
    <w:multiLevelType w:val="singleLevel"/>
    <w:tmpl w:val="CF092B84"/>
    <w:lvl w:ilvl="0" w:tentative="0">
      <w:start w:val="0"/>
      <w:numFmt w:val="bullet"/>
      <w:lvlText w:val="•"/>
      <w:lvlJc w:val="left"/>
      <w:rPr>
        <w:color w:val="3370FF"/>
      </w:rPr>
    </w:lvl>
  </w:abstractNum>
  <w:abstractNum w:abstractNumId="10">
    <w:nsid w:val="D7F9FE59"/>
    <w:multiLevelType w:val="singleLevel"/>
    <w:tmpl w:val="D7F9FE59"/>
    <w:lvl w:ilvl="0" w:tentative="0">
      <w:start w:val="0"/>
      <w:numFmt w:val="bullet"/>
      <w:lvlText w:val="•"/>
      <w:lvlJc w:val="left"/>
      <w:rPr>
        <w:color w:val="3370FF"/>
      </w:rPr>
    </w:lvl>
  </w:abstractNum>
  <w:abstractNum w:abstractNumId="11">
    <w:nsid w:val="F4B5D9F5"/>
    <w:multiLevelType w:val="singleLevel"/>
    <w:tmpl w:val="F4B5D9F5"/>
    <w:lvl w:ilvl="0" w:tentative="0">
      <w:start w:val="0"/>
      <w:numFmt w:val="bullet"/>
      <w:lvlText w:val="•"/>
      <w:lvlJc w:val="left"/>
      <w:rPr>
        <w:color w:val="3370FF"/>
      </w:rPr>
    </w:lvl>
  </w:abstractNum>
  <w:abstractNum w:abstractNumId="12">
    <w:nsid w:val="F689643B"/>
    <w:multiLevelType w:val="singleLevel"/>
    <w:tmpl w:val="F689643B"/>
    <w:lvl w:ilvl="0" w:tentative="0">
      <w:start w:val="0"/>
      <w:numFmt w:val="bullet"/>
      <w:lvlText w:val="•"/>
      <w:lvlJc w:val="left"/>
      <w:rPr>
        <w:color w:val="3370FF"/>
      </w:rPr>
    </w:lvl>
  </w:abstractNum>
  <w:abstractNum w:abstractNumId="13">
    <w:nsid w:val="0053208E"/>
    <w:multiLevelType w:val="singleLevel"/>
    <w:tmpl w:val="0053208E"/>
    <w:lvl w:ilvl="0" w:tentative="0">
      <w:start w:val="0"/>
      <w:numFmt w:val="bullet"/>
      <w:lvlText w:val="•"/>
      <w:lvlJc w:val="left"/>
      <w:rPr>
        <w:color w:val="3370FF"/>
      </w:rPr>
    </w:lvl>
  </w:abstractNum>
  <w:abstractNum w:abstractNumId="14">
    <w:nsid w:val="0248C179"/>
    <w:multiLevelType w:val="singleLevel"/>
    <w:tmpl w:val="0248C179"/>
    <w:lvl w:ilvl="0" w:tentative="0">
      <w:start w:val="0"/>
      <w:numFmt w:val="bullet"/>
      <w:lvlText w:val="•"/>
      <w:lvlJc w:val="left"/>
      <w:rPr>
        <w:color w:val="3370FF"/>
      </w:rPr>
    </w:lvl>
  </w:abstractNum>
  <w:abstractNum w:abstractNumId="15">
    <w:nsid w:val="03A63A41"/>
    <w:multiLevelType w:val="singleLevel"/>
    <w:tmpl w:val="03A63A41"/>
    <w:lvl w:ilvl="0" w:tentative="0">
      <w:start w:val="0"/>
      <w:numFmt w:val="bullet"/>
      <w:lvlText w:val="•"/>
      <w:lvlJc w:val="left"/>
      <w:rPr>
        <w:color w:val="3370FF"/>
      </w:rPr>
    </w:lvl>
  </w:abstractNum>
  <w:abstractNum w:abstractNumId="16">
    <w:nsid w:val="03D62ECE"/>
    <w:multiLevelType w:val="singleLevel"/>
    <w:tmpl w:val="03D62ECE"/>
    <w:lvl w:ilvl="0" w:tentative="0">
      <w:start w:val="0"/>
      <w:numFmt w:val="bullet"/>
      <w:lvlText w:val="•"/>
      <w:lvlJc w:val="left"/>
      <w:rPr>
        <w:color w:val="3370FF"/>
      </w:rPr>
    </w:lvl>
  </w:abstractNum>
  <w:abstractNum w:abstractNumId="17">
    <w:nsid w:val="0F9F9CCA"/>
    <w:multiLevelType w:val="singleLevel"/>
    <w:tmpl w:val="0F9F9CCA"/>
    <w:lvl w:ilvl="0" w:tentative="0">
      <w:start w:val="0"/>
      <w:numFmt w:val="bullet"/>
      <w:lvlText w:val="•"/>
      <w:lvlJc w:val="left"/>
      <w:rPr>
        <w:color w:val="3370FF"/>
      </w:rPr>
    </w:lvl>
  </w:abstractNum>
  <w:abstractNum w:abstractNumId="18">
    <w:nsid w:val="12EADF99"/>
    <w:multiLevelType w:val="singleLevel"/>
    <w:tmpl w:val="12EADF99"/>
    <w:lvl w:ilvl="0" w:tentative="0">
      <w:start w:val="0"/>
      <w:numFmt w:val="bullet"/>
      <w:lvlText w:val="•"/>
      <w:lvlJc w:val="left"/>
      <w:rPr>
        <w:color w:val="3370FF"/>
      </w:rPr>
    </w:lvl>
  </w:abstractNum>
  <w:abstractNum w:abstractNumId="19">
    <w:nsid w:val="1ACDE60F"/>
    <w:multiLevelType w:val="singleLevel"/>
    <w:tmpl w:val="1ACDE60F"/>
    <w:lvl w:ilvl="0" w:tentative="0">
      <w:start w:val="0"/>
      <w:numFmt w:val="bullet"/>
      <w:lvlText w:val="•"/>
      <w:lvlJc w:val="left"/>
      <w:rPr>
        <w:color w:val="3370FF"/>
      </w:rPr>
    </w:lvl>
  </w:abstractNum>
  <w:abstractNum w:abstractNumId="20">
    <w:nsid w:val="243FCF68"/>
    <w:multiLevelType w:val="singleLevel"/>
    <w:tmpl w:val="243FCF68"/>
    <w:lvl w:ilvl="0" w:tentative="0">
      <w:start w:val="0"/>
      <w:numFmt w:val="bullet"/>
      <w:lvlText w:val="•"/>
      <w:lvlJc w:val="left"/>
      <w:rPr>
        <w:color w:val="3370FF"/>
      </w:rPr>
    </w:lvl>
  </w:abstractNum>
  <w:abstractNum w:abstractNumId="21">
    <w:nsid w:val="2470EC97"/>
    <w:multiLevelType w:val="singleLevel"/>
    <w:tmpl w:val="2470EC97"/>
    <w:lvl w:ilvl="0" w:tentative="0">
      <w:start w:val="0"/>
      <w:numFmt w:val="bullet"/>
      <w:lvlText w:val="•"/>
      <w:lvlJc w:val="left"/>
      <w:rPr>
        <w:color w:val="3370FF"/>
      </w:rPr>
    </w:lvl>
  </w:abstractNum>
  <w:abstractNum w:abstractNumId="22">
    <w:nsid w:val="25B654F3"/>
    <w:multiLevelType w:val="singleLevel"/>
    <w:tmpl w:val="25B654F3"/>
    <w:lvl w:ilvl="0" w:tentative="0">
      <w:start w:val="0"/>
      <w:numFmt w:val="bullet"/>
      <w:lvlText w:val="•"/>
      <w:lvlJc w:val="left"/>
      <w:rPr>
        <w:color w:val="3370FF"/>
      </w:rPr>
    </w:lvl>
  </w:abstractNum>
  <w:abstractNum w:abstractNumId="23">
    <w:nsid w:val="30A0AC00"/>
    <w:multiLevelType w:val="singleLevel"/>
    <w:tmpl w:val="30A0AC00"/>
    <w:lvl w:ilvl="0" w:tentative="0">
      <w:start w:val="0"/>
      <w:numFmt w:val="bullet"/>
      <w:lvlText w:val="•"/>
      <w:lvlJc w:val="left"/>
      <w:rPr>
        <w:color w:val="3370FF"/>
      </w:rPr>
    </w:lvl>
  </w:abstractNum>
  <w:abstractNum w:abstractNumId="24">
    <w:nsid w:val="35E83B33"/>
    <w:multiLevelType w:val="singleLevel"/>
    <w:tmpl w:val="35E83B33"/>
    <w:lvl w:ilvl="0" w:tentative="0">
      <w:start w:val="0"/>
      <w:numFmt w:val="bullet"/>
      <w:lvlText w:val="•"/>
      <w:lvlJc w:val="left"/>
      <w:rPr>
        <w:color w:val="3370FF"/>
      </w:rPr>
    </w:lvl>
  </w:abstractNum>
  <w:abstractNum w:abstractNumId="25">
    <w:nsid w:val="39A0D9AC"/>
    <w:multiLevelType w:val="singleLevel"/>
    <w:tmpl w:val="39A0D9AC"/>
    <w:lvl w:ilvl="0" w:tentative="0">
      <w:start w:val="0"/>
      <w:numFmt w:val="bullet"/>
      <w:lvlText w:val="•"/>
      <w:lvlJc w:val="left"/>
      <w:rPr>
        <w:color w:val="3370FF"/>
      </w:rPr>
    </w:lvl>
  </w:abstractNum>
  <w:abstractNum w:abstractNumId="26">
    <w:nsid w:val="3B8127DF"/>
    <w:multiLevelType w:val="singleLevel"/>
    <w:tmpl w:val="3B8127DF"/>
    <w:lvl w:ilvl="0" w:tentative="0">
      <w:start w:val="0"/>
      <w:numFmt w:val="bullet"/>
      <w:lvlText w:val="•"/>
      <w:lvlJc w:val="left"/>
      <w:rPr>
        <w:color w:val="3370FF"/>
      </w:rPr>
    </w:lvl>
  </w:abstractNum>
  <w:abstractNum w:abstractNumId="27">
    <w:nsid w:val="40B249F9"/>
    <w:multiLevelType w:val="singleLevel"/>
    <w:tmpl w:val="40B249F9"/>
    <w:lvl w:ilvl="0" w:tentative="0">
      <w:start w:val="0"/>
      <w:numFmt w:val="bullet"/>
      <w:lvlText w:val="•"/>
      <w:lvlJc w:val="left"/>
      <w:rPr>
        <w:color w:val="3370FF"/>
      </w:rPr>
    </w:lvl>
  </w:abstractNum>
  <w:abstractNum w:abstractNumId="28">
    <w:nsid w:val="4C1BAE26"/>
    <w:multiLevelType w:val="singleLevel"/>
    <w:tmpl w:val="4C1BAE26"/>
    <w:lvl w:ilvl="0" w:tentative="0">
      <w:start w:val="0"/>
      <w:numFmt w:val="bullet"/>
      <w:lvlText w:val="•"/>
      <w:lvlJc w:val="left"/>
      <w:rPr>
        <w:color w:val="3370FF"/>
      </w:rPr>
    </w:lvl>
  </w:abstractNum>
  <w:abstractNum w:abstractNumId="29">
    <w:nsid w:val="4D4DC07F"/>
    <w:multiLevelType w:val="singleLevel"/>
    <w:tmpl w:val="4D4DC07F"/>
    <w:lvl w:ilvl="0" w:tentative="0">
      <w:start w:val="0"/>
      <w:numFmt w:val="bullet"/>
      <w:lvlText w:val="•"/>
      <w:lvlJc w:val="left"/>
      <w:rPr>
        <w:color w:val="3370FF"/>
      </w:rPr>
    </w:lvl>
  </w:abstractNum>
  <w:abstractNum w:abstractNumId="30">
    <w:nsid w:val="58765686"/>
    <w:multiLevelType w:val="singleLevel"/>
    <w:tmpl w:val="58765686"/>
    <w:lvl w:ilvl="0" w:tentative="0">
      <w:start w:val="0"/>
      <w:numFmt w:val="bullet"/>
      <w:lvlText w:val="•"/>
      <w:lvlJc w:val="left"/>
      <w:rPr>
        <w:color w:val="3370FF"/>
      </w:rPr>
    </w:lvl>
  </w:abstractNum>
  <w:abstractNum w:abstractNumId="31">
    <w:nsid w:val="59ADCABA"/>
    <w:multiLevelType w:val="singleLevel"/>
    <w:tmpl w:val="59ADCABA"/>
    <w:lvl w:ilvl="0" w:tentative="0">
      <w:start w:val="0"/>
      <w:numFmt w:val="bullet"/>
      <w:lvlText w:val="•"/>
      <w:lvlJc w:val="left"/>
      <w:rPr>
        <w:color w:val="3370FF"/>
      </w:rPr>
    </w:lvl>
  </w:abstractNum>
  <w:abstractNum w:abstractNumId="32">
    <w:nsid w:val="5F3E3B82"/>
    <w:multiLevelType w:val="multilevel"/>
    <w:tmpl w:val="5F3E3B82"/>
    <w:lvl w:ilvl="0" w:tentative="0">
      <w:start w:val="1"/>
      <w:numFmt w:val="decimal"/>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decimal"/>
      <w:lvlText w:val="%3、"/>
      <w:lvlJc w:val="left"/>
      <w:pPr>
        <w:ind w:left="1290" w:hanging="45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5FFFB1A7"/>
    <w:multiLevelType w:val="singleLevel"/>
    <w:tmpl w:val="5FFFB1A7"/>
    <w:lvl w:ilvl="0" w:tentative="0">
      <w:start w:val="0"/>
      <w:numFmt w:val="bullet"/>
      <w:lvlText w:val="•"/>
      <w:lvlJc w:val="left"/>
      <w:rPr>
        <w:color w:val="3370FF"/>
      </w:rPr>
    </w:lvl>
  </w:abstractNum>
  <w:abstractNum w:abstractNumId="34">
    <w:nsid w:val="60382F6E"/>
    <w:multiLevelType w:val="singleLevel"/>
    <w:tmpl w:val="60382F6E"/>
    <w:lvl w:ilvl="0" w:tentative="0">
      <w:start w:val="0"/>
      <w:numFmt w:val="bullet"/>
      <w:lvlText w:val="•"/>
      <w:lvlJc w:val="left"/>
      <w:rPr>
        <w:color w:val="3370FF"/>
      </w:rPr>
    </w:lvl>
  </w:abstractNum>
  <w:abstractNum w:abstractNumId="35">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6">
    <w:nsid w:val="72183CF9"/>
    <w:multiLevelType w:val="singleLevel"/>
    <w:tmpl w:val="72183CF9"/>
    <w:lvl w:ilvl="0" w:tentative="0">
      <w:start w:val="0"/>
      <w:numFmt w:val="bullet"/>
      <w:lvlText w:val="•"/>
      <w:lvlJc w:val="left"/>
      <w:rPr>
        <w:color w:val="3370FF"/>
      </w:rPr>
    </w:lvl>
  </w:abstractNum>
  <w:abstractNum w:abstractNumId="37">
    <w:nsid w:val="756D29A0"/>
    <w:multiLevelType w:val="multilevel"/>
    <w:tmpl w:val="756D29A0"/>
    <w:lvl w:ilvl="0" w:tentative="0">
      <w:start w:val="1"/>
      <w:numFmt w:val="decimal"/>
      <w:pStyle w:val="2"/>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3"/>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4"/>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8">
    <w:nsid w:val="7DEC2089"/>
    <w:multiLevelType w:val="singleLevel"/>
    <w:tmpl w:val="7DEC2089"/>
    <w:lvl w:ilvl="0" w:tentative="0">
      <w:start w:val="0"/>
      <w:numFmt w:val="bullet"/>
      <w:lvlText w:val="•"/>
      <w:lvlJc w:val="left"/>
      <w:rPr>
        <w:color w:val="3370FF"/>
      </w:rPr>
    </w:lvl>
  </w:abstractNum>
  <w:num w:numId="1">
    <w:abstractNumId w:val="37"/>
  </w:num>
  <w:num w:numId="2">
    <w:abstractNumId w:val="35"/>
  </w:num>
  <w:num w:numId="3">
    <w:abstractNumId w:val="29"/>
  </w:num>
  <w:num w:numId="4">
    <w:abstractNumId w:val="11"/>
  </w:num>
  <w:num w:numId="5">
    <w:abstractNumId w:val="21"/>
  </w:num>
  <w:num w:numId="6">
    <w:abstractNumId w:val="13"/>
  </w:num>
  <w:num w:numId="7">
    <w:abstractNumId w:val="9"/>
  </w:num>
  <w:num w:numId="8">
    <w:abstractNumId w:val="31"/>
  </w:num>
  <w:num w:numId="9">
    <w:abstractNumId w:val="7"/>
  </w:num>
  <w:num w:numId="10">
    <w:abstractNumId w:val="6"/>
  </w:num>
  <w:num w:numId="11">
    <w:abstractNumId w:val="16"/>
  </w:num>
  <w:num w:numId="12">
    <w:abstractNumId w:val="22"/>
  </w:num>
  <w:num w:numId="13">
    <w:abstractNumId w:val="36"/>
  </w:num>
  <w:num w:numId="14">
    <w:abstractNumId w:val="14"/>
  </w:num>
  <w:num w:numId="15">
    <w:abstractNumId w:val="25"/>
  </w:num>
  <w:num w:numId="16">
    <w:abstractNumId w:val="1"/>
  </w:num>
  <w:num w:numId="17">
    <w:abstractNumId w:val="30"/>
  </w:num>
  <w:num w:numId="18">
    <w:abstractNumId w:val="38"/>
  </w:num>
  <w:num w:numId="19">
    <w:abstractNumId w:val="19"/>
  </w:num>
  <w:num w:numId="20">
    <w:abstractNumId w:val="2"/>
  </w:num>
  <w:num w:numId="21">
    <w:abstractNumId w:val="33"/>
  </w:num>
  <w:num w:numId="22">
    <w:abstractNumId w:val="0"/>
  </w:num>
  <w:num w:numId="23">
    <w:abstractNumId w:val="20"/>
  </w:num>
  <w:num w:numId="24">
    <w:abstractNumId w:val="27"/>
  </w:num>
  <w:num w:numId="25">
    <w:abstractNumId w:val="17"/>
  </w:num>
  <w:num w:numId="26">
    <w:abstractNumId w:val="24"/>
  </w:num>
  <w:num w:numId="27">
    <w:abstractNumId w:val="15"/>
  </w:num>
  <w:num w:numId="28">
    <w:abstractNumId w:val="8"/>
  </w:num>
  <w:num w:numId="29">
    <w:abstractNumId w:val="18"/>
  </w:num>
  <w:num w:numId="30">
    <w:abstractNumId w:val="5"/>
  </w:num>
  <w:num w:numId="31">
    <w:abstractNumId w:val="26"/>
  </w:num>
  <w:num w:numId="32">
    <w:abstractNumId w:val="10"/>
  </w:num>
  <w:num w:numId="33">
    <w:abstractNumId w:val="3"/>
  </w:num>
  <w:num w:numId="34">
    <w:abstractNumId w:val="28"/>
  </w:num>
  <w:num w:numId="35">
    <w:abstractNumId w:val="34"/>
  </w:num>
  <w:num w:numId="36">
    <w:abstractNumId w:val="4"/>
  </w:num>
  <w:num w:numId="37">
    <w:abstractNumId w:val="12"/>
  </w:num>
  <w:num w:numId="38">
    <w:abstractNumId w:val="2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8B71B8"/>
    <w:rsid w:val="01E94BC4"/>
    <w:rsid w:val="01FF094C"/>
    <w:rsid w:val="04FB48B0"/>
    <w:rsid w:val="05FE45B4"/>
    <w:rsid w:val="0D974E8F"/>
    <w:rsid w:val="0DDA2DC7"/>
    <w:rsid w:val="0FC46453"/>
    <w:rsid w:val="12722550"/>
    <w:rsid w:val="129E11D6"/>
    <w:rsid w:val="1411064A"/>
    <w:rsid w:val="16D93709"/>
    <w:rsid w:val="17577BA6"/>
    <w:rsid w:val="1775550D"/>
    <w:rsid w:val="19420680"/>
    <w:rsid w:val="1BCF7616"/>
    <w:rsid w:val="1DB33707"/>
    <w:rsid w:val="1F20231F"/>
    <w:rsid w:val="210D7225"/>
    <w:rsid w:val="21717341"/>
    <w:rsid w:val="23974D31"/>
    <w:rsid w:val="26FD3900"/>
    <w:rsid w:val="278C564A"/>
    <w:rsid w:val="29177195"/>
    <w:rsid w:val="2BAB1C9A"/>
    <w:rsid w:val="2C1323A2"/>
    <w:rsid w:val="2C541FF4"/>
    <w:rsid w:val="2DB40248"/>
    <w:rsid w:val="2EE026B7"/>
    <w:rsid w:val="307420FA"/>
    <w:rsid w:val="33066965"/>
    <w:rsid w:val="332C3305"/>
    <w:rsid w:val="358B71B8"/>
    <w:rsid w:val="35BE4538"/>
    <w:rsid w:val="364221DA"/>
    <w:rsid w:val="38D61DE5"/>
    <w:rsid w:val="3A1D0BFC"/>
    <w:rsid w:val="3AE6231A"/>
    <w:rsid w:val="3C9409E0"/>
    <w:rsid w:val="3F00466A"/>
    <w:rsid w:val="3F164AA1"/>
    <w:rsid w:val="3F4940F4"/>
    <w:rsid w:val="42465013"/>
    <w:rsid w:val="43A94DED"/>
    <w:rsid w:val="46A755C9"/>
    <w:rsid w:val="47F87820"/>
    <w:rsid w:val="4A144698"/>
    <w:rsid w:val="4DFE254E"/>
    <w:rsid w:val="4F9C5D20"/>
    <w:rsid w:val="50A02C33"/>
    <w:rsid w:val="53487DC7"/>
    <w:rsid w:val="540B3677"/>
    <w:rsid w:val="55401D6C"/>
    <w:rsid w:val="5D122F42"/>
    <w:rsid w:val="5F494441"/>
    <w:rsid w:val="60D524A5"/>
    <w:rsid w:val="6669046B"/>
    <w:rsid w:val="678B628A"/>
    <w:rsid w:val="6ABB7F81"/>
    <w:rsid w:val="6AE535E8"/>
    <w:rsid w:val="6B5A722E"/>
    <w:rsid w:val="6FA75344"/>
    <w:rsid w:val="71A84F79"/>
    <w:rsid w:val="746A588D"/>
    <w:rsid w:val="74F0120D"/>
    <w:rsid w:val="75866ACD"/>
    <w:rsid w:val="75BA64B4"/>
    <w:rsid w:val="7644112F"/>
    <w:rsid w:val="777E44C4"/>
    <w:rsid w:val="77DB43D0"/>
    <w:rsid w:val="78A479BE"/>
    <w:rsid w:val="7BED65F8"/>
    <w:rsid w:val="7D62681F"/>
    <w:rsid w:val="7EFF55CA"/>
    <w:rsid w:val="83FE2094"/>
    <w:rsid w:val="C8EF103C"/>
    <w:rsid w:val="EFFF5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3">
    <w:name w:val="heading 2"/>
    <w:basedOn w:val="1"/>
    <w:next w:val="1"/>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4">
    <w:name w:val="heading 3"/>
    <w:basedOn w:val="1"/>
    <w:next w:val="1"/>
    <w:qFormat/>
    <w:uiPriority w:val="0"/>
    <w:pPr>
      <w:keepNext/>
      <w:keepLines/>
      <w:numPr>
        <w:ilvl w:val="2"/>
        <w:numId w:val="1"/>
      </w:numPr>
      <w:spacing w:line="415" w:lineRule="auto"/>
      <w:outlineLvl w:val="2"/>
    </w:pPr>
    <w:rPr>
      <w:rFonts w:ascii="仿宋" w:hAnsi="仿宋" w:eastAsia="仿宋_GB2312"/>
      <w:b/>
      <w:bCs/>
      <w:sz w:val="32"/>
      <w:szCs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pPr>
    <w:rPr>
      <w:sz w:val="24"/>
      <w:szCs w:val="20"/>
    </w:rPr>
  </w:style>
  <w:style w:type="paragraph" w:styleId="6">
    <w:name w:val="Body Text"/>
    <w:basedOn w:val="1"/>
    <w:next w:val="7"/>
    <w:qFormat/>
    <w:uiPriority w:val="0"/>
    <w:pPr>
      <w:spacing w:after="120"/>
      <w:ind w:firstLine="200" w:firstLineChars="200"/>
    </w:pPr>
    <w:rPr>
      <w:sz w:val="24"/>
    </w:r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8">
    <w:name w:val="toc 3"/>
    <w:basedOn w:val="1"/>
    <w:next w:val="1"/>
    <w:qFormat/>
    <w:uiPriority w:val="39"/>
    <w:pPr>
      <w:ind w:left="840" w:leftChars="400"/>
    </w:p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character" w:styleId="15">
    <w:name w:val="page number"/>
    <w:qFormat/>
    <w:uiPriority w:val="0"/>
  </w:style>
  <w:style w:type="paragraph" w:customStyle="1" w:styleId="16">
    <w:name w:val="目录 11"/>
    <w:basedOn w:val="1"/>
    <w:next w:val="1"/>
    <w:qFormat/>
    <w:uiPriority w:val="39"/>
    <w:pPr>
      <w:spacing w:before="120" w:after="120" w:line="60" w:lineRule="auto"/>
      <w:jc w:val="left"/>
    </w:pPr>
    <w:rPr>
      <w:b/>
      <w:bCs/>
      <w:caps/>
      <w:sz w:val="20"/>
      <w:szCs w:val="20"/>
    </w:rPr>
  </w:style>
  <w:style w:type="paragraph" w:customStyle="1" w:styleId="17">
    <w:name w:val="_Style 5"/>
    <w:basedOn w:val="1"/>
    <w:qFormat/>
    <w:uiPriority w:val="0"/>
    <w:pPr>
      <w:adjustRightInd w:val="0"/>
      <w:snapToGrid w:val="0"/>
      <w:spacing w:before="120" w:beforeLines="0" w:after="120" w:afterLines="0" w:line="360" w:lineRule="auto"/>
      <w:ind w:left="578" w:firstLine="420" w:firstLineChars="200"/>
    </w:pPr>
    <w:rPr>
      <w:lang w:eastAsia="zh-TW"/>
    </w:rPr>
  </w:style>
  <w:style w:type="paragraph" w:customStyle="1" w:styleId="18">
    <w:name w:val="正文文本缩进1"/>
    <w:basedOn w:val="1"/>
    <w:qFormat/>
    <w:uiPriority w:val="0"/>
    <w:pPr>
      <w:spacing w:line="300" w:lineRule="auto"/>
      <w:ind w:firstLine="480"/>
    </w:pPr>
    <w:rPr>
      <w:rFonts w:ascii="宋体" w:hAnsi="宋体"/>
      <w:kern w:val="0"/>
      <w:sz w:val="24"/>
    </w:rPr>
  </w:style>
  <w:style w:type="paragraph" w:customStyle="1" w:styleId="19">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3058</Words>
  <Characters>3197</Characters>
  <Lines>0</Lines>
  <Paragraphs>0</Paragraphs>
  <TotalTime>3</TotalTime>
  <ScaleCrop>false</ScaleCrop>
  <LinksUpToDate>false</LinksUpToDate>
  <CharactersWithSpaces>3238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2024-02-20T07:26:00Z</dcterms:created>
  <dc:creator>Administrator</dc:creator>
  <cp:lastModifiedBy>方文睿</cp:lastModifiedBy>
  <cp:lastPrinted>2024-06-05T03:32:00Z</cp:lastPrinted>
  <dcterms:modified xsi:type="dcterms:W3CDTF">2026-04-30T07:27:32Z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1D01B876F9144E9F91BFE611355A38CC_13</vt:lpwstr>
  </property>
  <property fmtid="{D5CDD505-2E9C-101B-9397-08002B2CF9AE}" pid="4" name="KSOTemplateDocerSaveRecord">
    <vt:lpwstr>eyJoZGlkIjoiZGYxNjEwMjkxYzEyNTMzNWI4MGVhM2I5NjNmNjAwYmIiLCJ1c2VySWQiOiIyMTQ1MTY2NTUifQ==</vt:lpwstr>
  </property>
</Properties>
</file>