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leader="middleDot" w:pos="9412"/>
        </w:tabs>
        <w:jc w:val="center"/>
        <w:rPr>
          <w:rFonts w:ascii="黑体" w:eastAsia="黑体"/>
          <w:b/>
          <w:sz w:val="32"/>
          <w:szCs w:val="32"/>
          <w:highlight w:val="none"/>
        </w:rPr>
      </w:pPr>
      <w:bookmarkStart w:id="0" w:name="_Toc407178632"/>
      <w:bookmarkStart w:id="1" w:name="_Toc398647395"/>
      <w:bookmarkStart w:id="2" w:name="_Toc411718149"/>
      <w:bookmarkStart w:id="3" w:name="_Toc411721745"/>
      <w:bookmarkStart w:id="4" w:name="_Toc405558310"/>
      <w:bookmarkStart w:id="5" w:name="_Toc407271698"/>
      <w:bookmarkStart w:id="6" w:name="_Toc236731909"/>
      <w:r>
        <w:rPr>
          <w:rFonts w:ascii="黑体" w:eastAsia="黑体"/>
          <w:b/>
          <w:sz w:val="32"/>
          <w:szCs w:val="32"/>
          <w:highlight w:val="none"/>
        </w:rPr>
        <w:drawing>
          <wp:anchor distT="0" distB="0" distL="114300" distR="114300" simplePos="0" relativeHeight="251659264" behindDoc="1" locked="0" layoutInCell="1" allowOverlap="1">
            <wp:simplePos x="0" y="0"/>
            <wp:positionH relativeFrom="page">
              <wp:posOffset>-6350</wp:posOffset>
            </wp:positionH>
            <wp:positionV relativeFrom="page">
              <wp:posOffset>-12700</wp:posOffset>
            </wp:positionV>
            <wp:extent cx="7563485" cy="2400300"/>
            <wp:effectExtent l="0" t="0" r="18415" b="0"/>
            <wp:wrapNone/>
            <wp:docPr id="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5"/>
                    <pic:cNvPicPr>
                      <a:picLocks noChangeAspect="1"/>
                    </pic:cNvPicPr>
                  </pic:nvPicPr>
                  <pic:blipFill>
                    <a:blip r:embed="rId6"/>
                    <a:stretch>
                      <a:fillRect/>
                    </a:stretch>
                  </pic:blipFill>
                  <pic:spPr>
                    <a:xfrm>
                      <a:off x="0" y="0"/>
                      <a:ext cx="7563485" cy="2400300"/>
                    </a:xfrm>
                    <a:prstGeom prst="rect">
                      <a:avLst/>
                    </a:prstGeom>
                    <a:noFill/>
                    <a:ln>
                      <a:noFill/>
                    </a:ln>
                  </pic:spPr>
                </pic:pic>
              </a:graphicData>
            </a:graphic>
          </wp:anchor>
        </w:drawing>
      </w:r>
    </w:p>
    <w:p>
      <w:pPr>
        <w:tabs>
          <w:tab w:val="right" w:leader="middleDot" w:pos="9412"/>
        </w:tabs>
        <w:jc w:val="center"/>
        <w:rPr>
          <w:rFonts w:ascii="黑体" w:eastAsia="黑体"/>
          <w:b/>
          <w:sz w:val="32"/>
          <w:szCs w:val="32"/>
          <w:highlight w:val="none"/>
        </w:rPr>
      </w:pPr>
      <w:r>
        <w:rPr>
          <w:rFonts w:hint="eastAsia" w:ascii="黑体" w:eastAsia="黑体"/>
          <w:b/>
          <w:sz w:val="32"/>
          <w:szCs w:val="32"/>
          <w:highlight w:val="none"/>
        </w:rPr>
        <w:drawing>
          <wp:anchor distT="0" distB="0" distL="114300" distR="114300" simplePos="0" relativeHeight="251660288" behindDoc="1" locked="0" layoutInCell="1" allowOverlap="1">
            <wp:simplePos x="0" y="0"/>
            <wp:positionH relativeFrom="column">
              <wp:posOffset>-313055</wp:posOffset>
            </wp:positionH>
            <wp:positionV relativeFrom="paragraph">
              <wp:posOffset>189230</wp:posOffset>
            </wp:positionV>
            <wp:extent cx="3312160" cy="706755"/>
            <wp:effectExtent l="0" t="0" r="2540" b="17145"/>
            <wp:wrapNone/>
            <wp:docPr id="2" name="图片 14" descr="-A04-1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descr="-A04-1L"/>
                    <pic:cNvPicPr>
                      <a:picLocks noChangeAspect="1"/>
                    </pic:cNvPicPr>
                  </pic:nvPicPr>
                  <pic:blipFill>
                    <a:blip r:embed="rId7"/>
                    <a:stretch>
                      <a:fillRect/>
                    </a:stretch>
                  </pic:blipFill>
                  <pic:spPr>
                    <a:xfrm>
                      <a:off x="0" y="0"/>
                      <a:ext cx="3312160" cy="706755"/>
                    </a:xfrm>
                    <a:prstGeom prst="rect">
                      <a:avLst/>
                    </a:prstGeom>
                    <a:noFill/>
                    <a:ln>
                      <a:noFill/>
                    </a:ln>
                  </pic:spPr>
                </pic:pic>
              </a:graphicData>
            </a:graphic>
          </wp:anchor>
        </w:drawing>
      </w: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spacing w:line="360" w:lineRule="auto"/>
        <w:jc w:val="center"/>
        <w:rPr>
          <w:rFonts w:hint="eastAsia" w:ascii="黑体" w:eastAsia="黑体"/>
          <w:b/>
          <w:sz w:val="52"/>
          <w:highlight w:val="none"/>
          <w:lang w:val="en-US" w:eastAsia="zh-CN"/>
        </w:rPr>
      </w:pPr>
      <w:r>
        <w:rPr>
          <w:rFonts w:hint="eastAsia" w:ascii="黑体" w:eastAsia="黑体"/>
          <w:b/>
          <w:sz w:val="52"/>
          <w:highlight w:val="none"/>
          <w:lang w:val="en-US" w:eastAsia="zh-CN"/>
        </w:rPr>
        <w:t>深圳供电局有限公司</w:t>
      </w:r>
    </w:p>
    <w:p>
      <w:pPr>
        <w:spacing w:line="360" w:lineRule="auto"/>
        <w:jc w:val="center"/>
        <w:rPr>
          <w:rFonts w:hint="eastAsia" w:ascii="黑体" w:eastAsia="黑体"/>
          <w:b/>
          <w:sz w:val="52"/>
          <w:highlight w:val="none"/>
        </w:rPr>
      </w:pPr>
      <w:r>
        <w:rPr>
          <w:rFonts w:hint="eastAsia" w:ascii="黑体" w:eastAsia="黑体"/>
          <w:b/>
          <w:sz w:val="52"/>
          <w:highlight w:val="none"/>
        </w:rPr>
        <w:t>低压费控计量表箱技术规范</w:t>
      </w: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tabs>
          <w:tab w:val="right" w:leader="middleDot" w:pos="9412"/>
        </w:tabs>
        <w:jc w:val="center"/>
        <w:rPr>
          <w:rFonts w:ascii="黑体" w:eastAsia="黑体"/>
          <w:b/>
          <w:sz w:val="32"/>
          <w:szCs w:val="32"/>
          <w:highlight w:val="none"/>
        </w:rPr>
      </w:pPr>
    </w:p>
    <w:p>
      <w:pPr>
        <w:ind w:left="240" w:firstLine="560"/>
        <w:jc w:val="center"/>
        <w:rPr>
          <w:rFonts w:hint="eastAsia" w:ascii="黑体" w:eastAsia="黑体"/>
          <w:sz w:val="28"/>
          <w:szCs w:val="28"/>
          <w:highlight w:val="none"/>
        </w:rPr>
      </w:pPr>
      <w:bookmarkStart w:id="7" w:name="_Toc335292671"/>
      <w:bookmarkStart w:id="8" w:name="_Toc343096269"/>
      <w:bookmarkStart w:id="9" w:name="_Toc343003702"/>
      <w:bookmarkStart w:id="10" w:name="_Toc338790838"/>
      <w:bookmarkStart w:id="11" w:name="_Toc338794374"/>
      <w:bookmarkStart w:id="12" w:name="_Toc335292785"/>
      <w:bookmarkStart w:id="13" w:name="_Toc339010900"/>
      <w:bookmarkStart w:id="14" w:name="_Toc343002610"/>
      <w:bookmarkStart w:id="15" w:name="_Toc338795143"/>
      <w:bookmarkStart w:id="16" w:name="_Toc339373873"/>
      <w:bookmarkStart w:id="17" w:name="_Toc343096083"/>
    </w:p>
    <w:p>
      <w:pPr>
        <w:ind w:left="240" w:firstLine="560"/>
        <w:jc w:val="center"/>
        <w:rPr>
          <w:rFonts w:hint="eastAsia" w:ascii="黑体" w:eastAsia="黑体"/>
          <w:sz w:val="28"/>
          <w:szCs w:val="28"/>
          <w:highlight w:val="none"/>
        </w:rPr>
      </w:pPr>
    </w:p>
    <w:p>
      <w:pPr>
        <w:ind w:left="240" w:firstLine="560"/>
        <w:jc w:val="center"/>
        <w:rPr>
          <w:rFonts w:hint="eastAsia" w:ascii="黑体" w:eastAsia="黑体"/>
          <w:sz w:val="28"/>
          <w:szCs w:val="28"/>
          <w:highlight w:val="none"/>
        </w:rPr>
      </w:pPr>
    </w:p>
    <w:p>
      <w:pPr>
        <w:ind w:left="240" w:firstLine="560"/>
        <w:jc w:val="center"/>
        <w:rPr>
          <w:rFonts w:hint="eastAsia" w:ascii="黑体" w:eastAsia="黑体"/>
          <w:sz w:val="28"/>
          <w:szCs w:val="28"/>
          <w:highlight w:val="none"/>
        </w:rPr>
      </w:pPr>
    </w:p>
    <w:p>
      <w:pPr>
        <w:ind w:left="240" w:firstLine="560"/>
        <w:jc w:val="center"/>
        <w:rPr>
          <w:rFonts w:hint="eastAsia" w:ascii="黑体" w:eastAsia="黑体"/>
          <w:sz w:val="28"/>
          <w:szCs w:val="28"/>
          <w:highlight w:val="none"/>
        </w:rPr>
      </w:pPr>
    </w:p>
    <w:p>
      <w:pPr>
        <w:spacing w:line="360" w:lineRule="auto"/>
        <w:jc w:val="center"/>
        <w:rPr>
          <w:rFonts w:ascii="黑体" w:eastAsia="黑体"/>
          <w:sz w:val="28"/>
          <w:szCs w:val="28"/>
          <w:highlight w:val="none"/>
        </w:rPr>
      </w:pPr>
      <w:r>
        <w:rPr>
          <w:rFonts w:hint="eastAsia" w:ascii="黑体" w:eastAsia="黑体"/>
          <w:sz w:val="28"/>
          <w:szCs w:val="28"/>
          <w:highlight w:val="none"/>
        </w:rPr>
        <w:t>深圳供电局有限公司</w:t>
      </w:r>
      <w:bookmarkEnd w:id="7"/>
      <w:bookmarkEnd w:id="8"/>
      <w:bookmarkEnd w:id="9"/>
      <w:bookmarkEnd w:id="10"/>
      <w:bookmarkEnd w:id="11"/>
      <w:bookmarkEnd w:id="12"/>
      <w:bookmarkEnd w:id="13"/>
      <w:bookmarkEnd w:id="14"/>
      <w:bookmarkEnd w:id="15"/>
      <w:bookmarkEnd w:id="16"/>
      <w:bookmarkEnd w:id="17"/>
    </w:p>
    <w:p>
      <w:pPr>
        <w:spacing w:line="360" w:lineRule="auto"/>
        <w:jc w:val="center"/>
        <w:rPr>
          <w:rFonts w:eastAsia="黑体"/>
          <w:sz w:val="36"/>
          <w:szCs w:val="36"/>
          <w:highlight w:val="none"/>
        </w:rPr>
      </w:pPr>
      <w:bookmarkStart w:id="18" w:name="_Toc335292672"/>
      <w:bookmarkStart w:id="19" w:name="_Toc338795144"/>
      <w:bookmarkStart w:id="20" w:name="_Toc339010901"/>
      <w:bookmarkStart w:id="21" w:name="_Toc338794375"/>
      <w:bookmarkStart w:id="22" w:name="_Toc343096084"/>
      <w:bookmarkStart w:id="23" w:name="_Toc338790839"/>
      <w:bookmarkStart w:id="24" w:name="_Toc339373874"/>
      <w:bookmarkStart w:id="25" w:name="_Toc343002611"/>
      <w:bookmarkStart w:id="26" w:name="_Toc343096270"/>
      <w:bookmarkStart w:id="27" w:name="_Toc335292786"/>
      <w:bookmarkStart w:id="28" w:name="_Toc343003703"/>
      <w:r>
        <w:rPr>
          <w:rFonts w:hint="eastAsia" w:ascii="黑体" w:eastAsia="黑体"/>
          <w:sz w:val="28"/>
          <w:szCs w:val="28"/>
          <w:highlight w:val="none"/>
        </w:rPr>
        <w:t>202</w:t>
      </w:r>
      <w:r>
        <w:rPr>
          <w:rFonts w:hint="eastAsia" w:ascii="黑体" w:eastAsia="黑体"/>
          <w:sz w:val="28"/>
          <w:szCs w:val="28"/>
          <w:highlight w:val="none"/>
          <w:lang w:val="en-US" w:eastAsia="zh-CN"/>
        </w:rPr>
        <w:t>6</w:t>
      </w:r>
      <w:r>
        <w:rPr>
          <w:rFonts w:hint="eastAsia" w:ascii="黑体" w:eastAsia="黑体"/>
          <w:sz w:val="28"/>
          <w:szCs w:val="28"/>
          <w:highlight w:val="none"/>
        </w:rPr>
        <w:t>年</w:t>
      </w:r>
      <w:r>
        <w:rPr>
          <w:rFonts w:hint="eastAsia" w:ascii="黑体" w:eastAsia="黑体"/>
          <w:sz w:val="28"/>
          <w:szCs w:val="28"/>
          <w:highlight w:val="none"/>
          <w:lang w:val="en-US" w:eastAsia="zh-CN"/>
        </w:rPr>
        <w:t>5</w:t>
      </w:r>
      <w:r>
        <w:rPr>
          <w:rFonts w:hint="eastAsia" w:ascii="黑体" w:eastAsia="黑体"/>
          <w:sz w:val="28"/>
          <w:szCs w:val="28"/>
          <w:highlight w:val="none"/>
        </w:rPr>
        <w:t>月</w:t>
      </w:r>
      <w:bookmarkEnd w:id="18"/>
      <w:bookmarkEnd w:id="19"/>
      <w:bookmarkEnd w:id="20"/>
      <w:bookmarkEnd w:id="21"/>
      <w:bookmarkEnd w:id="22"/>
      <w:bookmarkEnd w:id="23"/>
      <w:bookmarkEnd w:id="24"/>
      <w:bookmarkEnd w:id="25"/>
      <w:bookmarkEnd w:id="26"/>
      <w:bookmarkEnd w:id="27"/>
      <w:bookmarkEnd w:id="28"/>
      <w:bookmarkStart w:id="225" w:name="_GoBack"/>
      <w:bookmarkEnd w:id="225"/>
    </w:p>
    <w:p>
      <w:pPr>
        <w:pStyle w:val="30"/>
        <w:jc w:val="center"/>
        <w:rPr>
          <w:rFonts w:ascii="黑体" w:eastAsia="黑体"/>
          <w:b w:val="0"/>
          <w:sz w:val="32"/>
          <w:szCs w:val="32"/>
          <w:highlight w:val="none"/>
        </w:rPr>
      </w:pPr>
      <w:bookmarkStart w:id="29" w:name="_Toc422128841"/>
      <w:bookmarkStart w:id="30" w:name="_Toc422296255"/>
      <w:r>
        <w:rPr>
          <w:rFonts w:hint="eastAsia" w:ascii="黑体" w:eastAsia="黑体"/>
          <w:b w:val="0"/>
          <w:sz w:val="32"/>
          <w:szCs w:val="32"/>
          <w:highlight w:val="none"/>
        </w:rPr>
        <w:t>目    录</w:t>
      </w:r>
      <w:bookmarkEnd w:id="0"/>
      <w:bookmarkEnd w:id="1"/>
      <w:bookmarkEnd w:id="2"/>
      <w:bookmarkEnd w:id="3"/>
      <w:bookmarkEnd w:id="4"/>
      <w:bookmarkEnd w:id="5"/>
      <w:bookmarkEnd w:id="29"/>
      <w:bookmarkEnd w:id="30"/>
    </w:p>
    <w:p>
      <w:pPr>
        <w:pStyle w:val="30"/>
        <w:tabs>
          <w:tab w:val="right" w:leader="dot" w:pos="9071"/>
          <w:tab w:val="clear" w:pos="9017"/>
        </w:tabs>
        <w:rPr>
          <w:highlight w:val="none"/>
        </w:rPr>
      </w:pPr>
      <w:r>
        <w:rPr>
          <w:highlight w:val="none"/>
        </w:rPr>
        <w:fldChar w:fldCharType="begin"/>
      </w:r>
      <w:r>
        <w:rPr>
          <w:highlight w:val="none"/>
        </w:rPr>
        <w:instrText xml:space="preserve"> </w:instrText>
      </w:r>
      <w:r>
        <w:rPr>
          <w:rFonts w:hint="eastAsia"/>
          <w:highlight w:val="none"/>
        </w:rPr>
        <w:instrText xml:space="preserve">TOC \o "1-3" \h \z \u</w:instrText>
      </w:r>
      <w:r>
        <w:rPr>
          <w:highlight w:val="none"/>
        </w:rPr>
        <w:instrText xml:space="preserve"> </w:instrText>
      </w:r>
      <w:r>
        <w:rPr>
          <w:highlight w:val="none"/>
        </w:rPr>
        <w:fldChar w:fldCharType="separate"/>
      </w:r>
      <w:r>
        <w:rPr>
          <w:highlight w:val="none"/>
        </w:rPr>
        <w:fldChar w:fldCharType="begin"/>
      </w:r>
      <w:r>
        <w:rPr>
          <w:highlight w:val="none"/>
        </w:rPr>
        <w:instrText xml:space="preserve"> HYPERLINK \l _Toc8284 </w:instrText>
      </w:r>
      <w:r>
        <w:rPr>
          <w:highlight w:val="none"/>
        </w:rPr>
        <w:fldChar w:fldCharType="separate"/>
      </w:r>
      <w:r>
        <w:rPr>
          <w:rFonts w:ascii="Times New Roman" w:hAnsi="Times New Roman"/>
          <w:kern w:val="44"/>
          <w:szCs w:val="21"/>
          <w:highlight w:val="none"/>
          <w:shd w:val="clear" w:color="auto" w:fill="FFFFFF"/>
        </w:rPr>
        <w:t>1. 范围</w:t>
      </w:r>
      <w:r>
        <w:rPr>
          <w:highlight w:val="none"/>
        </w:rPr>
        <w:tab/>
      </w:r>
      <w:r>
        <w:rPr>
          <w:highlight w:val="none"/>
        </w:rPr>
        <w:fldChar w:fldCharType="begin"/>
      </w:r>
      <w:r>
        <w:rPr>
          <w:highlight w:val="none"/>
        </w:rPr>
        <w:instrText xml:space="preserve"> PAGEREF _Toc8284 </w:instrText>
      </w:r>
      <w:r>
        <w:rPr>
          <w:highlight w:val="none"/>
        </w:rPr>
        <w:fldChar w:fldCharType="separate"/>
      </w:r>
      <w:r>
        <w:rPr>
          <w:highlight w:val="none"/>
        </w:rPr>
        <w:t>5</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_Toc18042 </w:instrText>
      </w:r>
      <w:r>
        <w:rPr>
          <w:highlight w:val="none"/>
        </w:rPr>
        <w:fldChar w:fldCharType="separate"/>
      </w:r>
      <w:r>
        <w:rPr>
          <w:rFonts w:ascii="Times New Roman" w:hAnsi="Times New Roman"/>
          <w:kern w:val="44"/>
          <w:szCs w:val="21"/>
          <w:highlight w:val="none"/>
          <w:shd w:val="clear" w:color="auto" w:fill="FFFFFF"/>
        </w:rPr>
        <w:t xml:space="preserve">2. </w:t>
      </w:r>
      <w:r>
        <w:rPr>
          <w:rFonts w:hint="eastAsia" w:ascii="Times New Roman" w:hAnsi="Times New Roman"/>
          <w:kern w:val="44"/>
          <w:szCs w:val="21"/>
          <w:highlight w:val="none"/>
          <w:shd w:val="clear" w:color="auto" w:fill="FFFFFF"/>
        </w:rPr>
        <w:t>规</w:t>
      </w:r>
      <w:r>
        <w:rPr>
          <w:rFonts w:ascii="Times New Roman" w:hAnsi="Times New Roman"/>
          <w:kern w:val="44"/>
          <w:szCs w:val="21"/>
          <w:highlight w:val="none"/>
          <w:shd w:val="clear" w:color="auto" w:fill="FFFFFF"/>
        </w:rPr>
        <w:t>范性引用文件</w:t>
      </w:r>
      <w:r>
        <w:rPr>
          <w:highlight w:val="none"/>
        </w:rPr>
        <w:tab/>
      </w:r>
      <w:r>
        <w:rPr>
          <w:highlight w:val="none"/>
        </w:rPr>
        <w:fldChar w:fldCharType="begin"/>
      </w:r>
      <w:r>
        <w:rPr>
          <w:highlight w:val="none"/>
        </w:rPr>
        <w:instrText xml:space="preserve"> PAGEREF _Toc18042 </w:instrText>
      </w:r>
      <w:r>
        <w:rPr>
          <w:highlight w:val="none"/>
        </w:rPr>
        <w:fldChar w:fldCharType="separate"/>
      </w:r>
      <w:r>
        <w:rPr>
          <w:highlight w:val="none"/>
        </w:rPr>
        <w:t>5</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_Toc23292 </w:instrText>
      </w:r>
      <w:r>
        <w:rPr>
          <w:highlight w:val="none"/>
        </w:rPr>
        <w:fldChar w:fldCharType="separate"/>
      </w:r>
      <w:r>
        <w:rPr>
          <w:rFonts w:ascii="Times New Roman" w:hAnsi="Times New Roman"/>
          <w:kern w:val="44"/>
          <w:szCs w:val="21"/>
          <w:highlight w:val="none"/>
          <w:shd w:val="clear" w:color="auto" w:fill="FFFFFF"/>
        </w:rPr>
        <w:t xml:space="preserve">3. </w:t>
      </w:r>
      <w:r>
        <w:rPr>
          <w:rFonts w:hint="eastAsia" w:ascii="Times New Roman" w:hAnsi="Times New Roman"/>
          <w:kern w:val="44"/>
          <w:szCs w:val="21"/>
          <w:highlight w:val="none"/>
          <w:shd w:val="clear" w:color="auto" w:fill="FFFFFF"/>
        </w:rPr>
        <w:t>术</w:t>
      </w:r>
      <w:r>
        <w:rPr>
          <w:rFonts w:ascii="Times New Roman" w:hAnsi="Times New Roman"/>
          <w:kern w:val="44"/>
          <w:szCs w:val="21"/>
          <w:highlight w:val="none"/>
          <w:shd w:val="clear" w:color="auto" w:fill="FFFFFF"/>
        </w:rPr>
        <w:t>语和定义</w:t>
      </w:r>
      <w:r>
        <w:rPr>
          <w:highlight w:val="none"/>
        </w:rPr>
        <w:tab/>
      </w:r>
      <w:r>
        <w:rPr>
          <w:highlight w:val="none"/>
        </w:rPr>
        <w:fldChar w:fldCharType="begin"/>
      </w:r>
      <w:r>
        <w:rPr>
          <w:highlight w:val="none"/>
        </w:rPr>
        <w:instrText xml:space="preserve"> PAGEREF _Toc23292 </w:instrText>
      </w:r>
      <w:r>
        <w:rPr>
          <w:highlight w:val="none"/>
        </w:rPr>
        <w:fldChar w:fldCharType="separate"/>
      </w:r>
      <w:r>
        <w:rPr>
          <w:highlight w:val="none"/>
        </w:rPr>
        <w:t>2</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_Toc6869 </w:instrText>
      </w:r>
      <w:r>
        <w:rPr>
          <w:highlight w:val="none"/>
        </w:rPr>
        <w:fldChar w:fldCharType="separate"/>
      </w:r>
      <w:r>
        <w:rPr>
          <w:rFonts w:ascii="Times New Roman" w:hAnsi="Times New Roman"/>
          <w:kern w:val="44"/>
          <w:szCs w:val="21"/>
          <w:highlight w:val="none"/>
          <w:shd w:val="clear" w:color="auto" w:fill="FFFFFF"/>
        </w:rPr>
        <w:t xml:space="preserve">3.1. </w:t>
      </w:r>
      <w:r>
        <w:rPr>
          <w:rFonts w:hint="eastAsia" w:ascii="宋体" w:hAnsi="宋体"/>
          <w:kern w:val="44"/>
          <w:szCs w:val="21"/>
          <w:highlight w:val="none"/>
          <w:shd w:val="clear" w:color="auto" w:fill="FFFFFF"/>
        </w:rPr>
        <w:t>低压费控计量表箱</w:t>
      </w:r>
      <w:r>
        <w:rPr>
          <w:highlight w:val="none"/>
        </w:rPr>
        <w:tab/>
      </w:r>
      <w:r>
        <w:rPr>
          <w:highlight w:val="none"/>
        </w:rPr>
        <w:fldChar w:fldCharType="begin"/>
      </w:r>
      <w:r>
        <w:rPr>
          <w:highlight w:val="none"/>
        </w:rPr>
        <w:instrText xml:space="preserve"> PAGEREF _Toc6869 </w:instrText>
      </w:r>
      <w:r>
        <w:rPr>
          <w:highlight w:val="none"/>
        </w:rPr>
        <w:fldChar w:fldCharType="separate"/>
      </w:r>
      <w:r>
        <w:rPr>
          <w:highlight w:val="none"/>
        </w:rPr>
        <w:t>2</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_Toc28003 </w:instrText>
      </w:r>
      <w:r>
        <w:rPr>
          <w:highlight w:val="none"/>
        </w:rPr>
        <w:fldChar w:fldCharType="separate"/>
      </w:r>
      <w:r>
        <w:rPr>
          <w:rFonts w:ascii="Times New Roman" w:hAnsi="Times New Roman"/>
          <w:kern w:val="44"/>
          <w:szCs w:val="21"/>
          <w:highlight w:val="none"/>
          <w:shd w:val="clear" w:color="auto" w:fill="FFFFFF"/>
        </w:rPr>
        <w:t xml:space="preserve">3.2. </w:t>
      </w:r>
      <w:r>
        <w:rPr>
          <w:rFonts w:hint="eastAsia" w:ascii="宋体" w:hAnsi="宋体"/>
          <w:kern w:val="44"/>
          <w:szCs w:val="21"/>
          <w:highlight w:val="none"/>
          <w:shd w:val="clear" w:color="auto" w:fill="FFFFFF"/>
        </w:rPr>
        <w:t>进线室</w:t>
      </w:r>
      <w:r>
        <w:rPr>
          <w:highlight w:val="none"/>
        </w:rPr>
        <w:tab/>
      </w:r>
      <w:r>
        <w:rPr>
          <w:highlight w:val="none"/>
        </w:rPr>
        <w:fldChar w:fldCharType="begin"/>
      </w:r>
      <w:r>
        <w:rPr>
          <w:highlight w:val="none"/>
        </w:rPr>
        <w:instrText xml:space="preserve"> PAGEREF _Toc28003 </w:instrText>
      </w:r>
      <w:r>
        <w:rPr>
          <w:highlight w:val="none"/>
        </w:rPr>
        <w:fldChar w:fldCharType="separate"/>
      </w:r>
      <w:r>
        <w:rPr>
          <w:highlight w:val="none"/>
        </w:rPr>
        <w:t>2</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_Toc24795 </w:instrText>
      </w:r>
      <w:r>
        <w:rPr>
          <w:highlight w:val="none"/>
        </w:rPr>
        <w:fldChar w:fldCharType="separate"/>
      </w:r>
      <w:r>
        <w:rPr>
          <w:rFonts w:ascii="Times New Roman" w:hAnsi="Times New Roman"/>
          <w:kern w:val="44"/>
          <w:szCs w:val="21"/>
          <w:highlight w:val="none"/>
          <w:shd w:val="clear" w:color="auto" w:fill="FFFFFF"/>
        </w:rPr>
        <w:t xml:space="preserve">3.3. </w:t>
      </w:r>
      <w:r>
        <w:rPr>
          <w:rFonts w:hint="eastAsia" w:ascii="宋体" w:hAnsi="宋体"/>
          <w:kern w:val="44"/>
          <w:szCs w:val="21"/>
          <w:highlight w:val="none"/>
          <w:shd w:val="clear" w:color="auto" w:fill="FFFFFF"/>
        </w:rPr>
        <w:t>计量室</w:t>
      </w:r>
      <w:r>
        <w:rPr>
          <w:highlight w:val="none"/>
        </w:rPr>
        <w:tab/>
      </w:r>
      <w:r>
        <w:rPr>
          <w:highlight w:val="none"/>
        </w:rPr>
        <w:fldChar w:fldCharType="begin"/>
      </w:r>
      <w:r>
        <w:rPr>
          <w:highlight w:val="none"/>
        </w:rPr>
        <w:instrText xml:space="preserve"> PAGEREF _Toc24795 </w:instrText>
      </w:r>
      <w:r>
        <w:rPr>
          <w:highlight w:val="none"/>
        </w:rPr>
        <w:fldChar w:fldCharType="separate"/>
      </w:r>
      <w:r>
        <w:rPr>
          <w:highlight w:val="none"/>
        </w:rPr>
        <w:t>2</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_Toc8376 </w:instrText>
      </w:r>
      <w:r>
        <w:rPr>
          <w:highlight w:val="none"/>
        </w:rPr>
        <w:fldChar w:fldCharType="separate"/>
      </w:r>
      <w:r>
        <w:rPr>
          <w:rFonts w:ascii="Times New Roman" w:hAnsi="Times New Roman"/>
          <w:kern w:val="44"/>
          <w:szCs w:val="21"/>
          <w:highlight w:val="none"/>
          <w:shd w:val="clear" w:color="auto" w:fill="FFFFFF"/>
        </w:rPr>
        <w:t xml:space="preserve">3.4. </w:t>
      </w:r>
      <w:r>
        <w:rPr>
          <w:rFonts w:hint="eastAsia" w:ascii="宋体" w:hAnsi="宋体"/>
          <w:kern w:val="44"/>
          <w:szCs w:val="21"/>
          <w:highlight w:val="none"/>
          <w:shd w:val="clear" w:color="auto" w:fill="FFFFFF"/>
        </w:rPr>
        <w:t>互感器室</w:t>
      </w:r>
      <w:r>
        <w:rPr>
          <w:highlight w:val="none"/>
        </w:rPr>
        <w:tab/>
      </w:r>
      <w:r>
        <w:rPr>
          <w:highlight w:val="none"/>
        </w:rPr>
        <w:fldChar w:fldCharType="begin"/>
      </w:r>
      <w:r>
        <w:rPr>
          <w:highlight w:val="none"/>
        </w:rPr>
        <w:instrText xml:space="preserve"> PAGEREF _Toc8376 </w:instrText>
      </w:r>
      <w:r>
        <w:rPr>
          <w:highlight w:val="none"/>
        </w:rPr>
        <w:fldChar w:fldCharType="separate"/>
      </w:r>
      <w:r>
        <w:rPr>
          <w:highlight w:val="none"/>
        </w:rPr>
        <w:t>2</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_Toc16190 </w:instrText>
      </w:r>
      <w:r>
        <w:rPr>
          <w:highlight w:val="none"/>
        </w:rPr>
        <w:fldChar w:fldCharType="separate"/>
      </w:r>
      <w:r>
        <w:rPr>
          <w:rFonts w:ascii="Times New Roman" w:hAnsi="Times New Roman"/>
          <w:kern w:val="44"/>
          <w:szCs w:val="21"/>
          <w:highlight w:val="none"/>
          <w:shd w:val="clear" w:color="auto" w:fill="FFFFFF"/>
        </w:rPr>
        <w:t xml:space="preserve">3.5. </w:t>
      </w:r>
      <w:r>
        <w:rPr>
          <w:rFonts w:hint="eastAsia" w:ascii="宋体" w:hAnsi="宋体"/>
          <w:kern w:val="44"/>
          <w:szCs w:val="21"/>
          <w:highlight w:val="none"/>
          <w:shd w:val="clear" w:color="auto" w:fill="FFFFFF"/>
        </w:rPr>
        <w:t>出线室</w:t>
      </w:r>
      <w:r>
        <w:rPr>
          <w:highlight w:val="none"/>
        </w:rPr>
        <w:tab/>
      </w:r>
      <w:r>
        <w:rPr>
          <w:highlight w:val="none"/>
        </w:rPr>
        <w:fldChar w:fldCharType="begin"/>
      </w:r>
      <w:r>
        <w:rPr>
          <w:highlight w:val="none"/>
        </w:rPr>
        <w:instrText xml:space="preserve"> PAGEREF _Toc16190 </w:instrText>
      </w:r>
      <w:r>
        <w:rPr>
          <w:highlight w:val="none"/>
        </w:rPr>
        <w:fldChar w:fldCharType="separate"/>
      </w:r>
      <w:r>
        <w:rPr>
          <w:highlight w:val="none"/>
        </w:rPr>
        <w:t>2</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_Toc647 </w:instrText>
      </w:r>
      <w:r>
        <w:rPr>
          <w:highlight w:val="none"/>
        </w:rPr>
        <w:fldChar w:fldCharType="separate"/>
      </w:r>
      <w:r>
        <w:rPr>
          <w:rFonts w:ascii="Times New Roman" w:hAnsi="Times New Roman"/>
          <w:kern w:val="44"/>
          <w:szCs w:val="21"/>
          <w:highlight w:val="none"/>
          <w:shd w:val="clear" w:color="auto" w:fill="FFFFFF"/>
        </w:rPr>
        <w:t xml:space="preserve">4. </w:t>
      </w:r>
      <w:r>
        <w:rPr>
          <w:rFonts w:hint="eastAsia" w:ascii="Times New Roman" w:hAnsi="Times New Roman"/>
          <w:kern w:val="44"/>
          <w:szCs w:val="21"/>
          <w:highlight w:val="none"/>
          <w:shd w:val="clear" w:color="auto" w:fill="FFFFFF"/>
        </w:rPr>
        <w:t>计量表箱分类</w:t>
      </w:r>
      <w:r>
        <w:rPr>
          <w:highlight w:val="none"/>
        </w:rPr>
        <w:tab/>
      </w:r>
      <w:r>
        <w:rPr>
          <w:highlight w:val="none"/>
        </w:rPr>
        <w:fldChar w:fldCharType="begin"/>
      </w:r>
      <w:r>
        <w:rPr>
          <w:highlight w:val="none"/>
        </w:rPr>
        <w:instrText xml:space="preserve"> PAGEREF _Toc647 </w:instrText>
      </w:r>
      <w:r>
        <w:rPr>
          <w:highlight w:val="none"/>
        </w:rPr>
        <w:fldChar w:fldCharType="separate"/>
      </w:r>
      <w:r>
        <w:rPr>
          <w:highlight w:val="none"/>
        </w:rPr>
        <w:t>2</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_Toc28814 </w:instrText>
      </w:r>
      <w:r>
        <w:rPr>
          <w:highlight w:val="none"/>
        </w:rPr>
        <w:fldChar w:fldCharType="separate"/>
      </w:r>
      <w:r>
        <w:rPr>
          <w:rFonts w:ascii="Times New Roman" w:hAnsi="Times New Roman"/>
          <w:kern w:val="44"/>
          <w:szCs w:val="21"/>
          <w:highlight w:val="none"/>
          <w:shd w:val="clear" w:color="auto" w:fill="FFFFFF"/>
        </w:rPr>
        <w:t xml:space="preserve">5. </w:t>
      </w:r>
      <w:r>
        <w:rPr>
          <w:rFonts w:hint="eastAsia" w:ascii="Times New Roman" w:hAnsi="Times New Roman"/>
          <w:kern w:val="44"/>
          <w:szCs w:val="21"/>
          <w:highlight w:val="none"/>
          <w:shd w:val="clear" w:color="auto" w:fill="FFFFFF"/>
        </w:rPr>
        <w:t>计量表箱型号与命名</w:t>
      </w:r>
      <w:r>
        <w:rPr>
          <w:highlight w:val="none"/>
        </w:rPr>
        <w:tab/>
      </w:r>
      <w:r>
        <w:rPr>
          <w:highlight w:val="none"/>
        </w:rPr>
        <w:fldChar w:fldCharType="begin"/>
      </w:r>
      <w:r>
        <w:rPr>
          <w:highlight w:val="none"/>
        </w:rPr>
        <w:instrText xml:space="preserve"> PAGEREF _Toc28814 </w:instrText>
      </w:r>
      <w:r>
        <w:rPr>
          <w:highlight w:val="none"/>
        </w:rPr>
        <w:fldChar w:fldCharType="separate"/>
      </w:r>
      <w:r>
        <w:rPr>
          <w:highlight w:val="none"/>
        </w:rPr>
        <w:t>2</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_Toc391 </w:instrText>
      </w:r>
      <w:r>
        <w:rPr>
          <w:highlight w:val="none"/>
        </w:rPr>
        <w:fldChar w:fldCharType="separate"/>
      </w:r>
      <w:r>
        <w:rPr>
          <w:rFonts w:ascii="Times New Roman" w:hAnsi="Times New Roman"/>
          <w:kern w:val="44"/>
          <w:szCs w:val="21"/>
          <w:highlight w:val="none"/>
          <w:shd w:val="clear" w:color="auto" w:fill="FFFFFF"/>
        </w:rPr>
        <w:t xml:space="preserve">6. </w:t>
      </w:r>
      <w:r>
        <w:rPr>
          <w:rFonts w:hint="eastAsia" w:ascii="Times New Roman" w:hAnsi="Times New Roman"/>
          <w:kern w:val="44"/>
          <w:szCs w:val="21"/>
          <w:highlight w:val="none"/>
          <w:shd w:val="clear" w:color="auto" w:fill="FFFFFF"/>
        </w:rPr>
        <w:t>要求</w:t>
      </w:r>
      <w:r>
        <w:rPr>
          <w:highlight w:val="none"/>
        </w:rPr>
        <w:tab/>
      </w:r>
      <w:r>
        <w:rPr>
          <w:highlight w:val="none"/>
        </w:rPr>
        <w:fldChar w:fldCharType="begin"/>
      </w:r>
      <w:r>
        <w:rPr>
          <w:highlight w:val="none"/>
        </w:rPr>
        <w:instrText xml:space="preserve"> PAGEREF _Toc391 </w:instrText>
      </w:r>
      <w:r>
        <w:rPr>
          <w:highlight w:val="none"/>
        </w:rPr>
        <w:fldChar w:fldCharType="separate"/>
      </w:r>
      <w:r>
        <w:rPr>
          <w:highlight w:val="none"/>
        </w:rPr>
        <w:t>3</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_Toc30051 </w:instrText>
      </w:r>
      <w:r>
        <w:rPr>
          <w:highlight w:val="none"/>
        </w:rPr>
        <w:fldChar w:fldCharType="separate"/>
      </w:r>
      <w:r>
        <w:rPr>
          <w:rFonts w:ascii="Times New Roman" w:hAnsi="Times New Roman"/>
          <w:kern w:val="44"/>
          <w:szCs w:val="21"/>
          <w:highlight w:val="none"/>
          <w:shd w:val="clear" w:color="auto" w:fill="FFFFFF"/>
        </w:rPr>
        <w:t xml:space="preserve">6.1. </w:t>
      </w:r>
      <w:r>
        <w:rPr>
          <w:rFonts w:hint="eastAsia" w:ascii="宋体" w:hAnsi="宋体"/>
          <w:kern w:val="44"/>
          <w:szCs w:val="21"/>
          <w:highlight w:val="none"/>
          <w:shd w:val="clear" w:color="auto" w:fill="FFFFFF"/>
        </w:rPr>
        <w:t>总则</w:t>
      </w:r>
      <w:r>
        <w:rPr>
          <w:highlight w:val="none"/>
        </w:rPr>
        <w:tab/>
      </w:r>
      <w:r>
        <w:rPr>
          <w:highlight w:val="none"/>
        </w:rPr>
        <w:fldChar w:fldCharType="begin"/>
      </w:r>
      <w:r>
        <w:rPr>
          <w:highlight w:val="none"/>
        </w:rPr>
        <w:instrText xml:space="preserve"> PAGEREF _Toc30051 </w:instrText>
      </w:r>
      <w:r>
        <w:rPr>
          <w:highlight w:val="none"/>
        </w:rPr>
        <w:fldChar w:fldCharType="separate"/>
      </w:r>
      <w:r>
        <w:rPr>
          <w:highlight w:val="none"/>
        </w:rPr>
        <w:t>3</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_Toc15783 </w:instrText>
      </w:r>
      <w:r>
        <w:rPr>
          <w:highlight w:val="none"/>
        </w:rPr>
        <w:fldChar w:fldCharType="separate"/>
      </w:r>
      <w:r>
        <w:rPr>
          <w:rFonts w:ascii="Times New Roman" w:hAnsi="Times New Roman"/>
          <w:kern w:val="44"/>
          <w:szCs w:val="21"/>
          <w:highlight w:val="none"/>
          <w:shd w:val="clear" w:color="auto" w:fill="FFFFFF"/>
        </w:rPr>
        <w:t xml:space="preserve">6.2. </w:t>
      </w:r>
      <w:r>
        <w:rPr>
          <w:rFonts w:hint="eastAsia" w:ascii="宋体" w:hAnsi="宋体"/>
          <w:kern w:val="44"/>
          <w:szCs w:val="21"/>
          <w:highlight w:val="none"/>
          <w:shd w:val="clear" w:color="auto" w:fill="FFFFFF"/>
        </w:rPr>
        <w:t>环境条件</w:t>
      </w:r>
      <w:r>
        <w:rPr>
          <w:highlight w:val="none"/>
        </w:rPr>
        <w:tab/>
      </w:r>
      <w:r>
        <w:rPr>
          <w:highlight w:val="none"/>
        </w:rPr>
        <w:fldChar w:fldCharType="begin"/>
      </w:r>
      <w:r>
        <w:rPr>
          <w:highlight w:val="none"/>
        </w:rPr>
        <w:instrText xml:space="preserve"> PAGEREF _Toc15783 </w:instrText>
      </w:r>
      <w:r>
        <w:rPr>
          <w:highlight w:val="none"/>
        </w:rPr>
        <w:fldChar w:fldCharType="separate"/>
      </w:r>
      <w:r>
        <w:rPr>
          <w:highlight w:val="none"/>
        </w:rPr>
        <w:t>3</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_Toc28868 </w:instrText>
      </w:r>
      <w:r>
        <w:rPr>
          <w:highlight w:val="none"/>
        </w:rPr>
        <w:fldChar w:fldCharType="separate"/>
      </w:r>
      <w:r>
        <w:rPr>
          <w:rFonts w:ascii="Times New Roman" w:hAnsi="Times New Roman"/>
          <w:kern w:val="44"/>
          <w:szCs w:val="21"/>
          <w:highlight w:val="none"/>
          <w:shd w:val="clear" w:color="auto" w:fill="FFFFFF"/>
        </w:rPr>
        <w:t xml:space="preserve">6.2.1. </w:t>
      </w:r>
      <w:r>
        <w:rPr>
          <w:rFonts w:hint="eastAsia" w:ascii="宋体" w:hAnsi="宋体"/>
          <w:kern w:val="44"/>
          <w:szCs w:val="21"/>
          <w:highlight w:val="none"/>
          <w:shd w:val="clear" w:color="auto" w:fill="FFFFFF"/>
        </w:rPr>
        <w:t>温湿度范围</w:t>
      </w:r>
      <w:r>
        <w:rPr>
          <w:highlight w:val="none"/>
        </w:rPr>
        <w:tab/>
      </w:r>
      <w:r>
        <w:rPr>
          <w:highlight w:val="none"/>
        </w:rPr>
        <w:fldChar w:fldCharType="begin"/>
      </w:r>
      <w:r>
        <w:rPr>
          <w:highlight w:val="none"/>
        </w:rPr>
        <w:instrText xml:space="preserve"> PAGEREF _Toc28868 </w:instrText>
      </w:r>
      <w:r>
        <w:rPr>
          <w:highlight w:val="none"/>
        </w:rPr>
        <w:fldChar w:fldCharType="separate"/>
      </w:r>
      <w:r>
        <w:rPr>
          <w:highlight w:val="none"/>
        </w:rPr>
        <w:t>3</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_Toc3423 </w:instrText>
      </w:r>
      <w:r>
        <w:rPr>
          <w:highlight w:val="none"/>
        </w:rPr>
        <w:fldChar w:fldCharType="separate"/>
      </w:r>
      <w:r>
        <w:rPr>
          <w:rFonts w:ascii="Times New Roman" w:hAnsi="Times New Roman"/>
          <w:kern w:val="44"/>
          <w:szCs w:val="21"/>
          <w:highlight w:val="none"/>
          <w:shd w:val="clear" w:color="auto" w:fill="FFFFFF"/>
        </w:rPr>
        <w:t xml:space="preserve">6.2.2. </w:t>
      </w:r>
      <w:r>
        <w:rPr>
          <w:rFonts w:ascii="宋体" w:hAnsi="宋体"/>
          <w:kern w:val="44"/>
          <w:szCs w:val="21"/>
          <w:highlight w:val="none"/>
          <w:shd w:val="clear" w:color="auto" w:fill="FFFFFF"/>
        </w:rPr>
        <w:t>大气压力</w:t>
      </w:r>
      <w:r>
        <w:rPr>
          <w:highlight w:val="none"/>
        </w:rPr>
        <w:tab/>
      </w:r>
      <w:r>
        <w:rPr>
          <w:highlight w:val="none"/>
        </w:rPr>
        <w:fldChar w:fldCharType="begin"/>
      </w:r>
      <w:r>
        <w:rPr>
          <w:highlight w:val="none"/>
        </w:rPr>
        <w:instrText xml:space="preserve"> PAGEREF _Toc3423 </w:instrText>
      </w:r>
      <w:r>
        <w:rPr>
          <w:highlight w:val="none"/>
        </w:rPr>
        <w:fldChar w:fldCharType="separate"/>
      </w:r>
      <w:r>
        <w:rPr>
          <w:highlight w:val="none"/>
        </w:rPr>
        <w:t>3</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_Toc18606 </w:instrText>
      </w:r>
      <w:r>
        <w:rPr>
          <w:highlight w:val="none"/>
        </w:rPr>
        <w:fldChar w:fldCharType="separate"/>
      </w:r>
      <w:r>
        <w:rPr>
          <w:rFonts w:ascii="Times New Roman" w:hAnsi="Times New Roman"/>
          <w:kern w:val="44"/>
          <w:szCs w:val="21"/>
          <w:highlight w:val="none"/>
          <w:shd w:val="clear" w:color="auto" w:fill="FFFFFF"/>
        </w:rPr>
        <w:t xml:space="preserve">6.2.3. </w:t>
      </w:r>
      <w:r>
        <w:rPr>
          <w:rFonts w:hint="eastAsia" w:ascii="宋体" w:hAnsi="宋体"/>
          <w:kern w:val="44"/>
          <w:szCs w:val="21"/>
          <w:highlight w:val="none"/>
          <w:shd w:val="clear" w:color="auto" w:fill="FFFFFF"/>
        </w:rPr>
        <w:t>污染等级</w:t>
      </w:r>
      <w:r>
        <w:rPr>
          <w:highlight w:val="none"/>
        </w:rPr>
        <w:tab/>
      </w:r>
      <w:r>
        <w:rPr>
          <w:highlight w:val="none"/>
        </w:rPr>
        <w:fldChar w:fldCharType="begin"/>
      </w:r>
      <w:r>
        <w:rPr>
          <w:highlight w:val="none"/>
        </w:rPr>
        <w:instrText xml:space="preserve"> PAGEREF _Toc18606 </w:instrText>
      </w:r>
      <w:r>
        <w:rPr>
          <w:highlight w:val="none"/>
        </w:rPr>
        <w:fldChar w:fldCharType="separate"/>
      </w:r>
      <w:r>
        <w:rPr>
          <w:highlight w:val="none"/>
        </w:rPr>
        <w:t>3</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_Toc2703 </w:instrText>
      </w:r>
      <w:r>
        <w:rPr>
          <w:highlight w:val="none"/>
        </w:rPr>
        <w:fldChar w:fldCharType="separate"/>
      </w:r>
      <w:r>
        <w:rPr>
          <w:rFonts w:ascii="Times New Roman" w:hAnsi="Times New Roman"/>
          <w:kern w:val="44"/>
          <w:szCs w:val="21"/>
          <w:highlight w:val="none"/>
          <w:shd w:val="clear" w:color="auto" w:fill="FFFFFF"/>
        </w:rPr>
        <w:t xml:space="preserve">6.2.4. </w:t>
      </w:r>
      <w:r>
        <w:rPr>
          <w:rFonts w:hint="eastAsia" w:ascii="宋体" w:hAnsi="宋体"/>
          <w:kern w:val="44"/>
          <w:szCs w:val="21"/>
          <w:highlight w:val="none"/>
          <w:shd w:val="clear" w:color="auto" w:fill="FFFFFF"/>
        </w:rPr>
        <w:t>安装条件</w:t>
      </w:r>
      <w:r>
        <w:rPr>
          <w:highlight w:val="none"/>
        </w:rPr>
        <w:tab/>
      </w:r>
      <w:r>
        <w:rPr>
          <w:highlight w:val="none"/>
        </w:rPr>
        <w:fldChar w:fldCharType="begin"/>
      </w:r>
      <w:r>
        <w:rPr>
          <w:highlight w:val="none"/>
        </w:rPr>
        <w:instrText xml:space="preserve"> PAGEREF _Toc2703 </w:instrText>
      </w:r>
      <w:r>
        <w:rPr>
          <w:highlight w:val="none"/>
        </w:rPr>
        <w:fldChar w:fldCharType="separate"/>
      </w:r>
      <w:r>
        <w:rPr>
          <w:highlight w:val="none"/>
        </w:rPr>
        <w:t>3</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_Toc13292 </w:instrText>
      </w:r>
      <w:r>
        <w:rPr>
          <w:highlight w:val="none"/>
        </w:rPr>
        <w:fldChar w:fldCharType="separate"/>
      </w:r>
      <w:r>
        <w:rPr>
          <w:rFonts w:ascii="Times New Roman" w:hAnsi="Times New Roman"/>
          <w:kern w:val="44"/>
          <w:szCs w:val="21"/>
          <w:highlight w:val="none"/>
          <w:shd w:val="clear" w:color="auto" w:fill="FFFFFF"/>
        </w:rPr>
        <w:t xml:space="preserve">6.3. </w:t>
      </w:r>
      <w:r>
        <w:rPr>
          <w:rFonts w:hint="eastAsia" w:ascii="宋体" w:hAnsi="宋体"/>
          <w:kern w:val="44"/>
          <w:szCs w:val="21"/>
          <w:highlight w:val="none"/>
          <w:shd w:val="clear" w:color="auto" w:fill="FFFFFF"/>
        </w:rPr>
        <w:t>基本功能</w:t>
      </w:r>
      <w:r>
        <w:rPr>
          <w:highlight w:val="none"/>
        </w:rPr>
        <w:tab/>
      </w:r>
      <w:r>
        <w:rPr>
          <w:highlight w:val="none"/>
        </w:rPr>
        <w:fldChar w:fldCharType="begin"/>
      </w:r>
      <w:r>
        <w:rPr>
          <w:highlight w:val="none"/>
        </w:rPr>
        <w:instrText xml:space="preserve"> PAGEREF _Toc13292 </w:instrText>
      </w:r>
      <w:r>
        <w:rPr>
          <w:highlight w:val="none"/>
        </w:rPr>
        <w:fldChar w:fldCharType="separate"/>
      </w:r>
      <w:r>
        <w:rPr>
          <w:highlight w:val="none"/>
        </w:rPr>
        <w:t>3</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_Toc19331 </w:instrText>
      </w:r>
      <w:r>
        <w:rPr>
          <w:highlight w:val="none"/>
        </w:rPr>
        <w:fldChar w:fldCharType="separate"/>
      </w:r>
      <w:r>
        <w:rPr>
          <w:rFonts w:ascii="Times New Roman" w:hAnsi="Times New Roman"/>
          <w:kern w:val="44"/>
          <w:szCs w:val="21"/>
          <w:highlight w:val="none"/>
          <w:shd w:val="clear" w:color="auto" w:fill="FFFFFF"/>
        </w:rPr>
        <w:t xml:space="preserve">6.3.1. </w:t>
      </w:r>
      <w:r>
        <w:rPr>
          <w:rFonts w:hint="eastAsia" w:ascii="宋体" w:hAnsi="宋体"/>
          <w:kern w:val="44"/>
          <w:szCs w:val="21"/>
          <w:highlight w:val="none"/>
          <w:shd w:val="clear" w:color="auto" w:fill="FFFFFF"/>
        </w:rPr>
        <w:t>安装功能</w:t>
      </w:r>
      <w:r>
        <w:rPr>
          <w:highlight w:val="none"/>
        </w:rPr>
        <w:tab/>
      </w:r>
      <w:r>
        <w:rPr>
          <w:highlight w:val="none"/>
        </w:rPr>
        <w:fldChar w:fldCharType="begin"/>
      </w:r>
      <w:r>
        <w:rPr>
          <w:highlight w:val="none"/>
        </w:rPr>
        <w:instrText xml:space="preserve"> PAGEREF _Toc19331 </w:instrText>
      </w:r>
      <w:r>
        <w:rPr>
          <w:highlight w:val="none"/>
        </w:rPr>
        <w:fldChar w:fldCharType="separate"/>
      </w:r>
      <w:r>
        <w:rPr>
          <w:highlight w:val="none"/>
        </w:rPr>
        <w:t>3</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_Toc26530 </w:instrText>
      </w:r>
      <w:r>
        <w:rPr>
          <w:highlight w:val="none"/>
        </w:rPr>
        <w:fldChar w:fldCharType="separate"/>
      </w:r>
      <w:r>
        <w:rPr>
          <w:rFonts w:ascii="Times New Roman" w:hAnsi="Times New Roman"/>
          <w:kern w:val="44"/>
          <w:szCs w:val="21"/>
          <w:highlight w:val="none"/>
          <w:shd w:val="clear" w:color="auto" w:fill="FFFFFF"/>
        </w:rPr>
        <w:t xml:space="preserve">6.3.1.1. </w:t>
      </w:r>
      <w:r>
        <w:rPr>
          <w:rFonts w:hint="eastAsia" w:ascii="宋体" w:hAnsi="宋体"/>
          <w:kern w:val="44"/>
          <w:szCs w:val="21"/>
          <w:highlight w:val="none"/>
          <w:shd w:val="clear" w:color="auto" w:fill="FFFFFF"/>
        </w:rPr>
        <w:t>电能表安装</w:t>
      </w:r>
      <w:r>
        <w:rPr>
          <w:highlight w:val="none"/>
        </w:rPr>
        <w:tab/>
      </w:r>
      <w:r>
        <w:rPr>
          <w:highlight w:val="none"/>
        </w:rPr>
        <w:fldChar w:fldCharType="begin"/>
      </w:r>
      <w:r>
        <w:rPr>
          <w:highlight w:val="none"/>
        </w:rPr>
        <w:instrText xml:space="preserve"> PAGEREF _Toc26530 </w:instrText>
      </w:r>
      <w:r>
        <w:rPr>
          <w:highlight w:val="none"/>
        </w:rPr>
        <w:fldChar w:fldCharType="separate"/>
      </w:r>
      <w:r>
        <w:rPr>
          <w:highlight w:val="none"/>
        </w:rPr>
        <w:t>3</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_Toc20682 </w:instrText>
      </w:r>
      <w:r>
        <w:rPr>
          <w:highlight w:val="none"/>
        </w:rPr>
        <w:fldChar w:fldCharType="separate"/>
      </w:r>
      <w:r>
        <w:rPr>
          <w:rFonts w:ascii="Times New Roman" w:hAnsi="Times New Roman"/>
          <w:kern w:val="44"/>
          <w:szCs w:val="21"/>
          <w:highlight w:val="none"/>
          <w:shd w:val="clear" w:color="auto" w:fill="FFFFFF"/>
        </w:rPr>
        <w:t xml:space="preserve">6.3.1.2. </w:t>
      </w:r>
      <w:r>
        <w:rPr>
          <w:rFonts w:hint="eastAsia" w:ascii="宋体" w:hAnsi="宋体"/>
          <w:kern w:val="44"/>
          <w:szCs w:val="21"/>
          <w:highlight w:val="none"/>
          <w:shd w:val="clear" w:color="auto" w:fill="FFFFFF"/>
        </w:rPr>
        <w:t>互感器安装</w:t>
      </w:r>
      <w:r>
        <w:rPr>
          <w:highlight w:val="none"/>
        </w:rPr>
        <w:tab/>
      </w:r>
      <w:r>
        <w:rPr>
          <w:highlight w:val="none"/>
        </w:rPr>
        <w:fldChar w:fldCharType="begin"/>
      </w:r>
      <w:r>
        <w:rPr>
          <w:highlight w:val="none"/>
        </w:rPr>
        <w:instrText xml:space="preserve"> PAGEREF _Toc20682 </w:instrText>
      </w:r>
      <w:r>
        <w:rPr>
          <w:highlight w:val="none"/>
        </w:rPr>
        <w:fldChar w:fldCharType="separate"/>
      </w:r>
      <w:r>
        <w:rPr>
          <w:highlight w:val="none"/>
        </w:rPr>
        <w:t>4</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_Toc27189 </w:instrText>
      </w:r>
      <w:r>
        <w:rPr>
          <w:highlight w:val="none"/>
        </w:rPr>
        <w:fldChar w:fldCharType="separate"/>
      </w:r>
      <w:r>
        <w:rPr>
          <w:rFonts w:ascii="Times New Roman" w:hAnsi="Times New Roman"/>
          <w:kern w:val="44"/>
          <w:szCs w:val="21"/>
          <w:highlight w:val="none"/>
          <w:shd w:val="clear" w:color="auto" w:fill="FFFFFF"/>
        </w:rPr>
        <w:t xml:space="preserve">6.3.1.3. </w:t>
      </w:r>
      <w:r>
        <w:rPr>
          <w:rFonts w:hint="eastAsia" w:ascii="宋体" w:hAnsi="宋体"/>
          <w:kern w:val="44"/>
          <w:szCs w:val="21"/>
          <w:highlight w:val="none"/>
          <w:shd w:val="clear" w:color="auto" w:fill="FFFFFF"/>
        </w:rPr>
        <w:t>采集器安装</w:t>
      </w:r>
      <w:r>
        <w:rPr>
          <w:highlight w:val="none"/>
        </w:rPr>
        <w:tab/>
      </w:r>
      <w:r>
        <w:rPr>
          <w:highlight w:val="none"/>
        </w:rPr>
        <w:fldChar w:fldCharType="begin"/>
      </w:r>
      <w:r>
        <w:rPr>
          <w:highlight w:val="none"/>
        </w:rPr>
        <w:instrText xml:space="preserve"> PAGEREF _Toc27189 </w:instrText>
      </w:r>
      <w:r>
        <w:rPr>
          <w:highlight w:val="none"/>
        </w:rPr>
        <w:fldChar w:fldCharType="separate"/>
      </w:r>
      <w:r>
        <w:rPr>
          <w:highlight w:val="none"/>
        </w:rPr>
        <w:t>4</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_Toc14077 </w:instrText>
      </w:r>
      <w:r>
        <w:rPr>
          <w:highlight w:val="none"/>
        </w:rPr>
        <w:fldChar w:fldCharType="separate"/>
      </w:r>
      <w:r>
        <w:rPr>
          <w:rFonts w:ascii="Times New Roman" w:hAnsi="Times New Roman"/>
          <w:kern w:val="44"/>
          <w:szCs w:val="21"/>
          <w:highlight w:val="none"/>
          <w:shd w:val="clear" w:color="auto" w:fill="FFFFFF"/>
        </w:rPr>
        <w:t xml:space="preserve">6.3.1.4. </w:t>
      </w:r>
      <w:r>
        <w:rPr>
          <w:rFonts w:hint="eastAsia" w:ascii="宋体" w:hAnsi="宋体"/>
          <w:kern w:val="44"/>
          <w:szCs w:val="21"/>
          <w:highlight w:val="none"/>
          <w:shd w:val="clear" w:color="auto" w:fill="FFFFFF"/>
        </w:rPr>
        <w:t>进线电缆及分户出线安装</w:t>
      </w:r>
      <w:r>
        <w:rPr>
          <w:highlight w:val="none"/>
        </w:rPr>
        <w:tab/>
      </w:r>
      <w:r>
        <w:rPr>
          <w:highlight w:val="none"/>
        </w:rPr>
        <w:fldChar w:fldCharType="begin"/>
      </w:r>
      <w:r>
        <w:rPr>
          <w:highlight w:val="none"/>
        </w:rPr>
        <w:instrText xml:space="preserve"> PAGEREF _Toc14077 </w:instrText>
      </w:r>
      <w:r>
        <w:rPr>
          <w:highlight w:val="none"/>
        </w:rPr>
        <w:fldChar w:fldCharType="separate"/>
      </w:r>
      <w:r>
        <w:rPr>
          <w:highlight w:val="none"/>
        </w:rPr>
        <w:t>4</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_Toc32378 </w:instrText>
      </w:r>
      <w:r>
        <w:rPr>
          <w:highlight w:val="none"/>
        </w:rPr>
        <w:fldChar w:fldCharType="separate"/>
      </w:r>
      <w:r>
        <w:rPr>
          <w:rFonts w:ascii="Times New Roman" w:hAnsi="Times New Roman"/>
          <w:kern w:val="44"/>
          <w:szCs w:val="21"/>
          <w:highlight w:val="none"/>
          <w:shd w:val="clear" w:color="auto" w:fill="FFFFFF"/>
        </w:rPr>
        <w:t xml:space="preserve">6.3.1.5. </w:t>
      </w:r>
      <w:r>
        <w:rPr>
          <w:rFonts w:hint="eastAsia" w:ascii="宋体" w:hAnsi="宋体"/>
          <w:kern w:val="44"/>
          <w:szCs w:val="21"/>
          <w:highlight w:val="none"/>
          <w:shd w:val="clear" w:color="auto" w:fill="FFFFFF"/>
        </w:rPr>
        <w:t>进、出线开关安装</w:t>
      </w:r>
      <w:r>
        <w:rPr>
          <w:highlight w:val="none"/>
        </w:rPr>
        <w:tab/>
      </w:r>
      <w:r>
        <w:rPr>
          <w:highlight w:val="none"/>
        </w:rPr>
        <w:fldChar w:fldCharType="begin"/>
      </w:r>
      <w:r>
        <w:rPr>
          <w:highlight w:val="none"/>
        </w:rPr>
        <w:instrText xml:space="preserve"> PAGEREF _Toc32378 </w:instrText>
      </w:r>
      <w:r>
        <w:rPr>
          <w:highlight w:val="none"/>
        </w:rPr>
        <w:fldChar w:fldCharType="separate"/>
      </w:r>
      <w:r>
        <w:rPr>
          <w:highlight w:val="none"/>
        </w:rPr>
        <w:t>4</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_Toc29623 </w:instrText>
      </w:r>
      <w:r>
        <w:rPr>
          <w:highlight w:val="none"/>
        </w:rPr>
        <w:fldChar w:fldCharType="separate"/>
      </w:r>
      <w:r>
        <w:rPr>
          <w:rFonts w:ascii="Times New Roman" w:hAnsi="Times New Roman"/>
          <w:kern w:val="44"/>
          <w:szCs w:val="21"/>
          <w:highlight w:val="none"/>
          <w:shd w:val="clear" w:color="auto" w:fill="FFFFFF"/>
        </w:rPr>
        <w:t xml:space="preserve">6.3.1.6. </w:t>
      </w:r>
      <w:r>
        <w:rPr>
          <w:rFonts w:hint="eastAsia" w:ascii="宋体" w:hAnsi="宋体"/>
          <w:kern w:val="44"/>
          <w:szCs w:val="21"/>
          <w:highlight w:val="none"/>
          <w:shd w:val="clear" w:color="auto" w:fill="FFFFFF"/>
        </w:rPr>
        <w:t>箱体安装</w:t>
      </w:r>
      <w:r>
        <w:rPr>
          <w:highlight w:val="none"/>
        </w:rPr>
        <w:tab/>
      </w:r>
      <w:r>
        <w:rPr>
          <w:highlight w:val="none"/>
        </w:rPr>
        <w:fldChar w:fldCharType="begin"/>
      </w:r>
      <w:r>
        <w:rPr>
          <w:highlight w:val="none"/>
        </w:rPr>
        <w:instrText xml:space="preserve"> PAGEREF _Toc29623 </w:instrText>
      </w:r>
      <w:r>
        <w:rPr>
          <w:highlight w:val="none"/>
        </w:rPr>
        <w:fldChar w:fldCharType="separate"/>
      </w:r>
      <w:r>
        <w:rPr>
          <w:highlight w:val="none"/>
        </w:rPr>
        <w:t>4</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_Toc29007 </w:instrText>
      </w:r>
      <w:r>
        <w:rPr>
          <w:highlight w:val="none"/>
        </w:rPr>
        <w:fldChar w:fldCharType="separate"/>
      </w:r>
      <w:r>
        <w:rPr>
          <w:rFonts w:ascii="Times New Roman" w:hAnsi="Times New Roman"/>
          <w:kern w:val="44"/>
          <w:szCs w:val="21"/>
          <w:highlight w:val="none"/>
          <w:shd w:val="clear" w:color="auto" w:fill="FFFFFF"/>
        </w:rPr>
        <w:t xml:space="preserve">6.3.1.7. </w:t>
      </w:r>
      <w:r>
        <w:rPr>
          <w:rFonts w:hint="eastAsia" w:ascii="宋体" w:hAnsi="宋体"/>
          <w:kern w:val="44"/>
          <w:szCs w:val="21"/>
          <w:highlight w:val="none"/>
          <w:shd w:val="clear" w:color="auto" w:fill="FFFFFF"/>
        </w:rPr>
        <w:t>附属设施安装</w:t>
      </w:r>
      <w:r>
        <w:rPr>
          <w:highlight w:val="none"/>
        </w:rPr>
        <w:tab/>
      </w:r>
      <w:r>
        <w:rPr>
          <w:highlight w:val="none"/>
        </w:rPr>
        <w:fldChar w:fldCharType="begin"/>
      </w:r>
      <w:r>
        <w:rPr>
          <w:highlight w:val="none"/>
        </w:rPr>
        <w:instrText xml:space="preserve"> PAGEREF _Toc29007 </w:instrText>
      </w:r>
      <w:r>
        <w:rPr>
          <w:highlight w:val="none"/>
        </w:rPr>
        <w:fldChar w:fldCharType="separate"/>
      </w:r>
      <w:r>
        <w:rPr>
          <w:highlight w:val="none"/>
        </w:rPr>
        <w:t>4</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_Toc24392 </w:instrText>
      </w:r>
      <w:r>
        <w:rPr>
          <w:highlight w:val="none"/>
        </w:rPr>
        <w:fldChar w:fldCharType="separate"/>
      </w:r>
      <w:r>
        <w:rPr>
          <w:rFonts w:ascii="Times New Roman" w:hAnsi="Times New Roman"/>
          <w:kern w:val="44"/>
          <w:szCs w:val="21"/>
          <w:highlight w:val="none"/>
          <w:shd w:val="clear" w:color="auto" w:fill="FFFFFF"/>
        </w:rPr>
        <w:t xml:space="preserve">6.3.2. </w:t>
      </w:r>
      <w:r>
        <w:rPr>
          <w:rFonts w:hint="eastAsia" w:ascii="宋体" w:hAnsi="宋体"/>
          <w:kern w:val="44"/>
          <w:szCs w:val="21"/>
          <w:highlight w:val="none"/>
          <w:shd w:val="clear" w:color="auto" w:fill="FFFFFF"/>
        </w:rPr>
        <w:t>运维及管理辅助功能</w:t>
      </w:r>
      <w:r>
        <w:rPr>
          <w:highlight w:val="none"/>
        </w:rPr>
        <w:tab/>
      </w:r>
      <w:r>
        <w:rPr>
          <w:highlight w:val="none"/>
        </w:rPr>
        <w:fldChar w:fldCharType="begin"/>
      </w:r>
      <w:r>
        <w:rPr>
          <w:highlight w:val="none"/>
        </w:rPr>
        <w:instrText xml:space="preserve"> PAGEREF _Toc24392 </w:instrText>
      </w:r>
      <w:r>
        <w:rPr>
          <w:highlight w:val="none"/>
        </w:rPr>
        <w:fldChar w:fldCharType="separate"/>
      </w:r>
      <w:r>
        <w:rPr>
          <w:highlight w:val="none"/>
        </w:rPr>
        <w:t>5</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_Toc9485 </w:instrText>
      </w:r>
      <w:r>
        <w:rPr>
          <w:highlight w:val="none"/>
        </w:rPr>
        <w:fldChar w:fldCharType="separate"/>
      </w:r>
      <w:r>
        <w:rPr>
          <w:rFonts w:ascii="Times New Roman" w:hAnsi="Times New Roman"/>
          <w:kern w:val="44"/>
          <w:szCs w:val="21"/>
          <w:highlight w:val="none"/>
          <w:shd w:val="clear" w:color="auto" w:fill="FFFFFF"/>
        </w:rPr>
        <w:t xml:space="preserve">6.4. </w:t>
      </w:r>
      <w:r>
        <w:rPr>
          <w:rFonts w:hint="eastAsia" w:ascii="宋体" w:hAnsi="宋体"/>
          <w:kern w:val="44"/>
          <w:szCs w:val="21"/>
          <w:highlight w:val="none"/>
          <w:shd w:val="clear" w:color="auto" w:fill="FFFFFF"/>
        </w:rPr>
        <w:t>安全要求</w:t>
      </w:r>
      <w:r>
        <w:rPr>
          <w:highlight w:val="none"/>
        </w:rPr>
        <w:tab/>
      </w:r>
      <w:r>
        <w:rPr>
          <w:highlight w:val="none"/>
        </w:rPr>
        <w:fldChar w:fldCharType="begin"/>
      </w:r>
      <w:r>
        <w:rPr>
          <w:highlight w:val="none"/>
        </w:rPr>
        <w:instrText xml:space="preserve"> PAGEREF _Toc9485 </w:instrText>
      </w:r>
      <w:r>
        <w:rPr>
          <w:highlight w:val="none"/>
        </w:rPr>
        <w:fldChar w:fldCharType="separate"/>
      </w:r>
      <w:r>
        <w:rPr>
          <w:highlight w:val="none"/>
        </w:rPr>
        <w:t>6</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_Toc6368 </w:instrText>
      </w:r>
      <w:r>
        <w:rPr>
          <w:highlight w:val="none"/>
        </w:rPr>
        <w:fldChar w:fldCharType="separate"/>
      </w:r>
      <w:r>
        <w:rPr>
          <w:rFonts w:ascii="Times New Roman" w:hAnsi="Times New Roman"/>
          <w:kern w:val="44"/>
          <w:szCs w:val="21"/>
          <w:highlight w:val="none"/>
          <w:shd w:val="clear" w:color="auto" w:fill="FFFFFF"/>
        </w:rPr>
        <w:t xml:space="preserve">6.5. </w:t>
      </w:r>
      <w:r>
        <w:rPr>
          <w:rFonts w:hint="eastAsia" w:ascii="宋体" w:hAnsi="宋体"/>
          <w:kern w:val="44"/>
          <w:szCs w:val="21"/>
          <w:highlight w:val="none"/>
          <w:shd w:val="clear" w:color="auto" w:fill="FFFFFF"/>
        </w:rPr>
        <w:t>可靠性要求</w:t>
      </w:r>
      <w:r>
        <w:rPr>
          <w:highlight w:val="none"/>
        </w:rPr>
        <w:tab/>
      </w:r>
      <w:r>
        <w:rPr>
          <w:highlight w:val="none"/>
        </w:rPr>
        <w:fldChar w:fldCharType="begin"/>
      </w:r>
      <w:r>
        <w:rPr>
          <w:highlight w:val="none"/>
        </w:rPr>
        <w:instrText xml:space="preserve"> PAGEREF _Toc6368 </w:instrText>
      </w:r>
      <w:r>
        <w:rPr>
          <w:highlight w:val="none"/>
        </w:rPr>
        <w:fldChar w:fldCharType="separate"/>
      </w:r>
      <w:r>
        <w:rPr>
          <w:highlight w:val="none"/>
        </w:rPr>
        <w:t>6</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_Toc20850 </w:instrText>
      </w:r>
      <w:r>
        <w:rPr>
          <w:highlight w:val="none"/>
        </w:rPr>
        <w:fldChar w:fldCharType="separate"/>
      </w:r>
      <w:r>
        <w:rPr>
          <w:rFonts w:ascii="Times New Roman" w:hAnsi="Times New Roman"/>
          <w:kern w:val="44"/>
          <w:szCs w:val="21"/>
          <w:highlight w:val="none"/>
          <w:shd w:val="clear" w:color="auto" w:fill="FFFFFF"/>
        </w:rPr>
        <w:t xml:space="preserve">6.6. </w:t>
      </w:r>
      <w:r>
        <w:rPr>
          <w:rFonts w:hint="eastAsia" w:ascii="宋体" w:hAnsi="宋体"/>
          <w:kern w:val="44"/>
          <w:szCs w:val="21"/>
          <w:highlight w:val="none"/>
          <w:shd w:val="clear" w:color="auto" w:fill="FFFFFF"/>
        </w:rPr>
        <w:t>电气要求</w:t>
      </w:r>
      <w:r>
        <w:rPr>
          <w:highlight w:val="none"/>
        </w:rPr>
        <w:tab/>
      </w:r>
      <w:r>
        <w:rPr>
          <w:highlight w:val="none"/>
        </w:rPr>
        <w:fldChar w:fldCharType="begin"/>
      </w:r>
      <w:r>
        <w:rPr>
          <w:highlight w:val="none"/>
        </w:rPr>
        <w:instrText xml:space="preserve"> PAGEREF _Toc20850 </w:instrText>
      </w:r>
      <w:r>
        <w:rPr>
          <w:highlight w:val="none"/>
        </w:rPr>
        <w:fldChar w:fldCharType="separate"/>
      </w:r>
      <w:r>
        <w:rPr>
          <w:highlight w:val="none"/>
        </w:rPr>
        <w:t>7</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_Toc333 </w:instrText>
      </w:r>
      <w:r>
        <w:rPr>
          <w:highlight w:val="none"/>
        </w:rPr>
        <w:fldChar w:fldCharType="separate"/>
      </w:r>
      <w:r>
        <w:rPr>
          <w:rFonts w:ascii="Times New Roman" w:hAnsi="Times New Roman"/>
          <w:kern w:val="44"/>
          <w:szCs w:val="21"/>
          <w:highlight w:val="none"/>
          <w:shd w:val="clear" w:color="auto" w:fill="FFFFFF"/>
        </w:rPr>
        <w:t xml:space="preserve">6.6.1. </w:t>
      </w:r>
      <w:r>
        <w:rPr>
          <w:rFonts w:hint="eastAsia" w:ascii="宋体" w:hAnsi="宋体"/>
          <w:kern w:val="44"/>
          <w:szCs w:val="21"/>
          <w:highlight w:val="none"/>
          <w:shd w:val="clear" w:color="auto" w:fill="FFFFFF"/>
        </w:rPr>
        <w:t>电气控制与保护方案</w:t>
      </w:r>
      <w:r>
        <w:rPr>
          <w:highlight w:val="none"/>
        </w:rPr>
        <w:tab/>
      </w:r>
      <w:r>
        <w:rPr>
          <w:highlight w:val="none"/>
        </w:rPr>
        <w:fldChar w:fldCharType="begin"/>
      </w:r>
      <w:r>
        <w:rPr>
          <w:highlight w:val="none"/>
        </w:rPr>
        <w:instrText xml:space="preserve"> PAGEREF _Toc333 </w:instrText>
      </w:r>
      <w:r>
        <w:rPr>
          <w:highlight w:val="none"/>
        </w:rPr>
        <w:fldChar w:fldCharType="separate"/>
      </w:r>
      <w:r>
        <w:rPr>
          <w:highlight w:val="none"/>
        </w:rPr>
        <w:t>7</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_Toc25589 </w:instrText>
      </w:r>
      <w:r>
        <w:rPr>
          <w:highlight w:val="none"/>
        </w:rPr>
        <w:fldChar w:fldCharType="separate"/>
      </w:r>
      <w:r>
        <w:rPr>
          <w:rFonts w:ascii="Times New Roman" w:hAnsi="Times New Roman"/>
          <w:kern w:val="44"/>
          <w:szCs w:val="21"/>
          <w:highlight w:val="none"/>
          <w:shd w:val="clear" w:color="auto" w:fill="FFFFFF"/>
        </w:rPr>
        <w:t xml:space="preserve">6.6.2. </w:t>
      </w:r>
      <w:r>
        <w:rPr>
          <w:rFonts w:hint="eastAsia" w:ascii="宋体" w:hAnsi="宋体"/>
          <w:kern w:val="44"/>
          <w:szCs w:val="21"/>
          <w:highlight w:val="none"/>
          <w:shd w:val="clear" w:color="auto" w:fill="FFFFFF"/>
        </w:rPr>
        <w:t>电气规格</w:t>
      </w:r>
      <w:r>
        <w:rPr>
          <w:highlight w:val="none"/>
        </w:rPr>
        <w:tab/>
      </w:r>
      <w:r>
        <w:rPr>
          <w:highlight w:val="none"/>
        </w:rPr>
        <w:fldChar w:fldCharType="begin"/>
      </w:r>
      <w:r>
        <w:rPr>
          <w:highlight w:val="none"/>
        </w:rPr>
        <w:instrText xml:space="preserve"> PAGEREF _Toc25589 </w:instrText>
      </w:r>
      <w:r>
        <w:rPr>
          <w:highlight w:val="none"/>
        </w:rPr>
        <w:fldChar w:fldCharType="separate"/>
      </w:r>
      <w:r>
        <w:rPr>
          <w:highlight w:val="none"/>
        </w:rPr>
        <w:t>8</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_Toc10374 </w:instrText>
      </w:r>
      <w:r>
        <w:rPr>
          <w:highlight w:val="none"/>
        </w:rPr>
        <w:fldChar w:fldCharType="separate"/>
      </w:r>
      <w:r>
        <w:rPr>
          <w:rFonts w:ascii="Times New Roman" w:hAnsi="Times New Roman"/>
          <w:kern w:val="44"/>
          <w:szCs w:val="21"/>
          <w:highlight w:val="none"/>
          <w:shd w:val="clear" w:color="auto" w:fill="FFFFFF"/>
        </w:rPr>
        <w:t xml:space="preserve">6.6.2.1. </w:t>
      </w:r>
      <w:r>
        <w:rPr>
          <w:rFonts w:hint="eastAsia" w:ascii="宋体" w:hAnsi="宋体"/>
          <w:kern w:val="44"/>
          <w:szCs w:val="21"/>
          <w:highlight w:val="none"/>
          <w:shd w:val="clear" w:color="auto" w:fill="FFFFFF"/>
        </w:rPr>
        <w:t>直接接入式计量表箱</w:t>
      </w:r>
      <w:r>
        <w:rPr>
          <w:highlight w:val="none"/>
        </w:rPr>
        <w:tab/>
      </w:r>
      <w:r>
        <w:rPr>
          <w:highlight w:val="none"/>
        </w:rPr>
        <w:fldChar w:fldCharType="begin"/>
      </w:r>
      <w:r>
        <w:rPr>
          <w:highlight w:val="none"/>
        </w:rPr>
        <w:instrText xml:space="preserve"> PAGEREF _Toc10374 </w:instrText>
      </w:r>
      <w:r>
        <w:rPr>
          <w:highlight w:val="none"/>
        </w:rPr>
        <w:fldChar w:fldCharType="separate"/>
      </w:r>
      <w:r>
        <w:rPr>
          <w:highlight w:val="none"/>
        </w:rPr>
        <w:t>8</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_Toc2978 </w:instrText>
      </w:r>
      <w:r>
        <w:rPr>
          <w:highlight w:val="none"/>
        </w:rPr>
        <w:fldChar w:fldCharType="separate"/>
      </w:r>
      <w:r>
        <w:rPr>
          <w:rFonts w:ascii="Times New Roman" w:hAnsi="Times New Roman"/>
          <w:kern w:val="44"/>
          <w:szCs w:val="21"/>
          <w:highlight w:val="none"/>
          <w:shd w:val="clear" w:color="auto" w:fill="FFFFFF"/>
        </w:rPr>
        <w:t xml:space="preserve">6.6.2.2. </w:t>
      </w:r>
      <w:r>
        <w:rPr>
          <w:rFonts w:hint="eastAsia" w:ascii="宋体" w:hAnsi="宋体"/>
          <w:kern w:val="44"/>
          <w:szCs w:val="21"/>
          <w:highlight w:val="none"/>
          <w:shd w:val="clear" w:color="auto" w:fill="FFFFFF"/>
        </w:rPr>
        <w:t>经互感器接入式计量表箱</w:t>
      </w:r>
      <w:r>
        <w:rPr>
          <w:highlight w:val="none"/>
        </w:rPr>
        <w:tab/>
      </w:r>
      <w:r>
        <w:rPr>
          <w:highlight w:val="none"/>
        </w:rPr>
        <w:fldChar w:fldCharType="begin"/>
      </w:r>
      <w:r>
        <w:rPr>
          <w:highlight w:val="none"/>
        </w:rPr>
        <w:instrText xml:space="preserve"> PAGEREF _Toc2978 </w:instrText>
      </w:r>
      <w:r>
        <w:rPr>
          <w:highlight w:val="none"/>
        </w:rPr>
        <w:fldChar w:fldCharType="separate"/>
      </w:r>
      <w:r>
        <w:rPr>
          <w:highlight w:val="none"/>
        </w:rPr>
        <w:t>8</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_Toc11409 </w:instrText>
      </w:r>
      <w:r>
        <w:rPr>
          <w:highlight w:val="none"/>
        </w:rPr>
        <w:fldChar w:fldCharType="separate"/>
      </w:r>
      <w:r>
        <w:rPr>
          <w:rFonts w:ascii="Times New Roman" w:hAnsi="Times New Roman"/>
          <w:kern w:val="44"/>
          <w:szCs w:val="21"/>
          <w:highlight w:val="none"/>
          <w:shd w:val="clear" w:color="auto" w:fill="FFFFFF"/>
        </w:rPr>
        <w:t xml:space="preserve">6.6.3. </w:t>
      </w:r>
      <w:r>
        <w:rPr>
          <w:rFonts w:hint="eastAsia" w:ascii="宋体" w:hAnsi="宋体"/>
          <w:kern w:val="44"/>
          <w:szCs w:val="21"/>
          <w:highlight w:val="none"/>
          <w:shd w:val="clear" w:color="auto" w:fill="FFFFFF"/>
        </w:rPr>
        <w:t>计量表箱电气结构</w:t>
      </w:r>
      <w:r>
        <w:rPr>
          <w:highlight w:val="none"/>
        </w:rPr>
        <w:tab/>
      </w:r>
      <w:r>
        <w:rPr>
          <w:highlight w:val="none"/>
        </w:rPr>
        <w:fldChar w:fldCharType="begin"/>
      </w:r>
      <w:r>
        <w:rPr>
          <w:highlight w:val="none"/>
        </w:rPr>
        <w:instrText xml:space="preserve"> PAGEREF _Toc11409 </w:instrText>
      </w:r>
      <w:r>
        <w:rPr>
          <w:highlight w:val="none"/>
        </w:rPr>
        <w:fldChar w:fldCharType="separate"/>
      </w:r>
      <w:r>
        <w:rPr>
          <w:highlight w:val="none"/>
        </w:rPr>
        <w:t>8</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_Toc5360 </w:instrText>
      </w:r>
      <w:r>
        <w:rPr>
          <w:highlight w:val="none"/>
        </w:rPr>
        <w:fldChar w:fldCharType="separate"/>
      </w:r>
      <w:r>
        <w:rPr>
          <w:rFonts w:ascii="Times New Roman" w:hAnsi="Times New Roman"/>
          <w:kern w:val="44"/>
          <w:szCs w:val="21"/>
          <w:highlight w:val="none"/>
          <w:shd w:val="clear" w:color="auto" w:fill="FFFFFF"/>
        </w:rPr>
        <w:t xml:space="preserve">6.6.4. </w:t>
      </w:r>
      <w:r>
        <w:rPr>
          <w:rFonts w:hint="eastAsia" w:ascii="宋体" w:hAnsi="宋体"/>
          <w:kern w:val="44"/>
          <w:szCs w:val="21"/>
          <w:highlight w:val="none"/>
          <w:shd w:val="clear" w:color="auto" w:fill="FFFFFF"/>
        </w:rPr>
        <w:t>计量表箱电气配置</w:t>
      </w:r>
      <w:r>
        <w:rPr>
          <w:highlight w:val="none"/>
        </w:rPr>
        <w:tab/>
      </w:r>
      <w:r>
        <w:rPr>
          <w:highlight w:val="none"/>
        </w:rPr>
        <w:fldChar w:fldCharType="begin"/>
      </w:r>
      <w:r>
        <w:rPr>
          <w:highlight w:val="none"/>
        </w:rPr>
        <w:instrText xml:space="preserve"> PAGEREF _Toc5360 </w:instrText>
      </w:r>
      <w:r>
        <w:rPr>
          <w:highlight w:val="none"/>
        </w:rPr>
        <w:fldChar w:fldCharType="separate"/>
      </w:r>
      <w:r>
        <w:rPr>
          <w:highlight w:val="none"/>
        </w:rPr>
        <w:t>9</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_Toc15489 </w:instrText>
      </w:r>
      <w:r>
        <w:rPr>
          <w:highlight w:val="none"/>
        </w:rPr>
        <w:fldChar w:fldCharType="separate"/>
      </w:r>
      <w:r>
        <w:rPr>
          <w:rFonts w:ascii="Times New Roman" w:hAnsi="Times New Roman"/>
          <w:kern w:val="44"/>
          <w:szCs w:val="21"/>
          <w:highlight w:val="none"/>
          <w:shd w:val="clear" w:color="auto" w:fill="FFFFFF"/>
        </w:rPr>
        <w:t xml:space="preserve">6.6.5. </w:t>
      </w:r>
      <w:r>
        <w:rPr>
          <w:rFonts w:hint="eastAsia" w:ascii="宋体" w:hAnsi="宋体"/>
          <w:kern w:val="44"/>
          <w:szCs w:val="21"/>
          <w:highlight w:val="none"/>
          <w:shd w:val="clear" w:color="auto" w:fill="FFFFFF"/>
        </w:rPr>
        <w:t>设备布局</w:t>
      </w:r>
      <w:r>
        <w:rPr>
          <w:highlight w:val="none"/>
        </w:rPr>
        <w:tab/>
      </w:r>
      <w:r>
        <w:rPr>
          <w:highlight w:val="none"/>
        </w:rPr>
        <w:fldChar w:fldCharType="begin"/>
      </w:r>
      <w:r>
        <w:rPr>
          <w:highlight w:val="none"/>
        </w:rPr>
        <w:instrText xml:space="preserve"> PAGEREF _Toc15489 </w:instrText>
      </w:r>
      <w:r>
        <w:rPr>
          <w:highlight w:val="none"/>
        </w:rPr>
        <w:fldChar w:fldCharType="separate"/>
      </w:r>
      <w:r>
        <w:rPr>
          <w:highlight w:val="none"/>
        </w:rPr>
        <w:t>11</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_Toc7473 </w:instrText>
      </w:r>
      <w:r>
        <w:rPr>
          <w:highlight w:val="none"/>
        </w:rPr>
        <w:fldChar w:fldCharType="separate"/>
      </w:r>
      <w:r>
        <w:rPr>
          <w:rFonts w:ascii="Times New Roman" w:hAnsi="Times New Roman"/>
          <w:kern w:val="44"/>
          <w:szCs w:val="21"/>
          <w:highlight w:val="none"/>
          <w:shd w:val="clear" w:color="auto" w:fill="FFFFFF"/>
        </w:rPr>
        <w:t xml:space="preserve">6.7. </w:t>
      </w:r>
      <w:r>
        <w:rPr>
          <w:rFonts w:hint="eastAsia" w:ascii="宋体" w:hAnsi="宋体"/>
          <w:kern w:val="44"/>
          <w:szCs w:val="21"/>
          <w:highlight w:val="none"/>
          <w:shd w:val="clear" w:color="auto" w:fill="FFFFFF"/>
        </w:rPr>
        <w:t>结构要求</w:t>
      </w:r>
      <w:r>
        <w:rPr>
          <w:highlight w:val="none"/>
        </w:rPr>
        <w:tab/>
      </w:r>
      <w:r>
        <w:rPr>
          <w:highlight w:val="none"/>
        </w:rPr>
        <w:fldChar w:fldCharType="begin"/>
      </w:r>
      <w:r>
        <w:rPr>
          <w:highlight w:val="none"/>
        </w:rPr>
        <w:instrText xml:space="preserve"> PAGEREF _Toc7473 </w:instrText>
      </w:r>
      <w:r>
        <w:rPr>
          <w:highlight w:val="none"/>
        </w:rPr>
        <w:fldChar w:fldCharType="separate"/>
      </w:r>
      <w:r>
        <w:rPr>
          <w:highlight w:val="none"/>
        </w:rPr>
        <w:t>12</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_Toc18604 </w:instrText>
      </w:r>
      <w:r>
        <w:rPr>
          <w:highlight w:val="none"/>
        </w:rPr>
        <w:fldChar w:fldCharType="separate"/>
      </w:r>
      <w:r>
        <w:rPr>
          <w:rFonts w:ascii="Times New Roman" w:hAnsi="Times New Roman"/>
          <w:kern w:val="44"/>
          <w:szCs w:val="21"/>
          <w:highlight w:val="none"/>
          <w:shd w:val="clear" w:color="auto" w:fill="FFFFFF"/>
        </w:rPr>
        <w:t xml:space="preserve">6.7.1. </w:t>
      </w:r>
      <w:r>
        <w:rPr>
          <w:rFonts w:hint="eastAsia" w:ascii="宋体" w:hAnsi="宋体"/>
          <w:kern w:val="44"/>
          <w:szCs w:val="21"/>
          <w:highlight w:val="none"/>
          <w:shd w:val="clear" w:color="auto" w:fill="FFFFFF"/>
        </w:rPr>
        <w:t>通用要求</w:t>
      </w:r>
      <w:r>
        <w:rPr>
          <w:highlight w:val="none"/>
        </w:rPr>
        <w:tab/>
      </w:r>
      <w:r>
        <w:rPr>
          <w:highlight w:val="none"/>
        </w:rPr>
        <w:fldChar w:fldCharType="begin"/>
      </w:r>
      <w:r>
        <w:rPr>
          <w:highlight w:val="none"/>
        </w:rPr>
        <w:instrText xml:space="preserve"> PAGEREF _Toc18604 </w:instrText>
      </w:r>
      <w:r>
        <w:rPr>
          <w:highlight w:val="none"/>
        </w:rPr>
        <w:fldChar w:fldCharType="separate"/>
      </w:r>
      <w:r>
        <w:rPr>
          <w:highlight w:val="none"/>
        </w:rPr>
        <w:t>12</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_Toc8838 </w:instrText>
      </w:r>
      <w:r>
        <w:rPr>
          <w:highlight w:val="none"/>
        </w:rPr>
        <w:fldChar w:fldCharType="separate"/>
      </w:r>
      <w:r>
        <w:rPr>
          <w:rFonts w:ascii="Times New Roman" w:hAnsi="Times New Roman"/>
          <w:kern w:val="44"/>
          <w:szCs w:val="21"/>
          <w:highlight w:val="none"/>
          <w:shd w:val="clear" w:color="auto" w:fill="FFFFFF"/>
        </w:rPr>
        <w:t xml:space="preserve">6.7.2. </w:t>
      </w:r>
      <w:r>
        <w:rPr>
          <w:rFonts w:hint="eastAsia" w:ascii="宋体" w:hAnsi="宋体"/>
          <w:kern w:val="44"/>
          <w:szCs w:val="21"/>
          <w:highlight w:val="none"/>
          <w:shd w:val="clear" w:color="auto" w:fill="FFFFFF"/>
        </w:rPr>
        <w:t>结构尺寸</w:t>
      </w:r>
      <w:r>
        <w:rPr>
          <w:highlight w:val="none"/>
        </w:rPr>
        <w:tab/>
      </w:r>
      <w:r>
        <w:rPr>
          <w:highlight w:val="none"/>
        </w:rPr>
        <w:fldChar w:fldCharType="begin"/>
      </w:r>
      <w:r>
        <w:rPr>
          <w:highlight w:val="none"/>
        </w:rPr>
        <w:instrText xml:space="preserve"> PAGEREF _Toc8838 </w:instrText>
      </w:r>
      <w:r>
        <w:rPr>
          <w:highlight w:val="none"/>
        </w:rPr>
        <w:fldChar w:fldCharType="separate"/>
      </w:r>
      <w:r>
        <w:rPr>
          <w:highlight w:val="none"/>
        </w:rPr>
        <w:t>12</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_Toc28999 </w:instrText>
      </w:r>
      <w:r>
        <w:rPr>
          <w:highlight w:val="none"/>
        </w:rPr>
        <w:fldChar w:fldCharType="separate"/>
      </w:r>
      <w:r>
        <w:rPr>
          <w:rFonts w:ascii="Times New Roman" w:hAnsi="Times New Roman"/>
          <w:kern w:val="44"/>
          <w:szCs w:val="21"/>
          <w:highlight w:val="none"/>
          <w:shd w:val="clear" w:color="auto" w:fill="FFFFFF"/>
        </w:rPr>
        <w:t xml:space="preserve">6.7.3. </w:t>
      </w:r>
      <w:r>
        <w:rPr>
          <w:rFonts w:hint="eastAsia" w:ascii="宋体" w:hAnsi="宋体"/>
          <w:kern w:val="44"/>
          <w:szCs w:val="21"/>
          <w:highlight w:val="none"/>
          <w:shd w:val="clear" w:color="auto" w:fill="FFFFFF"/>
        </w:rPr>
        <w:t>外壳结构</w:t>
      </w:r>
      <w:r>
        <w:rPr>
          <w:highlight w:val="none"/>
        </w:rPr>
        <w:tab/>
      </w:r>
      <w:r>
        <w:rPr>
          <w:highlight w:val="none"/>
        </w:rPr>
        <w:fldChar w:fldCharType="begin"/>
      </w:r>
      <w:r>
        <w:rPr>
          <w:highlight w:val="none"/>
        </w:rPr>
        <w:instrText xml:space="preserve"> PAGEREF _Toc28999 </w:instrText>
      </w:r>
      <w:r>
        <w:rPr>
          <w:highlight w:val="none"/>
        </w:rPr>
        <w:fldChar w:fldCharType="separate"/>
      </w:r>
      <w:r>
        <w:rPr>
          <w:highlight w:val="none"/>
        </w:rPr>
        <w:t>13</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_Toc23685 </w:instrText>
      </w:r>
      <w:r>
        <w:rPr>
          <w:highlight w:val="none"/>
        </w:rPr>
        <w:fldChar w:fldCharType="separate"/>
      </w:r>
      <w:r>
        <w:rPr>
          <w:rFonts w:ascii="Times New Roman" w:hAnsi="Times New Roman"/>
          <w:kern w:val="44"/>
          <w:szCs w:val="21"/>
          <w:highlight w:val="none"/>
          <w:shd w:val="clear" w:color="auto" w:fill="FFFFFF"/>
        </w:rPr>
        <w:t xml:space="preserve">7. </w:t>
      </w:r>
      <w:r>
        <w:rPr>
          <w:rFonts w:hint="eastAsia" w:ascii="Times New Roman" w:hAnsi="Times New Roman"/>
          <w:kern w:val="44"/>
          <w:szCs w:val="21"/>
          <w:highlight w:val="none"/>
          <w:shd w:val="clear" w:color="auto" w:fill="FFFFFF"/>
        </w:rPr>
        <w:t>试验项目及要求</w:t>
      </w:r>
      <w:r>
        <w:rPr>
          <w:highlight w:val="none"/>
        </w:rPr>
        <w:tab/>
      </w:r>
      <w:r>
        <w:rPr>
          <w:highlight w:val="none"/>
        </w:rPr>
        <w:fldChar w:fldCharType="begin"/>
      </w:r>
      <w:r>
        <w:rPr>
          <w:highlight w:val="none"/>
        </w:rPr>
        <w:instrText xml:space="preserve"> PAGEREF _Toc23685 </w:instrText>
      </w:r>
      <w:r>
        <w:rPr>
          <w:highlight w:val="none"/>
        </w:rPr>
        <w:fldChar w:fldCharType="separate"/>
      </w:r>
      <w:r>
        <w:rPr>
          <w:highlight w:val="none"/>
        </w:rPr>
        <w:t>14</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_Toc3837 </w:instrText>
      </w:r>
      <w:r>
        <w:rPr>
          <w:highlight w:val="none"/>
        </w:rPr>
        <w:fldChar w:fldCharType="separate"/>
      </w:r>
      <w:r>
        <w:rPr>
          <w:rFonts w:ascii="Times New Roman" w:hAnsi="Times New Roman"/>
          <w:kern w:val="44"/>
          <w:szCs w:val="21"/>
          <w:highlight w:val="none"/>
          <w:shd w:val="clear" w:color="auto" w:fill="FFFFFF"/>
        </w:rPr>
        <w:t xml:space="preserve">7.1. </w:t>
      </w:r>
      <w:r>
        <w:rPr>
          <w:rFonts w:hint="eastAsia" w:ascii="宋体" w:hAnsi="宋体"/>
          <w:kern w:val="44"/>
          <w:szCs w:val="21"/>
          <w:highlight w:val="none"/>
          <w:shd w:val="clear" w:color="auto" w:fill="FFFFFF"/>
        </w:rPr>
        <w:t>外观检查</w:t>
      </w:r>
      <w:r>
        <w:rPr>
          <w:highlight w:val="none"/>
        </w:rPr>
        <w:tab/>
      </w:r>
      <w:r>
        <w:rPr>
          <w:highlight w:val="none"/>
        </w:rPr>
        <w:fldChar w:fldCharType="begin"/>
      </w:r>
      <w:r>
        <w:rPr>
          <w:highlight w:val="none"/>
        </w:rPr>
        <w:instrText xml:space="preserve"> PAGEREF _Toc3837 </w:instrText>
      </w:r>
      <w:r>
        <w:rPr>
          <w:highlight w:val="none"/>
        </w:rPr>
        <w:fldChar w:fldCharType="separate"/>
      </w:r>
      <w:r>
        <w:rPr>
          <w:highlight w:val="none"/>
        </w:rPr>
        <w:t>14</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_Toc27373 </w:instrText>
      </w:r>
      <w:r>
        <w:rPr>
          <w:highlight w:val="none"/>
        </w:rPr>
        <w:fldChar w:fldCharType="separate"/>
      </w:r>
      <w:r>
        <w:rPr>
          <w:rFonts w:ascii="Times New Roman" w:hAnsi="Times New Roman"/>
          <w:kern w:val="44"/>
          <w:szCs w:val="21"/>
          <w:highlight w:val="none"/>
          <w:shd w:val="clear" w:color="auto" w:fill="FFFFFF"/>
        </w:rPr>
        <w:t xml:space="preserve">7.2. </w:t>
      </w:r>
      <w:r>
        <w:rPr>
          <w:rFonts w:hint="eastAsia" w:ascii="宋体" w:hAnsi="宋体"/>
          <w:kern w:val="44"/>
          <w:szCs w:val="21"/>
          <w:highlight w:val="none"/>
          <w:shd w:val="clear" w:color="auto" w:fill="FFFFFF"/>
        </w:rPr>
        <w:t>结构尺寸及计量表箱配件检查</w:t>
      </w:r>
      <w:r>
        <w:rPr>
          <w:highlight w:val="none"/>
        </w:rPr>
        <w:tab/>
      </w:r>
      <w:r>
        <w:rPr>
          <w:highlight w:val="none"/>
        </w:rPr>
        <w:fldChar w:fldCharType="begin"/>
      </w:r>
      <w:r>
        <w:rPr>
          <w:highlight w:val="none"/>
        </w:rPr>
        <w:instrText xml:space="preserve"> PAGEREF _Toc27373 </w:instrText>
      </w:r>
      <w:r>
        <w:rPr>
          <w:highlight w:val="none"/>
        </w:rPr>
        <w:fldChar w:fldCharType="separate"/>
      </w:r>
      <w:r>
        <w:rPr>
          <w:highlight w:val="none"/>
        </w:rPr>
        <w:t>15</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_Toc19786 </w:instrText>
      </w:r>
      <w:r>
        <w:rPr>
          <w:highlight w:val="none"/>
        </w:rPr>
        <w:fldChar w:fldCharType="separate"/>
      </w:r>
      <w:r>
        <w:rPr>
          <w:rFonts w:ascii="Times New Roman" w:hAnsi="Times New Roman"/>
          <w:kern w:val="44"/>
          <w:szCs w:val="21"/>
          <w:highlight w:val="none"/>
          <w:shd w:val="clear" w:color="auto" w:fill="FFFFFF"/>
        </w:rPr>
        <w:t xml:space="preserve">7.3. </w:t>
      </w:r>
      <w:r>
        <w:rPr>
          <w:rFonts w:hint="eastAsia" w:ascii="宋体" w:hAnsi="宋体"/>
          <w:kern w:val="44"/>
          <w:szCs w:val="21"/>
          <w:highlight w:val="none"/>
          <w:shd w:val="clear" w:color="auto" w:fill="FFFFFF"/>
        </w:rPr>
        <w:t>材料性能试验</w:t>
      </w:r>
      <w:r>
        <w:rPr>
          <w:highlight w:val="none"/>
        </w:rPr>
        <w:tab/>
      </w:r>
      <w:r>
        <w:rPr>
          <w:highlight w:val="none"/>
        </w:rPr>
        <w:fldChar w:fldCharType="begin"/>
      </w:r>
      <w:r>
        <w:rPr>
          <w:highlight w:val="none"/>
        </w:rPr>
        <w:instrText xml:space="preserve"> PAGEREF _Toc19786 </w:instrText>
      </w:r>
      <w:r>
        <w:rPr>
          <w:highlight w:val="none"/>
        </w:rPr>
        <w:fldChar w:fldCharType="separate"/>
      </w:r>
      <w:r>
        <w:rPr>
          <w:highlight w:val="none"/>
        </w:rPr>
        <w:t>15</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_Toc4892 </w:instrText>
      </w:r>
      <w:r>
        <w:rPr>
          <w:highlight w:val="none"/>
        </w:rPr>
        <w:fldChar w:fldCharType="separate"/>
      </w:r>
      <w:r>
        <w:rPr>
          <w:rFonts w:ascii="Times New Roman" w:hAnsi="Times New Roman"/>
          <w:szCs w:val="21"/>
          <w:highlight w:val="none"/>
        </w:rPr>
        <w:t xml:space="preserve">7.3.1. </w:t>
      </w:r>
      <w:r>
        <w:rPr>
          <w:rFonts w:hint="eastAsia" w:ascii="宋体" w:hAnsi="宋体"/>
          <w:kern w:val="44"/>
          <w:szCs w:val="21"/>
          <w:highlight w:val="none"/>
          <w:shd w:val="clear" w:color="auto" w:fill="FFFFFF"/>
        </w:rPr>
        <w:t>热稳定性试验</w:t>
      </w:r>
      <w:r>
        <w:rPr>
          <w:highlight w:val="none"/>
        </w:rPr>
        <w:tab/>
      </w:r>
      <w:r>
        <w:rPr>
          <w:highlight w:val="none"/>
        </w:rPr>
        <w:fldChar w:fldCharType="begin"/>
      </w:r>
      <w:r>
        <w:rPr>
          <w:highlight w:val="none"/>
        </w:rPr>
        <w:instrText xml:space="preserve"> PAGEREF _Toc4892 </w:instrText>
      </w:r>
      <w:r>
        <w:rPr>
          <w:highlight w:val="none"/>
        </w:rPr>
        <w:fldChar w:fldCharType="separate"/>
      </w:r>
      <w:r>
        <w:rPr>
          <w:highlight w:val="none"/>
        </w:rPr>
        <w:t>15</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_Toc19612 </w:instrText>
      </w:r>
      <w:r>
        <w:rPr>
          <w:highlight w:val="none"/>
        </w:rPr>
        <w:fldChar w:fldCharType="separate"/>
      </w:r>
      <w:r>
        <w:rPr>
          <w:rFonts w:ascii="Times New Roman" w:hAnsi="Times New Roman"/>
          <w:kern w:val="44"/>
          <w:szCs w:val="21"/>
          <w:highlight w:val="none"/>
          <w:shd w:val="clear" w:color="auto" w:fill="FFFFFF"/>
        </w:rPr>
        <w:t xml:space="preserve">7.3.2. </w:t>
      </w:r>
      <w:r>
        <w:rPr>
          <w:rFonts w:hint="eastAsia" w:ascii="宋体" w:hAnsi="宋体"/>
          <w:kern w:val="44"/>
          <w:szCs w:val="21"/>
          <w:highlight w:val="none"/>
          <w:shd w:val="clear" w:color="auto" w:fill="FFFFFF"/>
        </w:rPr>
        <w:t>耐热性试验</w:t>
      </w:r>
      <w:r>
        <w:rPr>
          <w:highlight w:val="none"/>
        </w:rPr>
        <w:tab/>
      </w:r>
      <w:r>
        <w:rPr>
          <w:highlight w:val="none"/>
        </w:rPr>
        <w:fldChar w:fldCharType="begin"/>
      </w:r>
      <w:r>
        <w:rPr>
          <w:highlight w:val="none"/>
        </w:rPr>
        <w:instrText xml:space="preserve"> PAGEREF _Toc19612 </w:instrText>
      </w:r>
      <w:r>
        <w:rPr>
          <w:highlight w:val="none"/>
        </w:rPr>
        <w:fldChar w:fldCharType="separate"/>
      </w:r>
      <w:r>
        <w:rPr>
          <w:highlight w:val="none"/>
        </w:rPr>
        <w:t>15</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_Toc18985 </w:instrText>
      </w:r>
      <w:r>
        <w:rPr>
          <w:highlight w:val="none"/>
        </w:rPr>
        <w:fldChar w:fldCharType="separate"/>
      </w:r>
      <w:r>
        <w:rPr>
          <w:rFonts w:ascii="Times New Roman" w:hAnsi="Times New Roman"/>
          <w:kern w:val="44"/>
          <w:szCs w:val="21"/>
          <w:highlight w:val="none"/>
          <w:shd w:val="clear" w:color="auto" w:fill="FFFFFF"/>
        </w:rPr>
        <w:t xml:space="preserve">7.3.3. </w:t>
      </w:r>
      <w:r>
        <w:rPr>
          <w:rFonts w:hint="eastAsia" w:ascii="宋体" w:hAnsi="宋体"/>
          <w:kern w:val="44"/>
          <w:szCs w:val="21"/>
          <w:highlight w:val="none"/>
          <w:shd w:val="clear" w:color="auto" w:fill="FFFFFF"/>
        </w:rPr>
        <w:t>耐受非正常发热和火焰的试验</w:t>
      </w:r>
      <w:r>
        <w:rPr>
          <w:highlight w:val="none"/>
        </w:rPr>
        <w:tab/>
      </w:r>
      <w:r>
        <w:rPr>
          <w:highlight w:val="none"/>
        </w:rPr>
        <w:fldChar w:fldCharType="begin"/>
      </w:r>
      <w:r>
        <w:rPr>
          <w:highlight w:val="none"/>
        </w:rPr>
        <w:instrText xml:space="preserve"> PAGEREF _Toc18985 </w:instrText>
      </w:r>
      <w:r>
        <w:rPr>
          <w:highlight w:val="none"/>
        </w:rPr>
        <w:fldChar w:fldCharType="separate"/>
      </w:r>
      <w:r>
        <w:rPr>
          <w:highlight w:val="none"/>
        </w:rPr>
        <w:t>15</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_Toc12935 </w:instrText>
      </w:r>
      <w:r>
        <w:rPr>
          <w:highlight w:val="none"/>
        </w:rPr>
        <w:fldChar w:fldCharType="separate"/>
      </w:r>
      <w:r>
        <w:rPr>
          <w:rFonts w:ascii="Times New Roman" w:hAnsi="Times New Roman"/>
          <w:kern w:val="44"/>
          <w:szCs w:val="21"/>
          <w:highlight w:val="none"/>
          <w:shd w:val="clear" w:color="auto" w:fill="FFFFFF"/>
        </w:rPr>
        <w:t xml:space="preserve">7.3.4. </w:t>
      </w:r>
      <w:r>
        <w:rPr>
          <w:rFonts w:hint="eastAsia" w:ascii="宋体" w:hAnsi="宋体"/>
          <w:kern w:val="44"/>
          <w:szCs w:val="21"/>
          <w:highlight w:val="none"/>
          <w:shd w:val="clear" w:color="auto" w:fill="FFFFFF"/>
        </w:rPr>
        <w:t>耐老化试验</w:t>
      </w:r>
      <w:r>
        <w:rPr>
          <w:highlight w:val="none"/>
        </w:rPr>
        <w:tab/>
      </w:r>
      <w:r>
        <w:rPr>
          <w:highlight w:val="none"/>
        </w:rPr>
        <w:fldChar w:fldCharType="begin"/>
      </w:r>
      <w:r>
        <w:rPr>
          <w:highlight w:val="none"/>
        </w:rPr>
        <w:instrText xml:space="preserve"> PAGEREF _Toc12935 </w:instrText>
      </w:r>
      <w:r>
        <w:rPr>
          <w:highlight w:val="none"/>
        </w:rPr>
        <w:fldChar w:fldCharType="separate"/>
      </w:r>
      <w:r>
        <w:rPr>
          <w:highlight w:val="none"/>
        </w:rPr>
        <w:t>15</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_Toc30924 </w:instrText>
      </w:r>
      <w:r>
        <w:rPr>
          <w:highlight w:val="none"/>
        </w:rPr>
        <w:fldChar w:fldCharType="separate"/>
      </w:r>
      <w:r>
        <w:rPr>
          <w:rFonts w:ascii="Times New Roman" w:hAnsi="Times New Roman"/>
          <w:kern w:val="44"/>
          <w:szCs w:val="21"/>
          <w:highlight w:val="none"/>
          <w:shd w:val="clear" w:color="auto" w:fill="FFFFFF"/>
        </w:rPr>
        <w:t xml:space="preserve">7.3.5. </w:t>
      </w:r>
      <w:r>
        <w:rPr>
          <w:rFonts w:hint="eastAsia" w:ascii="宋体" w:hAnsi="宋体"/>
          <w:kern w:val="44"/>
          <w:szCs w:val="21"/>
          <w:highlight w:val="none"/>
          <w:shd w:val="clear" w:color="auto" w:fill="FFFFFF"/>
        </w:rPr>
        <w:t>温度冲击试验</w:t>
      </w:r>
      <w:r>
        <w:rPr>
          <w:highlight w:val="none"/>
        </w:rPr>
        <w:tab/>
      </w:r>
      <w:r>
        <w:rPr>
          <w:highlight w:val="none"/>
        </w:rPr>
        <w:fldChar w:fldCharType="begin"/>
      </w:r>
      <w:r>
        <w:rPr>
          <w:highlight w:val="none"/>
        </w:rPr>
        <w:instrText xml:space="preserve"> PAGEREF _Toc30924 </w:instrText>
      </w:r>
      <w:r>
        <w:rPr>
          <w:highlight w:val="none"/>
        </w:rPr>
        <w:fldChar w:fldCharType="separate"/>
      </w:r>
      <w:r>
        <w:rPr>
          <w:highlight w:val="none"/>
        </w:rPr>
        <w:t>15</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_Toc144 </w:instrText>
      </w:r>
      <w:r>
        <w:rPr>
          <w:highlight w:val="none"/>
        </w:rPr>
        <w:fldChar w:fldCharType="separate"/>
      </w:r>
      <w:r>
        <w:rPr>
          <w:rFonts w:ascii="Times New Roman" w:hAnsi="Times New Roman"/>
          <w:kern w:val="44"/>
          <w:szCs w:val="21"/>
          <w:highlight w:val="none"/>
          <w:shd w:val="clear" w:color="auto" w:fill="FFFFFF"/>
        </w:rPr>
        <w:t xml:space="preserve">7.3.6. </w:t>
      </w:r>
      <w:r>
        <w:rPr>
          <w:rFonts w:hint="eastAsia" w:ascii="宋体" w:hAnsi="宋体"/>
          <w:kern w:val="44"/>
          <w:szCs w:val="21"/>
          <w:highlight w:val="none"/>
          <w:shd w:val="clear" w:color="auto" w:fill="FFFFFF"/>
        </w:rPr>
        <w:t>塑料冲击性能测定试验</w:t>
      </w:r>
      <w:r>
        <w:rPr>
          <w:highlight w:val="none"/>
        </w:rPr>
        <w:tab/>
      </w:r>
      <w:r>
        <w:rPr>
          <w:highlight w:val="none"/>
        </w:rPr>
        <w:fldChar w:fldCharType="begin"/>
      </w:r>
      <w:r>
        <w:rPr>
          <w:highlight w:val="none"/>
        </w:rPr>
        <w:instrText xml:space="preserve"> PAGEREF _Toc144 </w:instrText>
      </w:r>
      <w:r>
        <w:rPr>
          <w:highlight w:val="none"/>
        </w:rPr>
        <w:fldChar w:fldCharType="separate"/>
      </w:r>
      <w:r>
        <w:rPr>
          <w:highlight w:val="none"/>
        </w:rPr>
        <w:t>16</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_Toc3959 </w:instrText>
      </w:r>
      <w:r>
        <w:rPr>
          <w:highlight w:val="none"/>
        </w:rPr>
        <w:fldChar w:fldCharType="separate"/>
      </w:r>
      <w:r>
        <w:rPr>
          <w:rFonts w:ascii="Times New Roman" w:hAnsi="Times New Roman"/>
          <w:kern w:val="44"/>
          <w:szCs w:val="21"/>
          <w:highlight w:val="none"/>
          <w:shd w:val="clear" w:color="auto" w:fill="FFFFFF"/>
        </w:rPr>
        <w:t xml:space="preserve">7.3.7. </w:t>
      </w:r>
      <w:r>
        <w:rPr>
          <w:rFonts w:hint="eastAsia" w:ascii="宋体" w:hAnsi="宋体"/>
          <w:kern w:val="44"/>
          <w:szCs w:val="21"/>
          <w:highlight w:val="none"/>
          <w:shd w:val="clear" w:color="auto" w:fill="FFFFFF"/>
        </w:rPr>
        <w:t>塑料弯曲性能测定试验</w:t>
      </w:r>
      <w:r>
        <w:rPr>
          <w:highlight w:val="none"/>
        </w:rPr>
        <w:tab/>
      </w:r>
      <w:r>
        <w:rPr>
          <w:highlight w:val="none"/>
        </w:rPr>
        <w:fldChar w:fldCharType="begin"/>
      </w:r>
      <w:r>
        <w:rPr>
          <w:highlight w:val="none"/>
        </w:rPr>
        <w:instrText xml:space="preserve"> PAGEREF _Toc3959 </w:instrText>
      </w:r>
      <w:r>
        <w:rPr>
          <w:highlight w:val="none"/>
        </w:rPr>
        <w:fldChar w:fldCharType="separate"/>
      </w:r>
      <w:r>
        <w:rPr>
          <w:highlight w:val="none"/>
        </w:rPr>
        <w:t>16</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_Toc3675 </w:instrText>
      </w:r>
      <w:r>
        <w:rPr>
          <w:highlight w:val="none"/>
        </w:rPr>
        <w:fldChar w:fldCharType="separate"/>
      </w:r>
      <w:r>
        <w:rPr>
          <w:rFonts w:ascii="Times New Roman" w:hAnsi="Times New Roman"/>
          <w:kern w:val="44"/>
          <w:szCs w:val="21"/>
          <w:highlight w:val="none"/>
          <w:shd w:val="clear" w:color="auto" w:fill="FFFFFF"/>
        </w:rPr>
        <w:t xml:space="preserve">7.4. </w:t>
      </w:r>
      <w:r>
        <w:rPr>
          <w:rFonts w:hint="eastAsia" w:ascii="宋体" w:hAnsi="宋体"/>
          <w:kern w:val="44"/>
          <w:szCs w:val="21"/>
          <w:highlight w:val="none"/>
          <w:shd w:val="clear" w:color="auto" w:fill="FFFFFF"/>
        </w:rPr>
        <w:t>机械性能试验</w:t>
      </w:r>
      <w:r>
        <w:rPr>
          <w:highlight w:val="none"/>
        </w:rPr>
        <w:tab/>
      </w:r>
      <w:r>
        <w:rPr>
          <w:highlight w:val="none"/>
        </w:rPr>
        <w:fldChar w:fldCharType="begin"/>
      </w:r>
      <w:r>
        <w:rPr>
          <w:highlight w:val="none"/>
        </w:rPr>
        <w:instrText xml:space="preserve"> PAGEREF _Toc3675 </w:instrText>
      </w:r>
      <w:r>
        <w:rPr>
          <w:highlight w:val="none"/>
        </w:rPr>
        <w:fldChar w:fldCharType="separate"/>
      </w:r>
      <w:r>
        <w:rPr>
          <w:highlight w:val="none"/>
        </w:rPr>
        <w:t>16</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_Toc29776 </w:instrText>
      </w:r>
      <w:r>
        <w:rPr>
          <w:highlight w:val="none"/>
        </w:rPr>
        <w:fldChar w:fldCharType="separate"/>
      </w:r>
      <w:r>
        <w:rPr>
          <w:rFonts w:ascii="Times New Roman" w:hAnsi="Times New Roman"/>
          <w:kern w:val="44"/>
          <w:szCs w:val="21"/>
          <w:highlight w:val="none"/>
          <w:shd w:val="clear" w:color="auto" w:fill="FFFFFF"/>
        </w:rPr>
        <w:t xml:space="preserve">7.4.1. </w:t>
      </w:r>
      <w:r>
        <w:rPr>
          <w:rFonts w:hint="eastAsia" w:ascii="宋体" w:hAnsi="宋体"/>
          <w:kern w:val="44"/>
          <w:szCs w:val="21"/>
          <w:highlight w:val="none"/>
          <w:shd w:val="clear" w:color="auto" w:fill="FFFFFF"/>
        </w:rPr>
        <w:t>静态试验</w:t>
      </w:r>
      <w:r>
        <w:rPr>
          <w:highlight w:val="none"/>
        </w:rPr>
        <w:tab/>
      </w:r>
      <w:r>
        <w:rPr>
          <w:highlight w:val="none"/>
        </w:rPr>
        <w:fldChar w:fldCharType="begin"/>
      </w:r>
      <w:r>
        <w:rPr>
          <w:highlight w:val="none"/>
        </w:rPr>
        <w:instrText xml:space="preserve"> PAGEREF _Toc29776 </w:instrText>
      </w:r>
      <w:r>
        <w:rPr>
          <w:highlight w:val="none"/>
        </w:rPr>
        <w:fldChar w:fldCharType="separate"/>
      </w:r>
      <w:r>
        <w:rPr>
          <w:highlight w:val="none"/>
        </w:rPr>
        <w:t>16</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_Toc10818 </w:instrText>
      </w:r>
      <w:r>
        <w:rPr>
          <w:highlight w:val="none"/>
        </w:rPr>
        <w:fldChar w:fldCharType="separate"/>
      </w:r>
      <w:r>
        <w:rPr>
          <w:rFonts w:ascii="Times New Roman" w:hAnsi="Times New Roman"/>
          <w:kern w:val="44"/>
          <w:szCs w:val="21"/>
          <w:highlight w:val="none"/>
          <w:shd w:val="clear" w:color="auto" w:fill="FFFFFF"/>
        </w:rPr>
        <w:t xml:space="preserve">7.4.1.1. </w:t>
      </w:r>
      <w:r>
        <w:rPr>
          <w:rFonts w:hint="eastAsia" w:ascii="宋体" w:hAnsi="宋体"/>
          <w:kern w:val="44"/>
          <w:szCs w:val="21"/>
          <w:highlight w:val="none"/>
          <w:shd w:val="clear" w:color="auto" w:fill="FFFFFF"/>
        </w:rPr>
        <w:t>计量表箱外壳</w:t>
      </w:r>
      <w:r>
        <w:rPr>
          <w:highlight w:val="none"/>
        </w:rPr>
        <w:tab/>
      </w:r>
      <w:r>
        <w:rPr>
          <w:highlight w:val="none"/>
        </w:rPr>
        <w:fldChar w:fldCharType="begin"/>
      </w:r>
      <w:r>
        <w:rPr>
          <w:highlight w:val="none"/>
        </w:rPr>
        <w:instrText xml:space="preserve"> PAGEREF _Toc10818 </w:instrText>
      </w:r>
      <w:r>
        <w:rPr>
          <w:highlight w:val="none"/>
        </w:rPr>
        <w:fldChar w:fldCharType="separate"/>
      </w:r>
      <w:r>
        <w:rPr>
          <w:highlight w:val="none"/>
        </w:rPr>
        <w:t>16</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_Toc25068 </w:instrText>
      </w:r>
      <w:r>
        <w:rPr>
          <w:highlight w:val="none"/>
        </w:rPr>
        <w:fldChar w:fldCharType="separate"/>
      </w:r>
      <w:r>
        <w:rPr>
          <w:rFonts w:ascii="Times New Roman" w:hAnsi="Times New Roman"/>
          <w:kern w:val="44"/>
          <w:szCs w:val="21"/>
          <w:highlight w:val="none"/>
          <w:shd w:val="clear" w:color="auto" w:fill="FFFFFF"/>
        </w:rPr>
        <w:t xml:space="preserve">7.4.1.2. </w:t>
      </w:r>
      <w:r>
        <w:rPr>
          <w:rFonts w:hint="eastAsia" w:ascii="宋体" w:hAnsi="宋体"/>
          <w:kern w:val="44"/>
          <w:szCs w:val="21"/>
          <w:highlight w:val="none"/>
          <w:shd w:val="clear" w:color="auto" w:fill="FFFFFF"/>
        </w:rPr>
        <w:t>铰链式计量表箱门</w:t>
      </w:r>
      <w:r>
        <w:rPr>
          <w:highlight w:val="none"/>
        </w:rPr>
        <w:tab/>
      </w:r>
      <w:r>
        <w:rPr>
          <w:highlight w:val="none"/>
        </w:rPr>
        <w:fldChar w:fldCharType="begin"/>
      </w:r>
      <w:r>
        <w:rPr>
          <w:highlight w:val="none"/>
        </w:rPr>
        <w:instrText xml:space="preserve"> PAGEREF _Toc25068 </w:instrText>
      </w:r>
      <w:r>
        <w:rPr>
          <w:highlight w:val="none"/>
        </w:rPr>
        <w:fldChar w:fldCharType="separate"/>
      </w:r>
      <w:r>
        <w:rPr>
          <w:highlight w:val="none"/>
        </w:rPr>
        <w:t>16</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_Toc15257 </w:instrText>
      </w:r>
      <w:r>
        <w:rPr>
          <w:highlight w:val="none"/>
        </w:rPr>
        <w:fldChar w:fldCharType="separate"/>
      </w:r>
      <w:r>
        <w:rPr>
          <w:rFonts w:ascii="Times New Roman" w:hAnsi="Times New Roman"/>
          <w:kern w:val="44"/>
          <w:szCs w:val="21"/>
          <w:highlight w:val="none"/>
          <w:shd w:val="clear" w:color="auto" w:fill="FFFFFF"/>
        </w:rPr>
        <w:t xml:space="preserve">7.4.1.3. </w:t>
      </w:r>
      <w:r>
        <w:rPr>
          <w:rFonts w:hint="eastAsia" w:ascii="宋体" w:hAnsi="宋体"/>
          <w:kern w:val="44"/>
          <w:szCs w:val="21"/>
          <w:highlight w:val="none"/>
          <w:shd w:val="clear" w:color="auto" w:fill="FFFFFF"/>
        </w:rPr>
        <w:t>计量表箱安装板、安装附件</w:t>
      </w:r>
      <w:r>
        <w:rPr>
          <w:highlight w:val="none"/>
        </w:rPr>
        <w:tab/>
      </w:r>
      <w:r>
        <w:rPr>
          <w:highlight w:val="none"/>
        </w:rPr>
        <w:fldChar w:fldCharType="begin"/>
      </w:r>
      <w:r>
        <w:rPr>
          <w:highlight w:val="none"/>
        </w:rPr>
        <w:instrText xml:space="preserve"> PAGEREF _Toc15257 </w:instrText>
      </w:r>
      <w:r>
        <w:rPr>
          <w:highlight w:val="none"/>
        </w:rPr>
        <w:fldChar w:fldCharType="separate"/>
      </w:r>
      <w:r>
        <w:rPr>
          <w:highlight w:val="none"/>
        </w:rPr>
        <w:t>16</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_Toc17664 </w:instrText>
      </w:r>
      <w:r>
        <w:rPr>
          <w:highlight w:val="none"/>
        </w:rPr>
        <w:fldChar w:fldCharType="separate"/>
      </w:r>
      <w:r>
        <w:rPr>
          <w:rFonts w:ascii="Times New Roman" w:hAnsi="Times New Roman"/>
          <w:kern w:val="44"/>
          <w:szCs w:val="21"/>
          <w:highlight w:val="none"/>
          <w:shd w:val="clear" w:color="auto" w:fill="FFFFFF"/>
        </w:rPr>
        <w:t xml:space="preserve">7.4.2. </w:t>
      </w:r>
      <w:r>
        <w:rPr>
          <w:rFonts w:hint="eastAsia" w:ascii="宋体" w:hAnsi="宋体"/>
          <w:kern w:val="44"/>
          <w:szCs w:val="21"/>
          <w:highlight w:val="none"/>
          <w:shd w:val="clear" w:color="auto" w:fill="FFFFFF"/>
        </w:rPr>
        <w:t>动态试验</w:t>
      </w:r>
      <w:r>
        <w:rPr>
          <w:highlight w:val="none"/>
        </w:rPr>
        <w:tab/>
      </w:r>
      <w:r>
        <w:rPr>
          <w:highlight w:val="none"/>
        </w:rPr>
        <w:fldChar w:fldCharType="begin"/>
      </w:r>
      <w:r>
        <w:rPr>
          <w:highlight w:val="none"/>
        </w:rPr>
        <w:instrText xml:space="preserve"> PAGEREF _Toc17664 </w:instrText>
      </w:r>
      <w:r>
        <w:rPr>
          <w:highlight w:val="none"/>
        </w:rPr>
        <w:fldChar w:fldCharType="separate"/>
      </w:r>
      <w:r>
        <w:rPr>
          <w:highlight w:val="none"/>
        </w:rPr>
        <w:t>17</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_Toc23602 </w:instrText>
      </w:r>
      <w:r>
        <w:rPr>
          <w:highlight w:val="none"/>
        </w:rPr>
        <w:fldChar w:fldCharType="separate"/>
      </w:r>
      <w:r>
        <w:rPr>
          <w:rFonts w:ascii="Times New Roman" w:hAnsi="Times New Roman"/>
          <w:kern w:val="44"/>
          <w:szCs w:val="21"/>
          <w:highlight w:val="none"/>
          <w:shd w:val="clear" w:color="auto" w:fill="FFFFFF"/>
        </w:rPr>
        <w:t xml:space="preserve">7.4.2.1. </w:t>
      </w:r>
      <w:r>
        <w:rPr>
          <w:rFonts w:hint="eastAsia" w:ascii="宋体" w:hAnsi="宋体"/>
          <w:kern w:val="44"/>
          <w:szCs w:val="21"/>
          <w:highlight w:val="none"/>
          <w:shd w:val="clear" w:color="auto" w:fill="FFFFFF"/>
        </w:rPr>
        <w:t>振动试验</w:t>
      </w:r>
      <w:r>
        <w:rPr>
          <w:highlight w:val="none"/>
        </w:rPr>
        <w:tab/>
      </w:r>
      <w:r>
        <w:rPr>
          <w:highlight w:val="none"/>
        </w:rPr>
        <w:fldChar w:fldCharType="begin"/>
      </w:r>
      <w:r>
        <w:rPr>
          <w:highlight w:val="none"/>
        </w:rPr>
        <w:instrText xml:space="preserve"> PAGEREF _Toc23602 </w:instrText>
      </w:r>
      <w:r>
        <w:rPr>
          <w:highlight w:val="none"/>
        </w:rPr>
        <w:fldChar w:fldCharType="separate"/>
      </w:r>
      <w:r>
        <w:rPr>
          <w:highlight w:val="none"/>
        </w:rPr>
        <w:t>17</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_Toc22618 </w:instrText>
      </w:r>
      <w:r>
        <w:rPr>
          <w:highlight w:val="none"/>
        </w:rPr>
        <w:fldChar w:fldCharType="separate"/>
      </w:r>
      <w:r>
        <w:rPr>
          <w:rFonts w:ascii="Times New Roman" w:hAnsi="Times New Roman"/>
          <w:kern w:val="44"/>
          <w:szCs w:val="21"/>
          <w:highlight w:val="none"/>
          <w:shd w:val="clear" w:color="auto" w:fill="FFFFFF"/>
        </w:rPr>
        <w:t xml:space="preserve">7.4.2.2. </w:t>
      </w:r>
      <w:r>
        <w:rPr>
          <w:rFonts w:hint="eastAsia" w:ascii="宋体" w:hAnsi="宋体"/>
          <w:kern w:val="44"/>
          <w:szCs w:val="21"/>
          <w:highlight w:val="none"/>
          <w:shd w:val="clear" w:color="auto" w:fill="FFFFFF"/>
        </w:rPr>
        <w:t>冲击试验</w:t>
      </w:r>
      <w:r>
        <w:rPr>
          <w:highlight w:val="none"/>
        </w:rPr>
        <w:tab/>
      </w:r>
      <w:r>
        <w:rPr>
          <w:highlight w:val="none"/>
        </w:rPr>
        <w:fldChar w:fldCharType="begin"/>
      </w:r>
      <w:r>
        <w:rPr>
          <w:highlight w:val="none"/>
        </w:rPr>
        <w:instrText xml:space="preserve"> PAGEREF _Toc22618 </w:instrText>
      </w:r>
      <w:r>
        <w:rPr>
          <w:highlight w:val="none"/>
        </w:rPr>
        <w:fldChar w:fldCharType="separate"/>
      </w:r>
      <w:r>
        <w:rPr>
          <w:highlight w:val="none"/>
        </w:rPr>
        <w:t>17</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_Toc19163 </w:instrText>
      </w:r>
      <w:r>
        <w:rPr>
          <w:highlight w:val="none"/>
        </w:rPr>
        <w:fldChar w:fldCharType="separate"/>
      </w:r>
      <w:r>
        <w:rPr>
          <w:rFonts w:ascii="Times New Roman" w:hAnsi="Times New Roman"/>
          <w:kern w:val="44"/>
          <w:szCs w:val="21"/>
          <w:highlight w:val="none"/>
          <w:shd w:val="clear" w:color="auto" w:fill="FFFFFF"/>
        </w:rPr>
        <w:t xml:space="preserve">7.4.2.3. </w:t>
      </w:r>
      <w:r>
        <w:rPr>
          <w:rFonts w:hint="eastAsia" w:ascii="宋体" w:hAnsi="宋体"/>
          <w:kern w:val="44"/>
          <w:szCs w:val="21"/>
          <w:highlight w:val="none"/>
          <w:shd w:val="clear" w:color="auto" w:fill="FFFFFF"/>
        </w:rPr>
        <w:t>螺纹紧固连接件机械强度试验</w:t>
      </w:r>
      <w:r>
        <w:rPr>
          <w:highlight w:val="none"/>
        </w:rPr>
        <w:tab/>
      </w:r>
      <w:r>
        <w:rPr>
          <w:highlight w:val="none"/>
        </w:rPr>
        <w:fldChar w:fldCharType="begin"/>
      </w:r>
      <w:r>
        <w:rPr>
          <w:highlight w:val="none"/>
        </w:rPr>
        <w:instrText xml:space="preserve"> PAGEREF _Toc19163 </w:instrText>
      </w:r>
      <w:r>
        <w:rPr>
          <w:highlight w:val="none"/>
        </w:rPr>
        <w:fldChar w:fldCharType="separate"/>
      </w:r>
      <w:r>
        <w:rPr>
          <w:highlight w:val="none"/>
        </w:rPr>
        <w:t>17</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_Toc31200 </w:instrText>
      </w:r>
      <w:r>
        <w:rPr>
          <w:highlight w:val="none"/>
        </w:rPr>
        <w:fldChar w:fldCharType="separate"/>
      </w:r>
      <w:r>
        <w:rPr>
          <w:rFonts w:ascii="Times New Roman" w:hAnsi="Times New Roman"/>
          <w:kern w:val="44"/>
          <w:szCs w:val="21"/>
          <w:highlight w:val="none"/>
          <w:shd w:val="clear" w:color="auto" w:fill="FFFFFF"/>
        </w:rPr>
        <w:t xml:space="preserve">7.4.2.4. </w:t>
      </w:r>
      <w:r>
        <w:rPr>
          <w:rFonts w:hint="eastAsia" w:ascii="宋体" w:hAnsi="宋体"/>
          <w:kern w:val="44"/>
          <w:szCs w:val="21"/>
          <w:highlight w:val="none"/>
          <w:shd w:val="clear" w:color="auto" w:fill="FFFFFF"/>
        </w:rPr>
        <w:t>计量表箱外壳封闭防护等级（</w:t>
      </w:r>
      <w:r>
        <w:rPr>
          <w:rFonts w:ascii="宋体" w:hAnsi="宋体"/>
          <w:kern w:val="44"/>
          <w:szCs w:val="21"/>
          <w:highlight w:val="none"/>
          <w:shd w:val="clear" w:color="auto" w:fill="FFFFFF"/>
        </w:rPr>
        <w:t>IP</w:t>
      </w:r>
      <w:r>
        <w:rPr>
          <w:rFonts w:hint="eastAsia" w:ascii="宋体" w:hAnsi="宋体"/>
          <w:kern w:val="44"/>
          <w:szCs w:val="21"/>
          <w:highlight w:val="none"/>
          <w:shd w:val="clear" w:color="auto" w:fill="FFFFFF"/>
        </w:rPr>
        <w:t>代码）验证</w:t>
      </w:r>
      <w:r>
        <w:rPr>
          <w:highlight w:val="none"/>
        </w:rPr>
        <w:tab/>
      </w:r>
      <w:r>
        <w:rPr>
          <w:highlight w:val="none"/>
        </w:rPr>
        <w:fldChar w:fldCharType="begin"/>
      </w:r>
      <w:r>
        <w:rPr>
          <w:highlight w:val="none"/>
        </w:rPr>
        <w:instrText xml:space="preserve"> PAGEREF _Toc31200 </w:instrText>
      </w:r>
      <w:r>
        <w:rPr>
          <w:highlight w:val="none"/>
        </w:rPr>
        <w:fldChar w:fldCharType="separate"/>
      </w:r>
      <w:r>
        <w:rPr>
          <w:highlight w:val="none"/>
        </w:rPr>
        <w:t>17</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_Toc26345 </w:instrText>
      </w:r>
      <w:r>
        <w:rPr>
          <w:highlight w:val="none"/>
        </w:rPr>
        <w:fldChar w:fldCharType="separate"/>
      </w:r>
      <w:r>
        <w:rPr>
          <w:rFonts w:ascii="Times New Roman" w:hAnsi="Times New Roman"/>
          <w:kern w:val="44"/>
          <w:szCs w:val="21"/>
          <w:highlight w:val="none"/>
          <w:shd w:val="clear" w:color="auto" w:fill="FFFFFF"/>
        </w:rPr>
        <w:t xml:space="preserve">7.4.2.5. </w:t>
      </w:r>
      <w:r>
        <w:rPr>
          <w:rFonts w:hint="eastAsia" w:ascii="宋体" w:hAnsi="宋体"/>
          <w:kern w:val="44"/>
          <w:szCs w:val="21"/>
          <w:highlight w:val="none"/>
          <w:shd w:val="clear" w:color="auto" w:fill="FFFFFF"/>
        </w:rPr>
        <w:t>门锁性能试验及箱门、开关操作试验</w:t>
      </w:r>
      <w:r>
        <w:rPr>
          <w:highlight w:val="none"/>
        </w:rPr>
        <w:tab/>
      </w:r>
      <w:r>
        <w:rPr>
          <w:highlight w:val="none"/>
        </w:rPr>
        <w:fldChar w:fldCharType="begin"/>
      </w:r>
      <w:r>
        <w:rPr>
          <w:highlight w:val="none"/>
        </w:rPr>
        <w:instrText xml:space="preserve"> PAGEREF _Toc26345 </w:instrText>
      </w:r>
      <w:r>
        <w:rPr>
          <w:highlight w:val="none"/>
        </w:rPr>
        <w:fldChar w:fldCharType="separate"/>
      </w:r>
      <w:r>
        <w:rPr>
          <w:highlight w:val="none"/>
        </w:rPr>
        <w:t>18</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_Toc18547 </w:instrText>
      </w:r>
      <w:r>
        <w:rPr>
          <w:highlight w:val="none"/>
        </w:rPr>
        <w:fldChar w:fldCharType="separate"/>
      </w:r>
      <w:r>
        <w:rPr>
          <w:rFonts w:ascii="Times New Roman" w:hAnsi="Times New Roman"/>
          <w:kern w:val="44"/>
          <w:szCs w:val="21"/>
          <w:highlight w:val="none"/>
          <w:shd w:val="clear" w:color="auto" w:fill="FFFFFF"/>
        </w:rPr>
        <w:t xml:space="preserve">7.5. </w:t>
      </w:r>
      <w:r>
        <w:rPr>
          <w:rFonts w:hint="eastAsia" w:ascii="宋体" w:hAnsi="宋体"/>
          <w:kern w:val="44"/>
          <w:szCs w:val="21"/>
          <w:highlight w:val="none"/>
          <w:shd w:val="clear" w:color="auto" w:fill="FFFFFF"/>
        </w:rPr>
        <w:t>电气性能试验</w:t>
      </w:r>
      <w:r>
        <w:rPr>
          <w:highlight w:val="none"/>
        </w:rPr>
        <w:tab/>
      </w:r>
      <w:r>
        <w:rPr>
          <w:highlight w:val="none"/>
        </w:rPr>
        <w:fldChar w:fldCharType="begin"/>
      </w:r>
      <w:r>
        <w:rPr>
          <w:highlight w:val="none"/>
        </w:rPr>
        <w:instrText xml:space="preserve"> PAGEREF _Toc18547 </w:instrText>
      </w:r>
      <w:r>
        <w:rPr>
          <w:highlight w:val="none"/>
        </w:rPr>
        <w:fldChar w:fldCharType="separate"/>
      </w:r>
      <w:r>
        <w:rPr>
          <w:highlight w:val="none"/>
        </w:rPr>
        <w:t>18</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_Toc9493 </w:instrText>
      </w:r>
      <w:r>
        <w:rPr>
          <w:highlight w:val="none"/>
        </w:rPr>
        <w:fldChar w:fldCharType="separate"/>
      </w:r>
      <w:r>
        <w:rPr>
          <w:rFonts w:ascii="Times New Roman" w:hAnsi="Times New Roman"/>
          <w:kern w:val="44"/>
          <w:szCs w:val="21"/>
          <w:highlight w:val="none"/>
          <w:shd w:val="clear" w:color="auto" w:fill="FFFFFF"/>
        </w:rPr>
        <w:t xml:space="preserve">7.5.1. </w:t>
      </w:r>
      <w:r>
        <w:rPr>
          <w:rFonts w:hint="eastAsia" w:ascii="宋体" w:hAnsi="宋体"/>
          <w:kern w:val="44"/>
          <w:szCs w:val="21"/>
          <w:highlight w:val="none"/>
          <w:shd w:val="clear" w:color="auto" w:fill="FFFFFF"/>
        </w:rPr>
        <w:t>电气间隙、爬电距离检测</w:t>
      </w:r>
      <w:r>
        <w:rPr>
          <w:highlight w:val="none"/>
        </w:rPr>
        <w:tab/>
      </w:r>
      <w:r>
        <w:rPr>
          <w:highlight w:val="none"/>
        </w:rPr>
        <w:fldChar w:fldCharType="begin"/>
      </w:r>
      <w:r>
        <w:rPr>
          <w:highlight w:val="none"/>
        </w:rPr>
        <w:instrText xml:space="preserve"> PAGEREF _Toc9493 </w:instrText>
      </w:r>
      <w:r>
        <w:rPr>
          <w:highlight w:val="none"/>
        </w:rPr>
        <w:fldChar w:fldCharType="separate"/>
      </w:r>
      <w:r>
        <w:rPr>
          <w:highlight w:val="none"/>
        </w:rPr>
        <w:t>18</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_Toc23004 </w:instrText>
      </w:r>
      <w:r>
        <w:rPr>
          <w:highlight w:val="none"/>
        </w:rPr>
        <w:fldChar w:fldCharType="separate"/>
      </w:r>
      <w:r>
        <w:rPr>
          <w:rFonts w:ascii="Times New Roman" w:hAnsi="Times New Roman"/>
          <w:kern w:val="44"/>
          <w:szCs w:val="21"/>
          <w:highlight w:val="none"/>
          <w:shd w:val="clear" w:color="auto" w:fill="FFFFFF"/>
        </w:rPr>
        <w:t xml:space="preserve">7.5.2. </w:t>
      </w:r>
      <w:r>
        <w:rPr>
          <w:rFonts w:hint="eastAsia" w:ascii="宋体" w:hAnsi="宋体"/>
          <w:kern w:val="44"/>
          <w:szCs w:val="21"/>
          <w:highlight w:val="none"/>
          <w:shd w:val="clear" w:color="auto" w:fill="FFFFFF"/>
        </w:rPr>
        <w:t>保护电路有效性试验</w:t>
      </w:r>
      <w:r>
        <w:rPr>
          <w:highlight w:val="none"/>
        </w:rPr>
        <w:tab/>
      </w:r>
      <w:r>
        <w:rPr>
          <w:highlight w:val="none"/>
        </w:rPr>
        <w:fldChar w:fldCharType="begin"/>
      </w:r>
      <w:r>
        <w:rPr>
          <w:highlight w:val="none"/>
        </w:rPr>
        <w:instrText xml:space="preserve"> PAGEREF _Toc23004 </w:instrText>
      </w:r>
      <w:r>
        <w:rPr>
          <w:highlight w:val="none"/>
        </w:rPr>
        <w:fldChar w:fldCharType="separate"/>
      </w:r>
      <w:r>
        <w:rPr>
          <w:highlight w:val="none"/>
        </w:rPr>
        <w:t>18</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_Toc12335 </w:instrText>
      </w:r>
      <w:r>
        <w:rPr>
          <w:highlight w:val="none"/>
        </w:rPr>
        <w:fldChar w:fldCharType="separate"/>
      </w:r>
      <w:r>
        <w:rPr>
          <w:rFonts w:ascii="Times New Roman" w:hAnsi="Times New Roman"/>
          <w:kern w:val="44"/>
          <w:szCs w:val="21"/>
          <w:highlight w:val="none"/>
          <w:shd w:val="clear" w:color="auto" w:fill="FFFFFF"/>
        </w:rPr>
        <w:t xml:space="preserve">7.5.3. </w:t>
      </w:r>
      <w:r>
        <w:rPr>
          <w:rFonts w:hint="eastAsia" w:ascii="宋体" w:hAnsi="宋体"/>
          <w:kern w:val="44"/>
          <w:szCs w:val="21"/>
          <w:highlight w:val="none"/>
          <w:shd w:val="clear" w:color="auto" w:fill="FFFFFF"/>
        </w:rPr>
        <w:t>绝缘电阻试验</w:t>
      </w:r>
      <w:r>
        <w:rPr>
          <w:highlight w:val="none"/>
        </w:rPr>
        <w:tab/>
      </w:r>
      <w:r>
        <w:rPr>
          <w:highlight w:val="none"/>
        </w:rPr>
        <w:fldChar w:fldCharType="begin"/>
      </w:r>
      <w:r>
        <w:rPr>
          <w:highlight w:val="none"/>
        </w:rPr>
        <w:instrText xml:space="preserve"> PAGEREF _Toc12335 </w:instrText>
      </w:r>
      <w:r>
        <w:rPr>
          <w:highlight w:val="none"/>
        </w:rPr>
        <w:fldChar w:fldCharType="separate"/>
      </w:r>
      <w:r>
        <w:rPr>
          <w:highlight w:val="none"/>
        </w:rPr>
        <w:t>18</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_Toc4401 </w:instrText>
      </w:r>
      <w:r>
        <w:rPr>
          <w:highlight w:val="none"/>
        </w:rPr>
        <w:fldChar w:fldCharType="separate"/>
      </w:r>
      <w:r>
        <w:rPr>
          <w:rFonts w:ascii="Times New Roman" w:hAnsi="Times New Roman"/>
          <w:kern w:val="44"/>
          <w:szCs w:val="21"/>
          <w:highlight w:val="none"/>
          <w:shd w:val="clear" w:color="auto" w:fill="FFFFFF"/>
        </w:rPr>
        <w:t xml:space="preserve">7.5.4. </w:t>
      </w:r>
      <w:r>
        <w:rPr>
          <w:rFonts w:hint="eastAsia" w:ascii="宋体" w:hAnsi="宋体"/>
          <w:kern w:val="44"/>
          <w:szCs w:val="21"/>
          <w:highlight w:val="none"/>
          <w:shd w:val="clear" w:color="auto" w:fill="FFFFFF"/>
        </w:rPr>
        <w:t>介电性能试验</w:t>
      </w:r>
      <w:r>
        <w:rPr>
          <w:highlight w:val="none"/>
        </w:rPr>
        <w:tab/>
      </w:r>
      <w:r>
        <w:rPr>
          <w:highlight w:val="none"/>
        </w:rPr>
        <w:fldChar w:fldCharType="begin"/>
      </w:r>
      <w:r>
        <w:rPr>
          <w:highlight w:val="none"/>
        </w:rPr>
        <w:instrText xml:space="preserve"> PAGEREF _Toc4401 </w:instrText>
      </w:r>
      <w:r>
        <w:rPr>
          <w:highlight w:val="none"/>
        </w:rPr>
        <w:fldChar w:fldCharType="separate"/>
      </w:r>
      <w:r>
        <w:rPr>
          <w:highlight w:val="none"/>
        </w:rPr>
        <w:t>18</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_Toc15472 </w:instrText>
      </w:r>
      <w:r>
        <w:rPr>
          <w:highlight w:val="none"/>
        </w:rPr>
        <w:fldChar w:fldCharType="separate"/>
      </w:r>
      <w:r>
        <w:rPr>
          <w:rFonts w:ascii="Times New Roman" w:hAnsi="Times New Roman"/>
          <w:kern w:val="44"/>
          <w:szCs w:val="21"/>
          <w:highlight w:val="none"/>
          <w:shd w:val="clear" w:color="auto" w:fill="FFFFFF"/>
        </w:rPr>
        <w:t xml:space="preserve">7.5.5. </w:t>
      </w:r>
      <w:r>
        <w:rPr>
          <w:rFonts w:hint="eastAsia" w:ascii="宋体" w:hAnsi="宋体"/>
          <w:kern w:val="44"/>
          <w:szCs w:val="21"/>
          <w:highlight w:val="none"/>
          <w:shd w:val="clear" w:color="auto" w:fill="FFFFFF"/>
        </w:rPr>
        <w:t>温升极限试验</w:t>
      </w:r>
      <w:r>
        <w:rPr>
          <w:highlight w:val="none"/>
        </w:rPr>
        <w:tab/>
      </w:r>
      <w:r>
        <w:rPr>
          <w:highlight w:val="none"/>
        </w:rPr>
        <w:fldChar w:fldCharType="begin"/>
      </w:r>
      <w:r>
        <w:rPr>
          <w:highlight w:val="none"/>
        </w:rPr>
        <w:instrText xml:space="preserve"> PAGEREF _Toc15472 </w:instrText>
      </w:r>
      <w:r>
        <w:rPr>
          <w:highlight w:val="none"/>
        </w:rPr>
        <w:fldChar w:fldCharType="separate"/>
      </w:r>
      <w:r>
        <w:rPr>
          <w:highlight w:val="none"/>
        </w:rPr>
        <w:t>18</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_Toc8530 </w:instrText>
      </w:r>
      <w:r>
        <w:rPr>
          <w:highlight w:val="none"/>
        </w:rPr>
        <w:fldChar w:fldCharType="separate"/>
      </w:r>
      <w:r>
        <w:rPr>
          <w:rFonts w:ascii="Times New Roman" w:hAnsi="Times New Roman"/>
          <w:kern w:val="44"/>
          <w:szCs w:val="21"/>
          <w:highlight w:val="none"/>
          <w:shd w:val="clear" w:color="auto" w:fill="FFFFFF"/>
        </w:rPr>
        <w:t xml:space="preserve">7.5.6. </w:t>
      </w:r>
      <w:r>
        <w:rPr>
          <w:rFonts w:hint="eastAsia" w:ascii="宋体" w:hAnsi="宋体"/>
          <w:kern w:val="44"/>
          <w:szCs w:val="21"/>
          <w:highlight w:val="none"/>
          <w:shd w:val="clear" w:color="auto" w:fill="FFFFFF"/>
        </w:rPr>
        <w:t>电气开关性能检验</w:t>
      </w:r>
      <w:r>
        <w:rPr>
          <w:highlight w:val="none"/>
        </w:rPr>
        <w:tab/>
      </w:r>
      <w:r>
        <w:rPr>
          <w:highlight w:val="none"/>
        </w:rPr>
        <w:fldChar w:fldCharType="begin"/>
      </w:r>
      <w:r>
        <w:rPr>
          <w:highlight w:val="none"/>
        </w:rPr>
        <w:instrText xml:space="preserve"> PAGEREF _Toc8530 </w:instrText>
      </w:r>
      <w:r>
        <w:rPr>
          <w:highlight w:val="none"/>
        </w:rPr>
        <w:fldChar w:fldCharType="separate"/>
      </w:r>
      <w:r>
        <w:rPr>
          <w:highlight w:val="none"/>
        </w:rPr>
        <w:t>19</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_Toc2685 </w:instrText>
      </w:r>
      <w:r>
        <w:rPr>
          <w:highlight w:val="none"/>
        </w:rPr>
        <w:fldChar w:fldCharType="separate"/>
      </w:r>
      <w:r>
        <w:rPr>
          <w:rFonts w:ascii="Times New Roman" w:hAnsi="Times New Roman"/>
          <w:kern w:val="44"/>
          <w:szCs w:val="21"/>
          <w:highlight w:val="none"/>
          <w:shd w:val="clear" w:color="auto" w:fill="FFFFFF"/>
        </w:rPr>
        <w:t>8. 验收方法</w:t>
      </w:r>
      <w:r>
        <w:rPr>
          <w:highlight w:val="none"/>
        </w:rPr>
        <w:tab/>
      </w:r>
      <w:r>
        <w:rPr>
          <w:highlight w:val="none"/>
        </w:rPr>
        <w:fldChar w:fldCharType="begin"/>
      </w:r>
      <w:r>
        <w:rPr>
          <w:highlight w:val="none"/>
        </w:rPr>
        <w:instrText xml:space="preserve"> PAGEREF _Toc2685 </w:instrText>
      </w:r>
      <w:r>
        <w:rPr>
          <w:highlight w:val="none"/>
        </w:rPr>
        <w:fldChar w:fldCharType="separate"/>
      </w:r>
      <w:r>
        <w:rPr>
          <w:highlight w:val="none"/>
        </w:rPr>
        <w:t>19</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_Toc25717 </w:instrText>
      </w:r>
      <w:r>
        <w:rPr>
          <w:highlight w:val="none"/>
        </w:rPr>
        <w:fldChar w:fldCharType="separate"/>
      </w:r>
      <w:r>
        <w:rPr>
          <w:rFonts w:ascii="Times New Roman" w:hAnsi="Times New Roman"/>
          <w:kern w:val="44"/>
          <w:szCs w:val="21"/>
          <w:highlight w:val="none"/>
          <w:shd w:val="clear" w:color="auto" w:fill="FFFFFF"/>
        </w:rPr>
        <w:t xml:space="preserve">8.1. </w:t>
      </w:r>
      <w:r>
        <w:rPr>
          <w:rFonts w:hint="eastAsia" w:ascii="宋体" w:hAnsi="宋体"/>
          <w:kern w:val="44"/>
          <w:szCs w:val="21"/>
          <w:highlight w:val="none"/>
          <w:shd w:val="clear" w:color="auto" w:fill="FFFFFF"/>
        </w:rPr>
        <w:t>到货抽检</w:t>
      </w:r>
      <w:r>
        <w:rPr>
          <w:highlight w:val="none"/>
        </w:rPr>
        <w:tab/>
      </w:r>
      <w:r>
        <w:rPr>
          <w:highlight w:val="none"/>
        </w:rPr>
        <w:fldChar w:fldCharType="begin"/>
      </w:r>
      <w:r>
        <w:rPr>
          <w:highlight w:val="none"/>
        </w:rPr>
        <w:instrText xml:space="preserve"> PAGEREF _Toc25717 </w:instrText>
      </w:r>
      <w:r>
        <w:rPr>
          <w:highlight w:val="none"/>
        </w:rPr>
        <w:fldChar w:fldCharType="separate"/>
      </w:r>
      <w:r>
        <w:rPr>
          <w:highlight w:val="none"/>
        </w:rPr>
        <w:t>19</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_Toc16213 </w:instrText>
      </w:r>
      <w:r>
        <w:rPr>
          <w:highlight w:val="none"/>
        </w:rPr>
        <w:fldChar w:fldCharType="separate"/>
      </w:r>
      <w:r>
        <w:rPr>
          <w:rFonts w:ascii="Times New Roman" w:hAnsi="Times New Roman"/>
          <w:kern w:val="44"/>
          <w:szCs w:val="21"/>
          <w:highlight w:val="none"/>
          <w:shd w:val="clear" w:color="auto" w:fill="FFFFFF"/>
        </w:rPr>
        <w:t xml:space="preserve">8.1.1. </w:t>
      </w:r>
      <w:r>
        <w:rPr>
          <w:rFonts w:ascii="宋体" w:hAnsi="宋体"/>
          <w:kern w:val="44"/>
          <w:szCs w:val="21"/>
          <w:highlight w:val="none"/>
          <w:shd w:val="clear" w:color="auto" w:fill="FFFFFF"/>
        </w:rPr>
        <w:t>抽样方案</w:t>
      </w:r>
      <w:r>
        <w:rPr>
          <w:highlight w:val="none"/>
        </w:rPr>
        <w:tab/>
      </w:r>
      <w:r>
        <w:rPr>
          <w:highlight w:val="none"/>
        </w:rPr>
        <w:fldChar w:fldCharType="begin"/>
      </w:r>
      <w:r>
        <w:rPr>
          <w:highlight w:val="none"/>
        </w:rPr>
        <w:instrText xml:space="preserve"> PAGEREF _Toc16213 </w:instrText>
      </w:r>
      <w:r>
        <w:rPr>
          <w:highlight w:val="none"/>
        </w:rPr>
        <w:fldChar w:fldCharType="separate"/>
      </w:r>
      <w:r>
        <w:rPr>
          <w:highlight w:val="none"/>
        </w:rPr>
        <w:t>19</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_Toc14545 </w:instrText>
      </w:r>
      <w:r>
        <w:rPr>
          <w:highlight w:val="none"/>
        </w:rPr>
        <w:fldChar w:fldCharType="separate"/>
      </w:r>
      <w:r>
        <w:rPr>
          <w:rFonts w:ascii="Times New Roman" w:hAnsi="Times New Roman"/>
          <w:kern w:val="44"/>
          <w:szCs w:val="21"/>
          <w:highlight w:val="none"/>
          <w:shd w:val="clear" w:color="auto" w:fill="FFFFFF"/>
        </w:rPr>
        <w:t xml:space="preserve">8.1.2. </w:t>
      </w:r>
      <w:r>
        <w:rPr>
          <w:rFonts w:ascii="宋体" w:hAnsi="宋体"/>
          <w:kern w:val="44"/>
          <w:szCs w:val="21"/>
          <w:highlight w:val="none"/>
          <w:shd w:val="clear" w:color="auto" w:fill="FFFFFF"/>
        </w:rPr>
        <w:t>不合格分类</w:t>
      </w:r>
      <w:r>
        <w:rPr>
          <w:highlight w:val="none"/>
        </w:rPr>
        <w:tab/>
      </w:r>
      <w:r>
        <w:rPr>
          <w:highlight w:val="none"/>
        </w:rPr>
        <w:fldChar w:fldCharType="begin"/>
      </w:r>
      <w:r>
        <w:rPr>
          <w:highlight w:val="none"/>
        </w:rPr>
        <w:instrText xml:space="preserve"> PAGEREF _Toc14545 </w:instrText>
      </w:r>
      <w:r>
        <w:rPr>
          <w:highlight w:val="none"/>
        </w:rPr>
        <w:fldChar w:fldCharType="separate"/>
      </w:r>
      <w:r>
        <w:rPr>
          <w:highlight w:val="none"/>
        </w:rPr>
        <w:t>19</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_Toc8373 </w:instrText>
      </w:r>
      <w:r>
        <w:rPr>
          <w:highlight w:val="none"/>
        </w:rPr>
        <w:fldChar w:fldCharType="separate"/>
      </w:r>
      <w:r>
        <w:rPr>
          <w:rFonts w:ascii="Times New Roman" w:hAnsi="Times New Roman"/>
          <w:kern w:val="21"/>
          <w:highlight w:val="none"/>
        </w:rPr>
        <w:t xml:space="preserve">8.1.3. </w:t>
      </w:r>
      <w:r>
        <w:rPr>
          <w:rFonts w:ascii="宋体" w:hAnsi="宋体"/>
          <w:kern w:val="44"/>
          <w:szCs w:val="21"/>
          <w:highlight w:val="none"/>
          <w:shd w:val="clear" w:color="auto" w:fill="FFFFFF"/>
        </w:rPr>
        <w:t>检验结果的判定</w:t>
      </w:r>
      <w:r>
        <w:rPr>
          <w:highlight w:val="none"/>
        </w:rPr>
        <w:tab/>
      </w:r>
      <w:r>
        <w:rPr>
          <w:highlight w:val="none"/>
        </w:rPr>
        <w:fldChar w:fldCharType="begin"/>
      </w:r>
      <w:r>
        <w:rPr>
          <w:highlight w:val="none"/>
        </w:rPr>
        <w:instrText xml:space="preserve"> PAGEREF _Toc8373 </w:instrText>
      </w:r>
      <w:r>
        <w:rPr>
          <w:highlight w:val="none"/>
        </w:rPr>
        <w:fldChar w:fldCharType="separate"/>
      </w:r>
      <w:r>
        <w:rPr>
          <w:highlight w:val="none"/>
        </w:rPr>
        <w:t>19</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_Toc21486 </w:instrText>
      </w:r>
      <w:r>
        <w:rPr>
          <w:highlight w:val="none"/>
        </w:rPr>
        <w:fldChar w:fldCharType="separate"/>
      </w:r>
      <w:r>
        <w:rPr>
          <w:rFonts w:ascii="Times New Roman" w:hAnsi="Times New Roman"/>
          <w:kern w:val="44"/>
          <w:szCs w:val="21"/>
          <w:highlight w:val="none"/>
          <w:shd w:val="clear" w:color="auto" w:fill="FFFFFF"/>
        </w:rPr>
        <w:t xml:space="preserve">8.2. </w:t>
      </w:r>
      <w:r>
        <w:rPr>
          <w:rFonts w:hint="eastAsia" w:ascii="宋体" w:hAnsi="宋体"/>
          <w:kern w:val="44"/>
          <w:szCs w:val="21"/>
          <w:highlight w:val="none"/>
          <w:shd w:val="clear" w:color="auto" w:fill="FFFFFF"/>
        </w:rPr>
        <w:t>安装前检验</w:t>
      </w:r>
      <w:r>
        <w:rPr>
          <w:highlight w:val="none"/>
        </w:rPr>
        <w:tab/>
      </w:r>
      <w:r>
        <w:rPr>
          <w:highlight w:val="none"/>
        </w:rPr>
        <w:fldChar w:fldCharType="begin"/>
      </w:r>
      <w:r>
        <w:rPr>
          <w:highlight w:val="none"/>
        </w:rPr>
        <w:instrText xml:space="preserve"> PAGEREF _Toc21486 </w:instrText>
      </w:r>
      <w:r>
        <w:rPr>
          <w:highlight w:val="none"/>
        </w:rPr>
        <w:fldChar w:fldCharType="separate"/>
      </w:r>
      <w:r>
        <w:rPr>
          <w:highlight w:val="none"/>
        </w:rPr>
        <w:t>19</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_Toc455 </w:instrText>
      </w:r>
      <w:r>
        <w:rPr>
          <w:highlight w:val="none"/>
        </w:rPr>
        <w:fldChar w:fldCharType="separate"/>
      </w:r>
      <w:r>
        <w:rPr>
          <w:rFonts w:ascii="Times New Roman" w:hAnsi="Times New Roman"/>
          <w:kern w:val="44"/>
          <w:szCs w:val="21"/>
          <w:highlight w:val="none"/>
          <w:shd w:val="clear" w:color="auto" w:fill="FFFFFF"/>
        </w:rPr>
        <w:t xml:space="preserve">9. </w:t>
      </w:r>
      <w:r>
        <w:rPr>
          <w:rFonts w:hint="eastAsia" w:ascii="Times New Roman" w:hAnsi="Times New Roman"/>
          <w:kern w:val="44"/>
          <w:szCs w:val="21"/>
          <w:highlight w:val="none"/>
          <w:shd w:val="clear" w:color="auto" w:fill="FFFFFF"/>
        </w:rPr>
        <w:t>计量表箱包装、贮存、运输</w:t>
      </w:r>
      <w:r>
        <w:rPr>
          <w:highlight w:val="none"/>
        </w:rPr>
        <w:tab/>
      </w:r>
      <w:r>
        <w:rPr>
          <w:highlight w:val="none"/>
        </w:rPr>
        <w:fldChar w:fldCharType="begin"/>
      </w:r>
      <w:r>
        <w:rPr>
          <w:highlight w:val="none"/>
        </w:rPr>
        <w:instrText xml:space="preserve"> PAGEREF _Toc455 </w:instrText>
      </w:r>
      <w:r>
        <w:rPr>
          <w:highlight w:val="none"/>
        </w:rPr>
        <w:fldChar w:fldCharType="separate"/>
      </w:r>
      <w:r>
        <w:rPr>
          <w:highlight w:val="none"/>
        </w:rPr>
        <w:t>19</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_Toc18721 </w:instrText>
      </w:r>
      <w:r>
        <w:rPr>
          <w:highlight w:val="none"/>
        </w:rPr>
        <w:fldChar w:fldCharType="separate"/>
      </w:r>
      <w:r>
        <w:rPr>
          <w:rFonts w:ascii="Times New Roman" w:hAnsi="Times New Roman"/>
          <w:kern w:val="44"/>
          <w:szCs w:val="21"/>
          <w:highlight w:val="none"/>
          <w:shd w:val="clear" w:color="auto" w:fill="FFFFFF"/>
        </w:rPr>
        <w:t xml:space="preserve">9.1. </w:t>
      </w:r>
      <w:r>
        <w:rPr>
          <w:rFonts w:hint="eastAsia" w:ascii="宋体" w:hAnsi="宋体"/>
          <w:kern w:val="44"/>
          <w:szCs w:val="21"/>
          <w:highlight w:val="none"/>
          <w:shd w:val="clear" w:color="auto" w:fill="FFFFFF"/>
        </w:rPr>
        <w:t>包装</w:t>
      </w:r>
      <w:r>
        <w:rPr>
          <w:highlight w:val="none"/>
        </w:rPr>
        <w:tab/>
      </w:r>
      <w:r>
        <w:rPr>
          <w:highlight w:val="none"/>
        </w:rPr>
        <w:fldChar w:fldCharType="begin"/>
      </w:r>
      <w:r>
        <w:rPr>
          <w:highlight w:val="none"/>
        </w:rPr>
        <w:instrText xml:space="preserve"> PAGEREF _Toc18721 </w:instrText>
      </w:r>
      <w:r>
        <w:rPr>
          <w:highlight w:val="none"/>
        </w:rPr>
        <w:fldChar w:fldCharType="separate"/>
      </w:r>
      <w:r>
        <w:rPr>
          <w:highlight w:val="none"/>
        </w:rPr>
        <w:t>19</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_Toc18961 </w:instrText>
      </w:r>
      <w:r>
        <w:rPr>
          <w:highlight w:val="none"/>
        </w:rPr>
        <w:fldChar w:fldCharType="separate"/>
      </w:r>
      <w:r>
        <w:rPr>
          <w:rFonts w:ascii="Times New Roman" w:hAnsi="Times New Roman"/>
          <w:kern w:val="44"/>
          <w:szCs w:val="21"/>
          <w:highlight w:val="none"/>
          <w:shd w:val="clear" w:color="auto" w:fill="FFFFFF"/>
        </w:rPr>
        <w:t xml:space="preserve">9.1.1. </w:t>
      </w:r>
      <w:r>
        <w:rPr>
          <w:rFonts w:hint="eastAsia" w:ascii="宋体" w:hAnsi="宋体"/>
          <w:kern w:val="44"/>
          <w:szCs w:val="21"/>
          <w:highlight w:val="none"/>
          <w:shd w:val="clear" w:color="auto" w:fill="FFFFFF"/>
        </w:rPr>
        <w:t>总则</w:t>
      </w:r>
      <w:r>
        <w:rPr>
          <w:highlight w:val="none"/>
        </w:rPr>
        <w:tab/>
      </w:r>
      <w:r>
        <w:rPr>
          <w:highlight w:val="none"/>
        </w:rPr>
        <w:fldChar w:fldCharType="begin"/>
      </w:r>
      <w:r>
        <w:rPr>
          <w:highlight w:val="none"/>
        </w:rPr>
        <w:instrText xml:space="preserve"> PAGEREF _Toc18961 </w:instrText>
      </w:r>
      <w:r>
        <w:rPr>
          <w:highlight w:val="none"/>
        </w:rPr>
        <w:fldChar w:fldCharType="separate"/>
      </w:r>
      <w:r>
        <w:rPr>
          <w:highlight w:val="none"/>
        </w:rPr>
        <w:t>19</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_Toc9532 </w:instrText>
      </w:r>
      <w:r>
        <w:rPr>
          <w:highlight w:val="none"/>
        </w:rPr>
        <w:fldChar w:fldCharType="separate"/>
      </w:r>
      <w:r>
        <w:rPr>
          <w:rFonts w:ascii="Times New Roman" w:hAnsi="Times New Roman"/>
          <w:kern w:val="44"/>
          <w:szCs w:val="21"/>
          <w:highlight w:val="none"/>
          <w:shd w:val="clear" w:color="auto" w:fill="FFFFFF"/>
        </w:rPr>
        <w:t xml:space="preserve">9.1.2. </w:t>
      </w:r>
      <w:r>
        <w:rPr>
          <w:rFonts w:hint="eastAsia" w:ascii="宋体" w:hAnsi="宋体"/>
          <w:kern w:val="44"/>
          <w:szCs w:val="21"/>
          <w:highlight w:val="none"/>
          <w:shd w:val="clear" w:color="auto" w:fill="FFFFFF"/>
        </w:rPr>
        <w:t>产品包装</w:t>
      </w:r>
      <w:r>
        <w:rPr>
          <w:highlight w:val="none"/>
        </w:rPr>
        <w:tab/>
      </w:r>
      <w:r>
        <w:rPr>
          <w:highlight w:val="none"/>
        </w:rPr>
        <w:fldChar w:fldCharType="begin"/>
      </w:r>
      <w:r>
        <w:rPr>
          <w:highlight w:val="none"/>
        </w:rPr>
        <w:instrText xml:space="preserve"> PAGEREF _Toc9532 </w:instrText>
      </w:r>
      <w:r>
        <w:rPr>
          <w:highlight w:val="none"/>
        </w:rPr>
        <w:fldChar w:fldCharType="separate"/>
      </w:r>
      <w:r>
        <w:rPr>
          <w:highlight w:val="none"/>
        </w:rPr>
        <w:t>19</w:t>
      </w:r>
      <w:r>
        <w:rPr>
          <w:highlight w:val="none"/>
        </w:rPr>
        <w:fldChar w:fldCharType="end"/>
      </w:r>
      <w:r>
        <w:rPr>
          <w:highlight w:val="none"/>
        </w:rPr>
        <w:fldChar w:fldCharType="end"/>
      </w:r>
    </w:p>
    <w:p>
      <w:pPr>
        <w:pStyle w:val="22"/>
        <w:tabs>
          <w:tab w:val="right" w:leader="dot" w:pos="9071"/>
        </w:tabs>
        <w:rPr>
          <w:highlight w:val="none"/>
        </w:rPr>
      </w:pPr>
      <w:r>
        <w:rPr>
          <w:highlight w:val="none"/>
        </w:rPr>
        <w:fldChar w:fldCharType="begin"/>
      </w:r>
      <w:r>
        <w:rPr>
          <w:highlight w:val="none"/>
        </w:rPr>
        <w:instrText xml:space="preserve"> HYPERLINK \l _Toc4343 </w:instrText>
      </w:r>
      <w:r>
        <w:rPr>
          <w:highlight w:val="none"/>
        </w:rPr>
        <w:fldChar w:fldCharType="separate"/>
      </w:r>
      <w:r>
        <w:rPr>
          <w:rFonts w:ascii="Times New Roman" w:hAnsi="Times New Roman"/>
          <w:kern w:val="44"/>
          <w:szCs w:val="21"/>
          <w:highlight w:val="none"/>
          <w:shd w:val="clear" w:color="auto" w:fill="FFFFFF"/>
        </w:rPr>
        <w:t xml:space="preserve">9.1.3. </w:t>
      </w:r>
      <w:r>
        <w:rPr>
          <w:rFonts w:hint="eastAsia" w:ascii="宋体" w:hAnsi="宋体"/>
          <w:kern w:val="44"/>
          <w:szCs w:val="21"/>
          <w:highlight w:val="none"/>
          <w:shd w:val="clear" w:color="auto" w:fill="FFFFFF"/>
        </w:rPr>
        <w:t>运输包装</w:t>
      </w:r>
      <w:r>
        <w:rPr>
          <w:highlight w:val="none"/>
        </w:rPr>
        <w:tab/>
      </w:r>
      <w:r>
        <w:rPr>
          <w:highlight w:val="none"/>
        </w:rPr>
        <w:fldChar w:fldCharType="begin"/>
      </w:r>
      <w:r>
        <w:rPr>
          <w:highlight w:val="none"/>
        </w:rPr>
        <w:instrText xml:space="preserve"> PAGEREF _Toc4343 </w:instrText>
      </w:r>
      <w:r>
        <w:rPr>
          <w:highlight w:val="none"/>
        </w:rPr>
        <w:fldChar w:fldCharType="separate"/>
      </w:r>
      <w:r>
        <w:rPr>
          <w:highlight w:val="none"/>
        </w:rPr>
        <w:t>20</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_Toc20611 </w:instrText>
      </w:r>
      <w:r>
        <w:rPr>
          <w:highlight w:val="none"/>
        </w:rPr>
        <w:fldChar w:fldCharType="separate"/>
      </w:r>
      <w:r>
        <w:rPr>
          <w:rFonts w:ascii="Times New Roman" w:hAnsi="Times New Roman"/>
          <w:kern w:val="44"/>
          <w:szCs w:val="21"/>
          <w:highlight w:val="none"/>
          <w:shd w:val="clear" w:color="auto" w:fill="FFFFFF"/>
        </w:rPr>
        <w:t xml:space="preserve">9.2. </w:t>
      </w:r>
      <w:r>
        <w:rPr>
          <w:rFonts w:hint="eastAsia" w:ascii="宋体" w:hAnsi="宋体"/>
          <w:kern w:val="44"/>
          <w:szCs w:val="21"/>
          <w:highlight w:val="none"/>
          <w:shd w:val="clear" w:color="auto" w:fill="FFFFFF"/>
        </w:rPr>
        <w:t>贮存</w:t>
      </w:r>
      <w:r>
        <w:rPr>
          <w:highlight w:val="none"/>
        </w:rPr>
        <w:tab/>
      </w:r>
      <w:r>
        <w:rPr>
          <w:highlight w:val="none"/>
        </w:rPr>
        <w:fldChar w:fldCharType="begin"/>
      </w:r>
      <w:r>
        <w:rPr>
          <w:highlight w:val="none"/>
        </w:rPr>
        <w:instrText xml:space="preserve"> PAGEREF _Toc20611 </w:instrText>
      </w:r>
      <w:r>
        <w:rPr>
          <w:highlight w:val="none"/>
        </w:rPr>
        <w:fldChar w:fldCharType="separate"/>
      </w:r>
      <w:r>
        <w:rPr>
          <w:highlight w:val="none"/>
        </w:rPr>
        <w:t>20</w:t>
      </w:r>
      <w:r>
        <w:rPr>
          <w:highlight w:val="none"/>
        </w:rPr>
        <w:fldChar w:fldCharType="end"/>
      </w:r>
      <w:r>
        <w:rPr>
          <w:highlight w:val="none"/>
        </w:rPr>
        <w:fldChar w:fldCharType="end"/>
      </w:r>
    </w:p>
    <w:p>
      <w:pPr>
        <w:pStyle w:val="35"/>
        <w:tabs>
          <w:tab w:val="right" w:leader="dot" w:pos="9071"/>
        </w:tabs>
        <w:rPr>
          <w:highlight w:val="none"/>
        </w:rPr>
      </w:pPr>
      <w:r>
        <w:rPr>
          <w:highlight w:val="none"/>
        </w:rPr>
        <w:fldChar w:fldCharType="begin"/>
      </w:r>
      <w:r>
        <w:rPr>
          <w:highlight w:val="none"/>
        </w:rPr>
        <w:instrText xml:space="preserve"> HYPERLINK \l _Toc23129 </w:instrText>
      </w:r>
      <w:r>
        <w:rPr>
          <w:highlight w:val="none"/>
        </w:rPr>
        <w:fldChar w:fldCharType="separate"/>
      </w:r>
      <w:r>
        <w:rPr>
          <w:rFonts w:ascii="Times New Roman" w:hAnsi="Times New Roman"/>
          <w:szCs w:val="21"/>
          <w:highlight w:val="none"/>
        </w:rPr>
        <w:t xml:space="preserve">9.3. </w:t>
      </w:r>
      <w:r>
        <w:rPr>
          <w:rFonts w:hint="eastAsia" w:ascii="宋体" w:hAnsi="宋体"/>
          <w:kern w:val="44"/>
          <w:szCs w:val="21"/>
          <w:highlight w:val="none"/>
          <w:shd w:val="clear" w:color="auto" w:fill="FFFFFF"/>
        </w:rPr>
        <w:t>运输</w:t>
      </w:r>
      <w:r>
        <w:rPr>
          <w:highlight w:val="none"/>
        </w:rPr>
        <w:tab/>
      </w:r>
      <w:r>
        <w:rPr>
          <w:highlight w:val="none"/>
        </w:rPr>
        <w:fldChar w:fldCharType="begin"/>
      </w:r>
      <w:r>
        <w:rPr>
          <w:highlight w:val="none"/>
        </w:rPr>
        <w:instrText xml:space="preserve"> PAGEREF _Toc23129 </w:instrText>
      </w:r>
      <w:r>
        <w:rPr>
          <w:highlight w:val="none"/>
        </w:rPr>
        <w:fldChar w:fldCharType="separate"/>
      </w:r>
      <w:r>
        <w:rPr>
          <w:highlight w:val="none"/>
        </w:rPr>
        <w:t>20</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_Toc12629 </w:instrText>
      </w:r>
      <w:r>
        <w:rPr>
          <w:highlight w:val="none"/>
        </w:rPr>
        <w:fldChar w:fldCharType="separate"/>
      </w:r>
      <w:r>
        <w:rPr>
          <w:rFonts w:hint="eastAsia" w:ascii="Times New Roman" w:hAnsi="Times New Roman"/>
          <w:kern w:val="44"/>
          <w:szCs w:val="21"/>
          <w:highlight w:val="none"/>
          <w:shd w:val="clear" w:color="auto" w:fill="FFFFFF"/>
        </w:rPr>
        <w:t>附录A</w:t>
      </w:r>
      <w:r>
        <w:rPr>
          <w:rFonts w:ascii="Times New Roman" w:hAnsi="Times New Roman"/>
          <w:kern w:val="44"/>
          <w:szCs w:val="21"/>
          <w:highlight w:val="none"/>
          <w:shd w:val="clear" w:color="auto" w:fill="FFFFFF"/>
        </w:rPr>
        <w:t xml:space="preserve"> </w:t>
      </w:r>
      <w:r>
        <w:rPr>
          <w:rFonts w:hint="eastAsia" w:ascii="Times New Roman" w:hAnsi="Times New Roman"/>
          <w:kern w:val="44"/>
          <w:szCs w:val="21"/>
          <w:highlight w:val="none"/>
          <w:shd w:val="clear" w:color="auto" w:fill="FFFFFF"/>
        </w:rPr>
        <w:t>（规范性附录）</w:t>
      </w:r>
      <w:r>
        <w:rPr>
          <w:rFonts w:ascii="Times New Roman" w:hAnsi="Times New Roman"/>
          <w:kern w:val="44"/>
          <w:szCs w:val="21"/>
          <w:highlight w:val="none"/>
          <w:shd w:val="clear" w:color="auto" w:fill="FFFFFF"/>
        </w:rPr>
        <w:t xml:space="preserve"> 试验项目</w:t>
      </w:r>
      <w:r>
        <w:rPr>
          <w:rFonts w:hint="eastAsia" w:ascii="Times New Roman" w:hAnsi="Times New Roman"/>
          <w:kern w:val="44"/>
          <w:szCs w:val="21"/>
          <w:highlight w:val="none"/>
          <w:shd w:val="clear" w:color="auto" w:fill="FFFFFF"/>
        </w:rPr>
        <w:t>明细表</w:t>
      </w:r>
      <w:r>
        <w:rPr>
          <w:highlight w:val="none"/>
        </w:rPr>
        <w:tab/>
      </w:r>
      <w:r>
        <w:rPr>
          <w:highlight w:val="none"/>
        </w:rPr>
        <w:fldChar w:fldCharType="begin"/>
      </w:r>
      <w:r>
        <w:rPr>
          <w:highlight w:val="none"/>
        </w:rPr>
        <w:instrText xml:space="preserve"> PAGEREF _Toc12629 </w:instrText>
      </w:r>
      <w:r>
        <w:rPr>
          <w:highlight w:val="none"/>
        </w:rPr>
        <w:fldChar w:fldCharType="separate"/>
      </w:r>
      <w:r>
        <w:rPr>
          <w:highlight w:val="none"/>
        </w:rPr>
        <w:t>21</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_Toc9490 </w:instrText>
      </w:r>
      <w:r>
        <w:rPr>
          <w:highlight w:val="none"/>
        </w:rPr>
        <w:fldChar w:fldCharType="separate"/>
      </w:r>
      <w:r>
        <w:rPr>
          <w:rFonts w:hint="eastAsia" w:ascii="Times New Roman" w:hAnsi="Times New Roman"/>
          <w:kern w:val="44"/>
          <w:szCs w:val="21"/>
          <w:highlight w:val="none"/>
          <w:shd w:val="clear" w:color="auto" w:fill="FFFFFF"/>
        </w:rPr>
        <w:t>附录B</w:t>
      </w:r>
      <w:r>
        <w:rPr>
          <w:rFonts w:ascii="Times New Roman" w:hAnsi="Times New Roman"/>
          <w:kern w:val="44"/>
          <w:szCs w:val="21"/>
          <w:highlight w:val="none"/>
          <w:shd w:val="clear" w:color="auto" w:fill="FFFFFF"/>
        </w:rPr>
        <w:t xml:space="preserve"> </w:t>
      </w:r>
      <w:r>
        <w:rPr>
          <w:rFonts w:hint="eastAsia" w:ascii="Times New Roman" w:hAnsi="Times New Roman"/>
          <w:kern w:val="44"/>
          <w:szCs w:val="21"/>
          <w:highlight w:val="none"/>
          <w:shd w:val="clear" w:color="auto" w:fill="FFFFFF"/>
        </w:rPr>
        <w:t>（规范性附录）</w:t>
      </w:r>
      <w:r>
        <w:rPr>
          <w:rFonts w:ascii="Times New Roman" w:hAnsi="Times New Roman"/>
          <w:kern w:val="44"/>
          <w:szCs w:val="21"/>
          <w:highlight w:val="none"/>
          <w:shd w:val="clear" w:color="auto" w:fill="FFFFFF"/>
        </w:rPr>
        <w:t xml:space="preserve"> </w:t>
      </w:r>
      <w:r>
        <w:rPr>
          <w:rFonts w:hint="eastAsia" w:ascii="Times New Roman" w:hAnsi="Times New Roman"/>
          <w:kern w:val="44"/>
          <w:szCs w:val="21"/>
          <w:highlight w:val="none"/>
          <w:shd w:val="clear" w:color="auto" w:fill="FFFFFF"/>
        </w:rPr>
        <w:t>计量表箱铭牌样式</w:t>
      </w:r>
      <w:r>
        <w:rPr>
          <w:highlight w:val="none"/>
        </w:rPr>
        <w:tab/>
      </w:r>
      <w:r>
        <w:rPr>
          <w:highlight w:val="none"/>
        </w:rPr>
        <w:fldChar w:fldCharType="begin"/>
      </w:r>
      <w:r>
        <w:rPr>
          <w:highlight w:val="none"/>
        </w:rPr>
        <w:instrText xml:space="preserve"> PAGEREF _Toc9490 </w:instrText>
      </w:r>
      <w:r>
        <w:rPr>
          <w:highlight w:val="none"/>
        </w:rPr>
        <w:fldChar w:fldCharType="separate"/>
      </w:r>
      <w:r>
        <w:rPr>
          <w:highlight w:val="none"/>
        </w:rPr>
        <w:t>22</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_Toc7481 </w:instrText>
      </w:r>
      <w:r>
        <w:rPr>
          <w:highlight w:val="none"/>
        </w:rPr>
        <w:fldChar w:fldCharType="separate"/>
      </w:r>
      <w:r>
        <w:rPr>
          <w:rFonts w:hint="eastAsia" w:ascii="Times New Roman" w:hAnsi="Times New Roman"/>
          <w:kern w:val="44"/>
          <w:szCs w:val="21"/>
          <w:highlight w:val="none"/>
          <w:shd w:val="clear" w:color="auto" w:fill="FFFFFF"/>
        </w:rPr>
        <w:t>附录C</w:t>
      </w:r>
      <w:r>
        <w:rPr>
          <w:rFonts w:ascii="Times New Roman" w:hAnsi="Times New Roman"/>
          <w:kern w:val="44"/>
          <w:szCs w:val="21"/>
          <w:highlight w:val="none"/>
          <w:shd w:val="clear" w:color="auto" w:fill="FFFFFF"/>
        </w:rPr>
        <w:t xml:space="preserve"> </w:t>
      </w:r>
      <w:r>
        <w:rPr>
          <w:rFonts w:hint="eastAsia" w:ascii="Times New Roman" w:hAnsi="Times New Roman"/>
          <w:kern w:val="44"/>
          <w:szCs w:val="21"/>
          <w:highlight w:val="none"/>
          <w:shd w:val="clear" w:color="auto" w:fill="FFFFFF"/>
        </w:rPr>
        <w:t>（规范性附录）</w:t>
      </w:r>
      <w:r>
        <w:rPr>
          <w:rFonts w:ascii="Times New Roman" w:hAnsi="Times New Roman"/>
          <w:kern w:val="44"/>
          <w:szCs w:val="21"/>
          <w:highlight w:val="none"/>
          <w:shd w:val="clear" w:color="auto" w:fill="FFFFFF"/>
        </w:rPr>
        <w:t xml:space="preserve"> </w:t>
      </w:r>
      <w:r>
        <w:rPr>
          <w:rFonts w:hint="eastAsia" w:ascii="Times New Roman" w:hAnsi="Times New Roman"/>
          <w:kern w:val="44"/>
          <w:szCs w:val="21"/>
          <w:highlight w:val="none"/>
          <w:shd w:val="clear" w:color="auto" w:fill="FFFFFF"/>
        </w:rPr>
        <w:t>低压费控计量表箱外观尺寸图</w:t>
      </w:r>
      <w:r>
        <w:rPr>
          <w:highlight w:val="none"/>
        </w:rPr>
        <w:tab/>
      </w:r>
      <w:r>
        <w:rPr>
          <w:highlight w:val="none"/>
        </w:rPr>
        <w:fldChar w:fldCharType="begin"/>
      </w:r>
      <w:r>
        <w:rPr>
          <w:highlight w:val="none"/>
        </w:rPr>
        <w:instrText xml:space="preserve"> PAGEREF _Toc7481 </w:instrText>
      </w:r>
      <w:r>
        <w:rPr>
          <w:highlight w:val="none"/>
        </w:rPr>
        <w:fldChar w:fldCharType="separate"/>
      </w:r>
      <w:r>
        <w:rPr>
          <w:highlight w:val="none"/>
        </w:rPr>
        <w:t>23</w:t>
      </w:r>
      <w:r>
        <w:rPr>
          <w:highlight w:val="none"/>
        </w:rPr>
        <w:fldChar w:fldCharType="end"/>
      </w:r>
      <w:r>
        <w:rPr>
          <w:highlight w:val="none"/>
        </w:rPr>
        <w:fldChar w:fldCharType="end"/>
      </w:r>
    </w:p>
    <w:p>
      <w:pPr>
        <w:pStyle w:val="30"/>
        <w:tabs>
          <w:tab w:val="right" w:leader="dot" w:pos="9071"/>
          <w:tab w:val="clear" w:pos="9017"/>
        </w:tabs>
        <w:rPr>
          <w:highlight w:val="none"/>
        </w:rPr>
      </w:pPr>
      <w:r>
        <w:rPr>
          <w:highlight w:val="none"/>
        </w:rPr>
        <w:fldChar w:fldCharType="begin"/>
      </w:r>
      <w:r>
        <w:rPr>
          <w:highlight w:val="none"/>
        </w:rPr>
        <w:instrText xml:space="preserve"> HYPERLINK \l _Toc16986 </w:instrText>
      </w:r>
      <w:r>
        <w:rPr>
          <w:highlight w:val="none"/>
        </w:rPr>
        <w:fldChar w:fldCharType="separate"/>
      </w:r>
      <w:r>
        <w:rPr>
          <w:rFonts w:hint="eastAsia" w:ascii="宋体" w:hAnsi="宋体"/>
          <w:kern w:val="44"/>
          <w:szCs w:val="21"/>
          <w:highlight w:val="none"/>
          <w:shd w:val="clear" w:color="auto" w:fill="FFFFFF"/>
        </w:rPr>
        <w:t>附录D</w:t>
      </w:r>
      <w:r>
        <w:rPr>
          <w:rFonts w:ascii="宋体" w:hAnsi="宋体"/>
          <w:kern w:val="44"/>
          <w:szCs w:val="21"/>
          <w:highlight w:val="none"/>
          <w:shd w:val="clear" w:color="auto" w:fill="FFFFFF"/>
        </w:rPr>
        <w:t xml:space="preserve"> </w:t>
      </w:r>
      <w:r>
        <w:rPr>
          <w:rFonts w:hint="eastAsia" w:ascii="宋体" w:hAnsi="宋体"/>
          <w:kern w:val="44"/>
          <w:szCs w:val="21"/>
          <w:highlight w:val="none"/>
          <w:shd w:val="clear" w:color="auto" w:fill="FFFFFF"/>
        </w:rPr>
        <w:t>（规范性附录）</w:t>
      </w:r>
      <w:r>
        <w:rPr>
          <w:rFonts w:ascii="宋体" w:hAnsi="宋体"/>
          <w:kern w:val="44"/>
          <w:szCs w:val="21"/>
          <w:highlight w:val="none"/>
          <w:shd w:val="clear" w:color="auto" w:fill="FFFFFF"/>
        </w:rPr>
        <w:t xml:space="preserve"> </w:t>
      </w:r>
      <w:r>
        <w:rPr>
          <w:rFonts w:hint="eastAsia" w:ascii="宋体" w:hAnsi="宋体"/>
          <w:kern w:val="44"/>
          <w:szCs w:val="21"/>
          <w:highlight w:val="none"/>
          <w:shd w:val="clear" w:color="auto" w:fill="FFFFFF"/>
        </w:rPr>
        <w:t>外观标识样式图</w:t>
      </w:r>
      <w:r>
        <w:rPr>
          <w:highlight w:val="none"/>
        </w:rPr>
        <w:tab/>
      </w:r>
      <w:r>
        <w:rPr>
          <w:highlight w:val="none"/>
        </w:rPr>
        <w:fldChar w:fldCharType="begin"/>
      </w:r>
      <w:r>
        <w:rPr>
          <w:highlight w:val="none"/>
        </w:rPr>
        <w:instrText xml:space="preserve"> PAGEREF _Toc16986 </w:instrText>
      </w:r>
      <w:r>
        <w:rPr>
          <w:highlight w:val="none"/>
        </w:rPr>
        <w:fldChar w:fldCharType="separate"/>
      </w:r>
      <w:r>
        <w:rPr>
          <w:highlight w:val="none"/>
        </w:rPr>
        <w:t>47</w:t>
      </w:r>
      <w:r>
        <w:rPr>
          <w:highlight w:val="none"/>
        </w:rPr>
        <w:fldChar w:fldCharType="end"/>
      </w:r>
      <w:r>
        <w:rPr>
          <w:highlight w:val="none"/>
        </w:rPr>
        <w:fldChar w:fldCharType="end"/>
      </w:r>
    </w:p>
    <w:p>
      <w:pPr>
        <w:rPr>
          <w:highlight w:val="none"/>
        </w:rPr>
      </w:pPr>
      <w:r>
        <w:rPr>
          <w:highlight w:val="none"/>
        </w:rPr>
        <w:fldChar w:fldCharType="end"/>
      </w:r>
    </w:p>
    <w:p>
      <w:pPr>
        <w:widowControl/>
        <w:jc w:val="left"/>
        <w:rPr>
          <w:highlight w:val="none"/>
        </w:rPr>
        <w:sectPr>
          <w:footerReference r:id="rId3" w:type="default"/>
          <w:pgSz w:w="11907" w:h="16840"/>
          <w:pgMar w:top="1418" w:right="1418" w:bottom="1418" w:left="1418" w:header="851" w:footer="964" w:gutter="0"/>
          <w:cols w:space="720" w:num="1"/>
          <w:docGrid w:linePitch="312" w:charSpace="0"/>
        </w:sectPr>
      </w:pPr>
      <w:r>
        <w:rPr>
          <w:highlight w:val="none"/>
        </w:rPr>
        <w:br w:type="page"/>
      </w:r>
    </w:p>
    <w:bookmarkEnd w:id="6"/>
    <w:p>
      <w:pPr>
        <w:pStyle w:val="2"/>
        <w:keepLines/>
        <w:numPr>
          <w:ilvl w:val="0"/>
          <w:numId w:val="25"/>
        </w:numPr>
        <w:topLinePunct/>
        <w:adjustRightInd w:val="0"/>
        <w:spacing w:line="360" w:lineRule="auto"/>
        <w:rPr>
          <w:rFonts w:ascii="Times New Roman" w:hAnsi="Times New Roman"/>
          <w:b/>
          <w:w w:val="100"/>
          <w:kern w:val="44"/>
          <w:sz w:val="21"/>
          <w:szCs w:val="21"/>
          <w:highlight w:val="none"/>
          <w:shd w:val="clear" w:color="auto" w:fill="FFFFFF"/>
        </w:rPr>
      </w:pPr>
      <w:bookmarkStart w:id="31" w:name="_Toc503970321"/>
      <w:bookmarkEnd w:id="31"/>
      <w:bookmarkStart w:id="32" w:name="_Toc503947002"/>
      <w:bookmarkEnd w:id="32"/>
      <w:bookmarkStart w:id="33" w:name="_Toc503970322"/>
      <w:bookmarkEnd w:id="33"/>
      <w:bookmarkStart w:id="34" w:name="_Toc503970325"/>
      <w:bookmarkEnd w:id="34"/>
      <w:bookmarkStart w:id="35" w:name="_Toc503970324"/>
      <w:bookmarkEnd w:id="35"/>
      <w:bookmarkStart w:id="36" w:name="_Toc503947163"/>
      <w:bookmarkEnd w:id="36"/>
      <w:bookmarkStart w:id="37" w:name="_Toc503970320"/>
      <w:bookmarkEnd w:id="37"/>
      <w:bookmarkStart w:id="38" w:name="_Toc503947164"/>
      <w:bookmarkEnd w:id="38"/>
      <w:bookmarkStart w:id="39" w:name="_Toc503947165"/>
      <w:bookmarkEnd w:id="39"/>
      <w:bookmarkStart w:id="40" w:name="_Toc503970323"/>
      <w:bookmarkEnd w:id="40"/>
      <w:bookmarkStart w:id="41" w:name="_Toc503947000"/>
      <w:bookmarkEnd w:id="41"/>
      <w:bookmarkStart w:id="42" w:name="_Toc503946999"/>
      <w:bookmarkEnd w:id="42"/>
      <w:bookmarkStart w:id="43" w:name="_Toc503947166"/>
      <w:bookmarkEnd w:id="43"/>
      <w:bookmarkStart w:id="44" w:name="_Toc503947001"/>
      <w:bookmarkEnd w:id="44"/>
      <w:bookmarkStart w:id="45" w:name="_Toc503970326"/>
      <w:bookmarkEnd w:id="45"/>
      <w:bookmarkStart w:id="46" w:name="_Toc8284"/>
      <w:bookmarkStart w:id="47" w:name="_Toc407271700"/>
      <w:bookmarkStart w:id="48" w:name="_Toc236731912"/>
      <w:r>
        <w:rPr>
          <w:rFonts w:ascii="Times New Roman" w:hAnsi="Times New Roman"/>
          <w:b/>
          <w:w w:val="100"/>
          <w:kern w:val="44"/>
          <w:sz w:val="21"/>
          <w:szCs w:val="21"/>
          <w:highlight w:val="none"/>
          <w:shd w:val="clear" w:color="auto" w:fill="FFFFFF"/>
        </w:rPr>
        <w:t>范围</w:t>
      </w:r>
      <w:bookmarkEnd w:id="46"/>
      <w:bookmarkEnd w:id="47"/>
    </w:p>
    <w:p>
      <w:pPr>
        <w:spacing w:line="360" w:lineRule="auto"/>
        <w:ind w:firstLine="420" w:firstLineChars="200"/>
        <w:rPr>
          <w:highlight w:val="none"/>
        </w:rPr>
      </w:pPr>
      <w:r>
        <w:rPr>
          <w:highlight w:val="none"/>
        </w:rPr>
        <w:t>本</w:t>
      </w:r>
      <w:r>
        <w:rPr>
          <w:rFonts w:hint="eastAsia"/>
          <w:highlight w:val="none"/>
        </w:rPr>
        <w:t>标准规定了</w:t>
      </w:r>
      <w:r>
        <w:rPr>
          <w:rFonts w:hint="eastAsia" w:cs="宋体"/>
          <w:szCs w:val="21"/>
          <w:highlight w:val="none"/>
        </w:rPr>
        <w:t>深圳供电局有限公司</w:t>
      </w:r>
      <w:r>
        <w:rPr>
          <w:rFonts w:hint="eastAsia" w:cs="Arial"/>
          <w:szCs w:val="24"/>
          <w:highlight w:val="none"/>
        </w:rPr>
        <w:t>范围内额定电压为交流380V及以下低压费控计量表箱（以下简称计量表箱）使用条件、功能要求、使用要求、试验要求等</w:t>
      </w:r>
      <w:r>
        <w:rPr>
          <w:highlight w:val="none"/>
        </w:rPr>
        <w:t>。</w:t>
      </w:r>
    </w:p>
    <w:p>
      <w:pPr>
        <w:spacing w:line="360" w:lineRule="auto"/>
        <w:ind w:firstLine="404" w:firstLineChars="200"/>
        <w:rPr>
          <w:highlight w:val="none"/>
        </w:rPr>
      </w:pPr>
      <w:r>
        <w:rPr>
          <w:rFonts w:hint="eastAsia"/>
          <w:spacing w:val="-4"/>
          <w:highlight w:val="none"/>
        </w:rPr>
        <w:t>本标准适用于公司系统计量表箱的招标、订货、检验、验收和安装使用。</w:t>
      </w:r>
      <w:r>
        <w:rPr>
          <w:spacing w:val="-4"/>
          <w:highlight w:val="none"/>
        </w:rPr>
        <w:t>凡本</w:t>
      </w:r>
      <w:r>
        <w:rPr>
          <w:rFonts w:hint="eastAsia"/>
          <w:highlight w:val="none"/>
        </w:rPr>
        <w:t>标准</w:t>
      </w:r>
      <w:r>
        <w:rPr>
          <w:spacing w:val="-4"/>
          <w:highlight w:val="none"/>
        </w:rPr>
        <w:t>中未</w:t>
      </w:r>
      <w:r>
        <w:rPr>
          <w:rFonts w:hint="eastAsia"/>
          <w:spacing w:val="-4"/>
          <w:highlight w:val="none"/>
        </w:rPr>
        <w:t>述及</w:t>
      </w:r>
      <w:r>
        <w:rPr>
          <w:spacing w:val="-4"/>
          <w:highlight w:val="none"/>
        </w:rPr>
        <w:t>，但在</w:t>
      </w:r>
      <w:r>
        <w:rPr>
          <w:rFonts w:hint="eastAsia"/>
          <w:spacing w:val="-4"/>
          <w:highlight w:val="none"/>
        </w:rPr>
        <w:t>有</w:t>
      </w:r>
      <w:r>
        <w:rPr>
          <w:spacing w:val="-4"/>
          <w:highlight w:val="none"/>
        </w:rPr>
        <w:t>关国家、电力行业或IEC</w:t>
      </w:r>
      <w:r>
        <w:rPr>
          <w:rFonts w:hint="eastAsia"/>
          <w:spacing w:val="-4"/>
          <w:highlight w:val="none"/>
        </w:rPr>
        <w:t>等</w:t>
      </w:r>
      <w:r>
        <w:rPr>
          <w:spacing w:val="-4"/>
          <w:highlight w:val="none"/>
        </w:rPr>
        <w:t>标准中</w:t>
      </w:r>
      <w:r>
        <w:rPr>
          <w:rFonts w:hint="eastAsia"/>
          <w:spacing w:val="-4"/>
          <w:highlight w:val="none"/>
        </w:rPr>
        <w:t>做了</w:t>
      </w:r>
      <w:r>
        <w:rPr>
          <w:spacing w:val="-4"/>
          <w:highlight w:val="none"/>
        </w:rPr>
        <w:t>规定的条文，应按相应标准执行</w:t>
      </w:r>
      <w:r>
        <w:rPr>
          <w:highlight w:val="none"/>
        </w:rPr>
        <w:t>。</w:t>
      </w:r>
    </w:p>
    <w:p>
      <w:pPr>
        <w:pStyle w:val="2"/>
        <w:keepLines/>
        <w:numPr>
          <w:ilvl w:val="0"/>
          <w:numId w:val="25"/>
        </w:numPr>
        <w:topLinePunct/>
        <w:adjustRightInd w:val="0"/>
        <w:spacing w:before="120" w:beforeLines="50" w:line="360" w:lineRule="auto"/>
        <w:rPr>
          <w:rFonts w:ascii="Times New Roman" w:hAnsi="Times New Roman"/>
          <w:b/>
          <w:w w:val="100"/>
          <w:kern w:val="44"/>
          <w:sz w:val="21"/>
          <w:szCs w:val="21"/>
          <w:highlight w:val="none"/>
          <w:shd w:val="clear" w:color="auto" w:fill="FFFFFF"/>
        </w:rPr>
      </w:pPr>
      <w:bookmarkStart w:id="49" w:name="_Toc407271701"/>
      <w:bookmarkStart w:id="50" w:name="_Toc18042"/>
      <w:bookmarkStart w:id="51" w:name="_Toc236731911"/>
      <w:r>
        <w:rPr>
          <w:rFonts w:hint="eastAsia" w:ascii="Times New Roman" w:hAnsi="Times New Roman"/>
          <w:b/>
          <w:w w:val="100"/>
          <w:kern w:val="44"/>
          <w:sz w:val="21"/>
          <w:szCs w:val="21"/>
          <w:highlight w:val="none"/>
          <w:shd w:val="clear" w:color="auto" w:fill="FFFFFF"/>
        </w:rPr>
        <w:t>规</w:t>
      </w:r>
      <w:r>
        <w:rPr>
          <w:rFonts w:ascii="Times New Roman" w:hAnsi="Times New Roman"/>
          <w:b/>
          <w:w w:val="100"/>
          <w:kern w:val="44"/>
          <w:sz w:val="21"/>
          <w:szCs w:val="21"/>
          <w:highlight w:val="none"/>
          <w:shd w:val="clear" w:color="auto" w:fill="FFFFFF"/>
        </w:rPr>
        <w:t>范性引用文件</w:t>
      </w:r>
      <w:bookmarkEnd w:id="49"/>
      <w:bookmarkEnd w:id="50"/>
    </w:p>
    <w:p>
      <w:pPr>
        <w:spacing w:line="360" w:lineRule="auto"/>
        <w:ind w:firstLine="420" w:firstLineChars="200"/>
        <w:rPr>
          <w:rFonts w:hint="eastAsia"/>
          <w:szCs w:val="21"/>
          <w:highlight w:val="none"/>
        </w:rPr>
      </w:pPr>
      <w:r>
        <w:rPr>
          <w:rFonts w:hint="eastAsia"/>
          <w:szCs w:val="21"/>
          <w:highlight w:val="none"/>
        </w:rPr>
        <w:t>下列文件中的条款通过本标准的引用而成为本标准的条款。凡是注日期的引用文件，其随后所有的修改单（不包括勘误的内容）或修订版均不适用于本标准，然而，鼓励根据本标准达成协议的各方研究是否使用这些文件的最新版本。凡是不注日期的引用文件，其最新版本适用于本标准。</w:t>
      </w:r>
    </w:p>
    <w:p>
      <w:pPr>
        <w:pStyle w:val="69"/>
        <w:topLinePunct/>
        <w:spacing w:line="360" w:lineRule="auto"/>
        <w:ind w:firstLine="425"/>
        <w:rPr>
          <w:rFonts w:eastAsia="宋体" w:cs="Arial"/>
          <w:sz w:val="21"/>
          <w:szCs w:val="21"/>
          <w:highlight w:val="none"/>
        </w:rPr>
      </w:pPr>
      <w:bookmarkStart w:id="52" w:name="OLE_LINK4"/>
      <w:bookmarkStart w:id="53" w:name="OLE_LINK3"/>
      <w:bookmarkStart w:id="54" w:name="OLE_LINK5"/>
      <w:bookmarkStart w:id="55" w:name="OLE_LINK6"/>
      <w:bookmarkStart w:id="56" w:name="OLE_LINK2"/>
      <w:bookmarkStart w:id="57" w:name="OLE_LINK1"/>
      <w:r>
        <w:rPr>
          <w:rFonts w:eastAsia="宋体" w:cs="Arial"/>
          <w:sz w:val="21"/>
          <w:szCs w:val="21"/>
          <w:highlight w:val="none"/>
        </w:rPr>
        <w:t>GB</w:t>
      </w:r>
      <w:r>
        <w:rPr>
          <w:rFonts w:hint="eastAsia" w:eastAsia="宋体" w:cs="Arial"/>
          <w:sz w:val="21"/>
          <w:szCs w:val="21"/>
          <w:highlight w:val="none"/>
        </w:rPr>
        <w:t>/T 191</w:t>
      </w:r>
      <w:bookmarkEnd w:id="52"/>
      <w:bookmarkEnd w:id="53"/>
      <w:bookmarkEnd w:id="54"/>
      <w:bookmarkEnd w:id="55"/>
      <w:bookmarkEnd w:id="56"/>
      <w:bookmarkEnd w:id="57"/>
      <w:r>
        <w:rPr>
          <w:rFonts w:hint="eastAsia" w:eastAsia="宋体" w:cs="Arial"/>
          <w:sz w:val="21"/>
          <w:szCs w:val="21"/>
          <w:highlight w:val="none"/>
        </w:rPr>
        <w:t>-2008         包装储运图示标志</w:t>
      </w:r>
    </w:p>
    <w:p>
      <w:pPr>
        <w:pStyle w:val="69"/>
        <w:topLinePunct/>
        <w:spacing w:line="360" w:lineRule="auto"/>
        <w:ind w:firstLine="425"/>
        <w:rPr>
          <w:rFonts w:eastAsia="宋体" w:cs="Arial"/>
          <w:sz w:val="21"/>
          <w:szCs w:val="21"/>
          <w:highlight w:val="none"/>
        </w:rPr>
      </w:pPr>
      <w:r>
        <w:rPr>
          <w:rFonts w:eastAsia="宋体" w:cs="Arial"/>
          <w:sz w:val="21"/>
          <w:szCs w:val="21"/>
          <w:highlight w:val="none"/>
        </w:rPr>
        <w:t xml:space="preserve">GB/T </w:t>
      </w:r>
      <w:r>
        <w:rPr>
          <w:rFonts w:hint="eastAsia" w:eastAsia="宋体" w:cs="Arial"/>
          <w:sz w:val="21"/>
          <w:szCs w:val="21"/>
          <w:highlight w:val="none"/>
        </w:rPr>
        <w:t>2423.22—</w:t>
      </w:r>
      <w:r>
        <w:rPr>
          <w:rFonts w:eastAsia="宋体" w:cs="Arial"/>
          <w:sz w:val="21"/>
          <w:szCs w:val="21"/>
          <w:highlight w:val="none"/>
        </w:rPr>
        <w:t>20</w:t>
      </w:r>
      <w:r>
        <w:rPr>
          <w:rFonts w:hint="eastAsia" w:eastAsia="宋体" w:cs="Arial"/>
          <w:sz w:val="21"/>
          <w:szCs w:val="21"/>
          <w:highlight w:val="none"/>
        </w:rPr>
        <w:t>12    电工电子产品环境试验 第2部分：试验方法 试验N：温度变化</w:t>
      </w:r>
    </w:p>
    <w:p>
      <w:pPr>
        <w:pStyle w:val="69"/>
        <w:topLinePunct/>
        <w:spacing w:line="360" w:lineRule="auto"/>
        <w:ind w:firstLine="425"/>
        <w:rPr>
          <w:rFonts w:eastAsia="宋体" w:cs="Arial"/>
          <w:sz w:val="21"/>
          <w:szCs w:val="21"/>
          <w:highlight w:val="none"/>
        </w:rPr>
      </w:pPr>
      <w:r>
        <w:rPr>
          <w:rFonts w:eastAsia="宋体" w:cs="Arial"/>
          <w:sz w:val="21"/>
          <w:szCs w:val="21"/>
          <w:highlight w:val="none"/>
        </w:rPr>
        <w:t>GB</w:t>
      </w:r>
      <w:r>
        <w:rPr>
          <w:rFonts w:hint="eastAsia" w:eastAsia="宋体" w:cs="Arial"/>
          <w:sz w:val="21"/>
          <w:szCs w:val="21"/>
          <w:highlight w:val="none"/>
        </w:rPr>
        <w:t xml:space="preserve"> 4208-20</w:t>
      </w:r>
      <w:r>
        <w:rPr>
          <w:rFonts w:hint="eastAsia" w:eastAsia="宋体" w:cs="Arial"/>
          <w:sz w:val="21"/>
          <w:szCs w:val="21"/>
          <w:highlight w:val="none"/>
          <w:lang w:val="en-US" w:eastAsia="zh-CN"/>
        </w:rPr>
        <w:t>17</w:t>
      </w:r>
      <w:r>
        <w:rPr>
          <w:rFonts w:hint="eastAsia" w:eastAsia="宋体" w:cs="Arial"/>
          <w:sz w:val="21"/>
          <w:szCs w:val="21"/>
          <w:highlight w:val="none"/>
        </w:rPr>
        <w:t xml:space="preserve">          外壳防护等级（IP代码）</w:t>
      </w:r>
    </w:p>
    <w:p>
      <w:pPr>
        <w:pStyle w:val="69"/>
        <w:topLinePunct/>
        <w:spacing w:line="360" w:lineRule="auto"/>
        <w:ind w:firstLine="425"/>
        <w:rPr>
          <w:rFonts w:eastAsia="宋体" w:cs="Arial"/>
          <w:sz w:val="21"/>
          <w:szCs w:val="21"/>
          <w:highlight w:val="none"/>
        </w:rPr>
      </w:pPr>
      <w:r>
        <w:rPr>
          <w:rFonts w:hint="eastAsia" w:eastAsia="宋体" w:cs="Arial"/>
          <w:sz w:val="21"/>
          <w:szCs w:val="21"/>
          <w:highlight w:val="none"/>
        </w:rPr>
        <w:t>GB/T 1043.1－2008     塑料 简支梁冲击性能的测定 第1部分：非仪器化冲击试验</w:t>
      </w:r>
    </w:p>
    <w:p>
      <w:pPr>
        <w:spacing w:line="360" w:lineRule="auto"/>
        <w:ind w:firstLine="420" w:firstLineChars="200"/>
        <w:rPr>
          <w:rFonts w:cs="Arial"/>
          <w:szCs w:val="24"/>
          <w:highlight w:val="none"/>
          <w:shd w:val="clear" w:color="auto" w:fill="FFFFFF"/>
        </w:rPr>
      </w:pPr>
      <w:r>
        <w:rPr>
          <w:rFonts w:cs="Arial"/>
          <w:szCs w:val="24"/>
          <w:highlight w:val="none"/>
          <w:shd w:val="clear" w:color="auto" w:fill="FFFFFF"/>
        </w:rPr>
        <w:t>GB/</w:t>
      </w:r>
      <w:r>
        <w:rPr>
          <w:rFonts w:hint="eastAsia" w:cs="Arial"/>
          <w:szCs w:val="24"/>
          <w:highlight w:val="none"/>
          <w:shd w:val="clear" w:color="auto" w:fill="FFFFFF"/>
        </w:rPr>
        <w:t>T</w:t>
      </w:r>
      <w:r>
        <w:rPr>
          <w:rFonts w:cs="Arial"/>
          <w:szCs w:val="24"/>
          <w:highlight w:val="none"/>
          <w:shd w:val="clear" w:color="auto" w:fill="FFFFFF"/>
        </w:rPr>
        <w:t xml:space="preserve"> </w:t>
      </w:r>
      <w:r>
        <w:rPr>
          <w:rFonts w:hint="eastAsia" w:cs="Arial"/>
          <w:szCs w:val="24"/>
          <w:highlight w:val="none"/>
          <w:shd w:val="clear" w:color="auto" w:fill="FFFFFF"/>
        </w:rPr>
        <w:t>9341</w:t>
      </w:r>
      <w:r>
        <w:rPr>
          <w:rFonts w:hAnsi="宋体" w:cs="Arial"/>
          <w:szCs w:val="24"/>
          <w:highlight w:val="none"/>
          <w:shd w:val="clear" w:color="auto" w:fill="FFFFFF"/>
        </w:rPr>
        <w:t>－</w:t>
      </w:r>
      <w:r>
        <w:rPr>
          <w:rFonts w:cs="Arial"/>
          <w:szCs w:val="24"/>
          <w:highlight w:val="none"/>
          <w:shd w:val="clear" w:color="auto" w:fill="FFFFFF"/>
        </w:rPr>
        <w:t>200</w:t>
      </w:r>
      <w:r>
        <w:rPr>
          <w:rFonts w:hint="eastAsia" w:cs="Arial"/>
          <w:szCs w:val="24"/>
          <w:highlight w:val="none"/>
          <w:shd w:val="clear" w:color="auto" w:fill="FFFFFF"/>
        </w:rPr>
        <w:t>8</w:t>
      </w:r>
      <w:r>
        <w:rPr>
          <w:rFonts w:hint="eastAsia" w:cs="Arial"/>
          <w:szCs w:val="24"/>
          <w:highlight w:val="none"/>
          <w:shd w:val="clear" w:color="auto" w:fill="FFFFFF"/>
        </w:rPr>
        <w:tab/>
      </w:r>
      <w:r>
        <w:rPr>
          <w:rFonts w:hint="eastAsia" w:cs="Arial"/>
          <w:szCs w:val="24"/>
          <w:highlight w:val="none"/>
          <w:shd w:val="clear" w:color="auto" w:fill="FFFFFF"/>
        </w:rPr>
        <w:t xml:space="preserve"> </w:t>
      </w:r>
      <w:r>
        <w:rPr>
          <w:rFonts w:cs="Arial"/>
          <w:szCs w:val="24"/>
          <w:highlight w:val="none"/>
          <w:shd w:val="clear" w:color="auto" w:fill="FFFFFF"/>
        </w:rPr>
        <w:tab/>
      </w:r>
      <w:r>
        <w:rPr>
          <w:rFonts w:hint="eastAsia" w:cs="Arial"/>
          <w:szCs w:val="24"/>
          <w:highlight w:val="none"/>
          <w:shd w:val="clear" w:color="auto" w:fill="FFFFFF"/>
        </w:rPr>
        <w:t xml:space="preserve"> </w:t>
      </w:r>
      <w:r>
        <w:rPr>
          <w:rFonts w:hint="eastAsia" w:hAnsi="宋体" w:cs="Arial"/>
          <w:szCs w:val="24"/>
          <w:highlight w:val="none"/>
          <w:shd w:val="clear" w:color="auto" w:fill="FFFFFF"/>
        </w:rPr>
        <w:t>塑料 弯曲性能的测定</w:t>
      </w:r>
    </w:p>
    <w:p>
      <w:pPr>
        <w:spacing w:line="360" w:lineRule="auto"/>
        <w:ind w:firstLine="420" w:firstLineChars="200"/>
        <w:rPr>
          <w:rFonts w:hAnsi="宋体" w:cs="Arial"/>
          <w:szCs w:val="24"/>
          <w:highlight w:val="none"/>
          <w:shd w:val="clear" w:color="auto" w:fill="FFFFFF"/>
        </w:rPr>
      </w:pPr>
      <w:bookmarkStart w:id="58" w:name="OLE_LINK8"/>
      <w:bookmarkStart w:id="59" w:name="OLE_LINK7"/>
      <w:r>
        <w:rPr>
          <w:rFonts w:hint="eastAsia" w:cs="Arial"/>
          <w:szCs w:val="24"/>
          <w:highlight w:val="none"/>
          <w:shd w:val="clear" w:color="auto" w:fill="FFFFFF"/>
        </w:rPr>
        <w:t>GB/T 13384</w:t>
      </w:r>
      <w:bookmarkEnd w:id="58"/>
      <w:bookmarkEnd w:id="59"/>
      <w:r>
        <w:rPr>
          <w:rFonts w:hint="eastAsia" w:cs="Arial"/>
          <w:szCs w:val="24"/>
          <w:highlight w:val="none"/>
          <w:shd w:val="clear" w:color="auto" w:fill="FFFFFF"/>
        </w:rPr>
        <w:t>－2008</w:t>
      </w:r>
      <w:r>
        <w:rPr>
          <w:rFonts w:hint="eastAsia" w:cs="Arial"/>
          <w:szCs w:val="24"/>
          <w:highlight w:val="none"/>
          <w:shd w:val="clear" w:color="auto" w:fill="FFFFFF"/>
        </w:rPr>
        <w:tab/>
      </w:r>
      <w:r>
        <w:rPr>
          <w:rFonts w:hint="eastAsia" w:hAnsi="宋体" w:cs="Arial"/>
          <w:szCs w:val="24"/>
          <w:highlight w:val="none"/>
          <w:shd w:val="clear" w:color="auto" w:fill="FFFFFF"/>
        </w:rPr>
        <w:t>　　</w:t>
      </w:r>
      <w:r>
        <w:rPr>
          <w:rFonts w:hint="eastAsia" w:cs="Arial"/>
          <w:szCs w:val="24"/>
          <w:highlight w:val="none"/>
          <w:shd w:val="clear" w:color="auto" w:fill="FFFFFF"/>
        </w:rPr>
        <w:t xml:space="preserve"> </w:t>
      </w:r>
      <w:r>
        <w:rPr>
          <w:rFonts w:hint="eastAsia" w:hAnsi="宋体" w:cs="Arial"/>
          <w:szCs w:val="24"/>
          <w:highlight w:val="none"/>
          <w:shd w:val="clear" w:color="auto" w:fill="FFFFFF"/>
        </w:rPr>
        <w:t>机电产品包装通用技术条件</w:t>
      </w:r>
    </w:p>
    <w:p>
      <w:pPr>
        <w:spacing w:line="360" w:lineRule="auto"/>
        <w:ind w:firstLine="420" w:firstLineChars="200"/>
        <w:rPr>
          <w:rFonts w:hAnsi="宋体" w:cs="Arial"/>
          <w:szCs w:val="24"/>
          <w:highlight w:val="none"/>
          <w:shd w:val="clear" w:color="auto" w:fill="FFFFFF"/>
        </w:rPr>
      </w:pPr>
      <w:bookmarkStart w:id="60" w:name="OLE_LINK9"/>
      <w:r>
        <w:rPr>
          <w:rFonts w:hint="eastAsia" w:hAnsi="宋体" w:cs="Arial"/>
          <w:szCs w:val="24"/>
          <w:highlight w:val="none"/>
          <w:shd w:val="clear" w:color="auto" w:fill="FFFFFF"/>
        </w:rPr>
        <w:t>GB/T 14048.2</w:t>
      </w:r>
      <w:bookmarkEnd w:id="60"/>
      <w:r>
        <w:rPr>
          <w:rFonts w:hint="eastAsia" w:hAnsi="宋体" w:cs="Arial"/>
          <w:szCs w:val="24"/>
          <w:highlight w:val="none"/>
          <w:shd w:val="clear" w:color="auto" w:fill="FFFFFF"/>
        </w:rPr>
        <w:t>－</w:t>
      </w:r>
      <w:r>
        <w:rPr>
          <w:rFonts w:hint="eastAsia" w:hAnsi="宋体" w:cs="Arial"/>
          <w:szCs w:val="24"/>
          <w:highlight w:val="none"/>
          <w:shd w:val="clear" w:color="auto" w:fill="FFFFFF"/>
          <w:lang w:val="en-US" w:eastAsia="zh-CN"/>
        </w:rPr>
        <w:t>2020</w:t>
      </w:r>
      <w:r>
        <w:rPr>
          <w:rFonts w:hint="eastAsia" w:hAnsi="宋体" w:cs="Arial"/>
          <w:szCs w:val="24"/>
          <w:highlight w:val="none"/>
          <w:shd w:val="clear" w:color="auto" w:fill="FFFFFF"/>
        </w:rPr>
        <w:tab/>
      </w:r>
      <w:r>
        <w:rPr>
          <w:rFonts w:hint="eastAsia" w:hAnsi="宋体" w:cs="Arial"/>
          <w:szCs w:val="24"/>
          <w:highlight w:val="none"/>
          <w:shd w:val="clear" w:color="auto" w:fill="FFFFFF"/>
        </w:rPr>
        <w:t xml:space="preserve"> 低压开关设备和控制设备 第2部分：断路器</w:t>
      </w:r>
    </w:p>
    <w:p>
      <w:pPr>
        <w:spacing w:line="360" w:lineRule="auto"/>
        <w:ind w:firstLine="420" w:firstLineChars="200"/>
        <w:rPr>
          <w:rFonts w:hAnsi="宋体" w:cs="Arial"/>
          <w:szCs w:val="24"/>
          <w:highlight w:val="none"/>
          <w:shd w:val="clear" w:color="auto" w:fill="FFFFFF"/>
        </w:rPr>
      </w:pPr>
      <w:bookmarkStart w:id="61" w:name="OLE_LINK10"/>
      <w:bookmarkStart w:id="62" w:name="OLE_LINK11"/>
      <w:r>
        <w:rPr>
          <w:rFonts w:hint="eastAsia" w:hAnsi="宋体" w:cs="Arial"/>
          <w:szCs w:val="24"/>
          <w:highlight w:val="none"/>
          <w:shd w:val="clear" w:color="auto" w:fill="FFFFFF"/>
        </w:rPr>
        <w:t>GB/T 14048.3</w:t>
      </w:r>
      <w:bookmarkEnd w:id="61"/>
      <w:bookmarkEnd w:id="62"/>
      <w:r>
        <w:rPr>
          <w:rFonts w:hint="eastAsia" w:hAnsi="宋体" w:cs="Arial"/>
          <w:szCs w:val="24"/>
          <w:highlight w:val="none"/>
          <w:shd w:val="clear" w:color="auto" w:fill="FFFFFF"/>
        </w:rPr>
        <w:t>－</w:t>
      </w:r>
      <w:r>
        <w:rPr>
          <w:rFonts w:hint="eastAsia" w:hAnsi="宋体" w:cs="Arial"/>
          <w:szCs w:val="24"/>
          <w:highlight w:val="none"/>
          <w:shd w:val="clear" w:color="auto" w:fill="FFFFFF"/>
          <w:lang w:val="en-US" w:eastAsia="zh-CN"/>
        </w:rPr>
        <w:t>2017</w:t>
      </w:r>
      <w:r>
        <w:rPr>
          <w:rFonts w:hint="eastAsia" w:hAnsi="宋体" w:cs="Arial"/>
          <w:szCs w:val="24"/>
          <w:highlight w:val="none"/>
          <w:shd w:val="clear" w:color="auto" w:fill="FFFFFF"/>
        </w:rPr>
        <w:tab/>
      </w:r>
      <w:r>
        <w:rPr>
          <w:rFonts w:hint="eastAsia" w:hAnsi="宋体" w:cs="Arial"/>
          <w:szCs w:val="24"/>
          <w:highlight w:val="none"/>
          <w:shd w:val="clear" w:color="auto" w:fill="FFFFFF"/>
        </w:rPr>
        <w:t xml:space="preserve"> 低压开关设备和控制设备 第3部分：开关、隔离器、隔离开关以及熔断器组合电器</w:t>
      </w:r>
    </w:p>
    <w:p>
      <w:pPr>
        <w:spacing w:line="360" w:lineRule="auto"/>
        <w:ind w:firstLine="420" w:firstLineChars="200"/>
        <w:rPr>
          <w:rFonts w:hAnsi="宋体" w:cs="Arial"/>
          <w:szCs w:val="24"/>
          <w:highlight w:val="none"/>
          <w:shd w:val="clear" w:color="auto" w:fill="FFFFFF"/>
        </w:rPr>
      </w:pPr>
      <w:bookmarkStart w:id="63" w:name="OLE_LINK12"/>
      <w:r>
        <w:rPr>
          <w:rFonts w:hint="eastAsia" w:hAnsi="宋体" w:cs="Arial"/>
          <w:szCs w:val="24"/>
          <w:highlight w:val="none"/>
          <w:shd w:val="clear" w:color="auto" w:fill="FFFFFF"/>
        </w:rPr>
        <w:t>GB/T 18663.1</w:t>
      </w:r>
      <w:bookmarkEnd w:id="63"/>
      <w:r>
        <w:rPr>
          <w:rFonts w:hint="eastAsia" w:hAnsi="宋体" w:cs="Arial"/>
          <w:szCs w:val="24"/>
          <w:highlight w:val="none"/>
          <w:shd w:val="clear" w:color="auto" w:fill="FFFFFF"/>
        </w:rPr>
        <w:t>－2008</w:t>
      </w:r>
      <w:r>
        <w:rPr>
          <w:rFonts w:hint="eastAsia" w:hAnsi="宋体" w:cs="Arial"/>
          <w:szCs w:val="24"/>
          <w:highlight w:val="none"/>
          <w:shd w:val="clear" w:color="auto" w:fill="FFFFFF"/>
        </w:rPr>
        <w:tab/>
      </w:r>
      <w:r>
        <w:rPr>
          <w:rFonts w:hint="eastAsia" w:hAnsi="宋体" w:cs="Arial"/>
          <w:szCs w:val="24"/>
          <w:highlight w:val="none"/>
          <w:shd w:val="clear" w:color="auto" w:fill="FFFFFF"/>
        </w:rPr>
        <w:t xml:space="preserve"> 电子设备机械结构 公制系列和英制系列的试验 第1部分: 机柜、机架、插箱和机箱的气候、机械试验及安全要求</w:t>
      </w:r>
    </w:p>
    <w:p>
      <w:pPr>
        <w:spacing w:line="360" w:lineRule="auto"/>
        <w:ind w:firstLine="420" w:firstLineChars="200"/>
        <w:rPr>
          <w:rFonts w:cs="Arial"/>
          <w:szCs w:val="24"/>
          <w:highlight w:val="none"/>
          <w:shd w:val="clear" w:color="auto" w:fill="FFFFFF"/>
        </w:rPr>
      </w:pPr>
      <w:bookmarkStart w:id="64" w:name="OLE_LINK14"/>
      <w:bookmarkStart w:id="65" w:name="OLE_LINK15"/>
      <w:bookmarkStart w:id="66" w:name="OLE_LINK13"/>
      <w:r>
        <w:rPr>
          <w:rFonts w:hint="eastAsia" w:cs="Arial"/>
          <w:szCs w:val="24"/>
          <w:highlight w:val="none"/>
          <w:shd w:val="clear" w:color="auto" w:fill="FFFFFF"/>
        </w:rPr>
        <w:t>GB/T 20641</w:t>
      </w:r>
      <w:bookmarkEnd w:id="64"/>
      <w:bookmarkEnd w:id="65"/>
      <w:bookmarkEnd w:id="66"/>
      <w:r>
        <w:rPr>
          <w:rFonts w:hint="eastAsia" w:cs="Arial"/>
          <w:szCs w:val="24"/>
          <w:highlight w:val="none"/>
          <w:shd w:val="clear" w:color="auto" w:fill="FFFFFF"/>
        </w:rPr>
        <w:t>－2014</w:t>
      </w:r>
      <w:r>
        <w:rPr>
          <w:rFonts w:hint="eastAsia" w:cs="Arial"/>
          <w:szCs w:val="24"/>
          <w:highlight w:val="none"/>
          <w:shd w:val="clear" w:color="auto" w:fill="FFFFFF"/>
        </w:rPr>
        <w:tab/>
      </w:r>
      <w:r>
        <w:rPr>
          <w:rFonts w:hint="eastAsia" w:cs="Arial"/>
          <w:szCs w:val="24"/>
          <w:highlight w:val="none"/>
          <w:shd w:val="clear" w:color="auto" w:fill="FFFFFF"/>
        </w:rPr>
        <w:t xml:space="preserve">     低压成套开关设备和控制设备 空壳体的一般要求</w:t>
      </w:r>
    </w:p>
    <w:p>
      <w:pPr>
        <w:pStyle w:val="69"/>
        <w:topLinePunct/>
        <w:spacing w:line="360" w:lineRule="auto"/>
        <w:ind w:firstLineChars="200"/>
        <w:rPr>
          <w:rFonts w:eastAsia="宋体" w:cs="Arial"/>
          <w:sz w:val="21"/>
          <w:szCs w:val="21"/>
          <w:highlight w:val="none"/>
        </w:rPr>
      </w:pPr>
      <w:bookmarkStart w:id="67" w:name="OLE_LINK17"/>
      <w:bookmarkStart w:id="68" w:name="OLE_LINK16"/>
      <w:r>
        <w:rPr>
          <w:rFonts w:eastAsia="宋体" w:cs="Arial"/>
          <w:sz w:val="21"/>
          <w:szCs w:val="21"/>
          <w:highlight w:val="none"/>
        </w:rPr>
        <w:t xml:space="preserve">GB/T </w:t>
      </w:r>
      <w:r>
        <w:rPr>
          <w:rFonts w:hint="eastAsia" w:eastAsia="宋体" w:cs="Arial"/>
          <w:sz w:val="21"/>
          <w:szCs w:val="21"/>
          <w:highlight w:val="none"/>
        </w:rPr>
        <w:t>23641</w:t>
      </w:r>
      <w:bookmarkEnd w:id="67"/>
      <w:bookmarkEnd w:id="68"/>
      <w:r>
        <w:rPr>
          <w:rFonts w:hint="eastAsia" w:eastAsia="宋体" w:cs="Arial"/>
          <w:sz w:val="21"/>
          <w:szCs w:val="21"/>
          <w:highlight w:val="none"/>
        </w:rPr>
        <w:t>-</w:t>
      </w:r>
      <w:r>
        <w:rPr>
          <w:rFonts w:hint="eastAsia" w:eastAsia="宋体" w:cs="Arial"/>
          <w:sz w:val="21"/>
          <w:szCs w:val="21"/>
          <w:highlight w:val="none"/>
          <w:lang w:val="en-US" w:eastAsia="zh-CN"/>
        </w:rPr>
        <w:t>2018</w:t>
      </w:r>
      <w:r>
        <w:rPr>
          <w:rFonts w:hint="eastAsia" w:eastAsia="宋体" w:cs="Arial"/>
          <w:sz w:val="21"/>
          <w:szCs w:val="21"/>
          <w:highlight w:val="none"/>
        </w:rPr>
        <w:t xml:space="preserve">      电气用纤维增强不饱和聚酯模塑料</w:t>
      </w:r>
    </w:p>
    <w:p>
      <w:pPr>
        <w:pStyle w:val="69"/>
        <w:topLinePunct/>
        <w:spacing w:line="360" w:lineRule="auto"/>
        <w:ind w:firstLineChars="200"/>
        <w:rPr>
          <w:rFonts w:eastAsia="宋体" w:cs="Arial"/>
          <w:sz w:val="21"/>
          <w:szCs w:val="21"/>
          <w:highlight w:val="none"/>
        </w:rPr>
      </w:pPr>
      <w:bookmarkStart w:id="69" w:name="OLE_LINK18"/>
      <w:r>
        <w:rPr>
          <w:rFonts w:hint="eastAsia" w:eastAsia="宋体" w:cs="Arial"/>
          <w:sz w:val="21"/>
          <w:szCs w:val="21"/>
          <w:highlight w:val="none"/>
        </w:rPr>
        <w:t>GB 10963.1</w:t>
      </w:r>
      <w:bookmarkEnd w:id="69"/>
      <w:r>
        <w:rPr>
          <w:rFonts w:hint="eastAsia" w:eastAsia="宋体" w:cs="Arial"/>
          <w:sz w:val="21"/>
          <w:szCs w:val="21"/>
          <w:highlight w:val="none"/>
        </w:rPr>
        <w:t>－</w:t>
      </w:r>
      <w:r>
        <w:rPr>
          <w:rFonts w:hint="eastAsia" w:eastAsia="宋体" w:cs="Arial"/>
          <w:sz w:val="21"/>
          <w:szCs w:val="21"/>
          <w:highlight w:val="none"/>
          <w:lang w:val="en-US" w:eastAsia="zh-CN"/>
        </w:rPr>
        <w:t>2020</w:t>
      </w:r>
      <w:r>
        <w:rPr>
          <w:rFonts w:hint="eastAsia" w:eastAsia="宋体" w:cs="Arial"/>
          <w:sz w:val="21"/>
          <w:szCs w:val="21"/>
          <w:highlight w:val="none"/>
        </w:rPr>
        <w:t xml:space="preserve">     电气附件 家用及类似场所用过电流保护断路器 第1部分 ：用于交流的断路器</w:t>
      </w:r>
    </w:p>
    <w:p>
      <w:pPr>
        <w:pStyle w:val="69"/>
        <w:topLinePunct/>
        <w:spacing w:line="360" w:lineRule="auto"/>
        <w:ind w:firstLineChars="200"/>
        <w:rPr>
          <w:rFonts w:eastAsia="宋体" w:cs="Arial"/>
          <w:sz w:val="21"/>
          <w:szCs w:val="21"/>
          <w:highlight w:val="none"/>
        </w:rPr>
      </w:pPr>
      <w:bookmarkStart w:id="70" w:name="OLE_LINK19"/>
      <w:r>
        <w:rPr>
          <w:rFonts w:hint="eastAsia" w:eastAsia="宋体" w:cs="Arial"/>
          <w:sz w:val="21"/>
          <w:szCs w:val="21"/>
          <w:highlight w:val="none"/>
        </w:rPr>
        <w:t>GB 50254</w:t>
      </w:r>
      <w:bookmarkEnd w:id="70"/>
      <w:r>
        <w:rPr>
          <w:rFonts w:hint="eastAsia" w:eastAsia="宋体" w:cs="Arial"/>
          <w:sz w:val="21"/>
          <w:szCs w:val="21"/>
          <w:highlight w:val="none"/>
        </w:rPr>
        <w:t>-2014        电气安装工程低压电器施工及验收规范</w:t>
      </w:r>
    </w:p>
    <w:p>
      <w:pPr>
        <w:pStyle w:val="69"/>
        <w:topLinePunct/>
        <w:spacing w:line="360" w:lineRule="auto"/>
        <w:ind w:firstLineChars="200"/>
        <w:rPr>
          <w:rFonts w:eastAsia="宋体" w:cs="Arial"/>
          <w:sz w:val="21"/>
          <w:szCs w:val="21"/>
          <w:highlight w:val="none"/>
        </w:rPr>
      </w:pPr>
      <w:bookmarkStart w:id="71" w:name="OLE_LINK20"/>
      <w:r>
        <w:rPr>
          <w:rFonts w:hint="eastAsia" w:eastAsia="宋体" w:cs="Arial"/>
          <w:sz w:val="21"/>
          <w:szCs w:val="21"/>
          <w:highlight w:val="none"/>
        </w:rPr>
        <w:t>GB/T 25293</w:t>
      </w:r>
      <w:bookmarkEnd w:id="71"/>
      <w:r>
        <w:rPr>
          <w:rFonts w:hint="eastAsia" w:eastAsia="宋体" w:cs="Arial"/>
          <w:sz w:val="21"/>
          <w:szCs w:val="21"/>
          <w:highlight w:val="none"/>
        </w:rPr>
        <w:t>-2010      电工电子设备机柜 机械门锁</w:t>
      </w:r>
    </w:p>
    <w:p>
      <w:pPr>
        <w:pStyle w:val="69"/>
        <w:topLinePunct/>
        <w:spacing w:line="360" w:lineRule="auto"/>
        <w:ind w:firstLineChars="200"/>
        <w:rPr>
          <w:rFonts w:eastAsia="宋体" w:cs="Arial"/>
          <w:sz w:val="21"/>
          <w:szCs w:val="21"/>
          <w:highlight w:val="none"/>
        </w:rPr>
      </w:pPr>
      <w:r>
        <w:rPr>
          <w:rFonts w:hint="eastAsia" w:eastAsia="宋体" w:cs="Arial"/>
          <w:sz w:val="21"/>
          <w:szCs w:val="21"/>
          <w:highlight w:val="none"/>
        </w:rPr>
        <w:t>GB 7251.1－2013      低压成套开关设备和控制设备</w:t>
      </w:r>
    </w:p>
    <w:p>
      <w:pPr>
        <w:pStyle w:val="69"/>
        <w:topLinePunct/>
        <w:spacing w:line="360" w:lineRule="auto"/>
        <w:ind w:firstLineChars="200"/>
        <w:rPr>
          <w:rFonts w:eastAsia="宋体" w:cs="Arial"/>
          <w:sz w:val="21"/>
          <w:szCs w:val="21"/>
          <w:highlight w:val="none"/>
        </w:rPr>
      </w:pPr>
      <w:r>
        <w:rPr>
          <w:rFonts w:hint="eastAsia" w:eastAsia="宋体" w:cs="Arial"/>
          <w:sz w:val="21"/>
          <w:szCs w:val="21"/>
          <w:highlight w:val="none"/>
        </w:rPr>
        <w:t>GB 7251.3－</w:t>
      </w:r>
      <w:r>
        <w:rPr>
          <w:rFonts w:hint="eastAsia" w:eastAsia="宋体" w:cs="Arial"/>
          <w:sz w:val="21"/>
          <w:szCs w:val="21"/>
          <w:highlight w:val="none"/>
          <w:lang w:val="en-US" w:eastAsia="zh-CN"/>
        </w:rPr>
        <w:t>2017</w:t>
      </w:r>
      <w:r>
        <w:rPr>
          <w:rFonts w:hint="eastAsia" w:eastAsia="宋体" w:cs="Arial"/>
          <w:sz w:val="21"/>
          <w:szCs w:val="21"/>
          <w:highlight w:val="none"/>
        </w:rPr>
        <w:t xml:space="preserve">     低压成套开关设备和控制设备 第3部分:对非专业人员可进入场地的低压成套开关设备和控制设备----- 配电板的特殊要求</w:t>
      </w:r>
    </w:p>
    <w:p>
      <w:pPr>
        <w:pStyle w:val="69"/>
        <w:topLinePunct/>
        <w:spacing w:line="360" w:lineRule="auto"/>
        <w:ind w:firstLineChars="200"/>
        <w:rPr>
          <w:rFonts w:eastAsia="宋体" w:cs="Arial"/>
          <w:sz w:val="21"/>
          <w:szCs w:val="21"/>
          <w:highlight w:val="none"/>
        </w:rPr>
      </w:pPr>
      <w:bookmarkStart w:id="72" w:name="OLE_LINK23"/>
      <w:bookmarkStart w:id="73" w:name="OLE_LINK22"/>
      <w:bookmarkStart w:id="74" w:name="OLE_LINK21"/>
      <w:r>
        <w:rPr>
          <w:rFonts w:hint="eastAsia" w:eastAsia="宋体" w:cs="Arial"/>
          <w:sz w:val="21"/>
          <w:szCs w:val="21"/>
          <w:highlight w:val="none"/>
        </w:rPr>
        <w:t>GB 7251.5</w:t>
      </w:r>
      <w:bookmarkEnd w:id="72"/>
      <w:bookmarkEnd w:id="73"/>
      <w:bookmarkEnd w:id="74"/>
      <w:r>
        <w:rPr>
          <w:rFonts w:hint="eastAsia" w:eastAsia="宋体" w:cs="Arial"/>
          <w:sz w:val="21"/>
          <w:szCs w:val="21"/>
          <w:highlight w:val="none"/>
        </w:rPr>
        <w:t>－</w:t>
      </w:r>
      <w:r>
        <w:rPr>
          <w:rFonts w:hint="eastAsia" w:eastAsia="宋体" w:cs="Arial"/>
          <w:sz w:val="21"/>
          <w:szCs w:val="21"/>
          <w:highlight w:val="none"/>
          <w:lang w:val="en-US" w:eastAsia="zh-CN"/>
        </w:rPr>
        <w:t>2017</w:t>
      </w:r>
      <w:r>
        <w:rPr>
          <w:rFonts w:hint="eastAsia" w:eastAsia="宋体" w:cs="Arial"/>
          <w:sz w:val="21"/>
          <w:szCs w:val="21"/>
          <w:highlight w:val="none"/>
        </w:rPr>
        <w:tab/>
      </w:r>
      <w:r>
        <w:rPr>
          <w:rFonts w:hint="eastAsia" w:eastAsia="宋体" w:cs="Arial"/>
          <w:sz w:val="21"/>
          <w:szCs w:val="21"/>
          <w:highlight w:val="none"/>
        </w:rPr>
        <w:t xml:space="preserve">      低压成套开关设备和控制设备 第5部分: 对公用电网动力配电成套设备的特殊要求</w:t>
      </w:r>
    </w:p>
    <w:p>
      <w:pPr>
        <w:pStyle w:val="69"/>
        <w:topLinePunct/>
        <w:spacing w:line="360" w:lineRule="auto"/>
        <w:ind w:firstLine="425"/>
        <w:rPr>
          <w:rFonts w:eastAsia="宋体" w:cs="Arial"/>
          <w:sz w:val="21"/>
          <w:szCs w:val="21"/>
          <w:highlight w:val="none"/>
        </w:rPr>
      </w:pPr>
      <w:bookmarkStart w:id="75" w:name="OLE_LINK24"/>
      <w:r>
        <w:rPr>
          <w:rFonts w:hint="eastAsia" w:eastAsia="宋体" w:cs="Arial"/>
          <w:sz w:val="21"/>
          <w:szCs w:val="21"/>
          <w:highlight w:val="none"/>
        </w:rPr>
        <w:t>HG/T 2503</w:t>
      </w:r>
      <w:bookmarkEnd w:id="75"/>
      <w:r>
        <w:rPr>
          <w:rFonts w:hint="eastAsia" w:eastAsia="宋体" w:cs="Arial"/>
          <w:sz w:val="21"/>
          <w:szCs w:val="21"/>
          <w:highlight w:val="none"/>
        </w:rPr>
        <w:t>-1993         聚碳酸酯树脂</w:t>
      </w:r>
    </w:p>
    <w:p>
      <w:pPr>
        <w:pStyle w:val="69"/>
        <w:topLinePunct/>
        <w:spacing w:line="360" w:lineRule="auto"/>
        <w:ind w:firstLine="425"/>
        <w:rPr>
          <w:rFonts w:eastAsia="宋体" w:cs="Arial"/>
          <w:sz w:val="21"/>
          <w:szCs w:val="21"/>
          <w:highlight w:val="none"/>
        </w:rPr>
      </w:pPr>
      <w:bookmarkStart w:id="76" w:name="OLE_LINK25"/>
      <w:r>
        <w:rPr>
          <w:rFonts w:eastAsia="宋体" w:cs="Arial"/>
          <w:sz w:val="21"/>
          <w:szCs w:val="21"/>
          <w:highlight w:val="none"/>
        </w:rPr>
        <w:t>Q/CSG1209003</w:t>
      </w:r>
      <w:bookmarkEnd w:id="76"/>
      <w:r>
        <w:rPr>
          <w:rFonts w:eastAsia="宋体" w:cs="Arial"/>
          <w:sz w:val="21"/>
          <w:szCs w:val="21"/>
          <w:highlight w:val="none"/>
        </w:rPr>
        <w:t>-20</w:t>
      </w:r>
      <w:r>
        <w:rPr>
          <w:rFonts w:hint="eastAsia" w:eastAsia="宋体" w:cs="Arial"/>
          <w:sz w:val="21"/>
          <w:szCs w:val="21"/>
          <w:highlight w:val="none"/>
          <w:lang w:val="en-US" w:eastAsia="zh-CN"/>
        </w:rPr>
        <w:t>22</w:t>
      </w:r>
      <w:r>
        <w:rPr>
          <w:rFonts w:hint="eastAsia" w:eastAsia="宋体" w:cs="Arial"/>
          <w:sz w:val="21"/>
          <w:szCs w:val="21"/>
          <w:highlight w:val="none"/>
        </w:rPr>
        <w:t xml:space="preserve">    中国南方电网有限责任公司单相费控电能表技术规范</w:t>
      </w:r>
    </w:p>
    <w:p>
      <w:pPr>
        <w:pStyle w:val="69"/>
        <w:topLinePunct/>
        <w:spacing w:line="360" w:lineRule="auto"/>
        <w:ind w:firstLine="425"/>
        <w:rPr>
          <w:rFonts w:hint="eastAsia" w:eastAsia="宋体" w:cs="Arial"/>
          <w:sz w:val="21"/>
          <w:szCs w:val="21"/>
          <w:highlight w:val="none"/>
        </w:rPr>
      </w:pPr>
      <w:r>
        <w:rPr>
          <w:rFonts w:eastAsia="宋体" w:cs="Arial"/>
          <w:sz w:val="21"/>
          <w:szCs w:val="21"/>
          <w:highlight w:val="none"/>
        </w:rPr>
        <w:t>Q/CSG1209004-20</w:t>
      </w:r>
      <w:r>
        <w:rPr>
          <w:rFonts w:hint="eastAsia" w:eastAsia="宋体" w:cs="Arial"/>
          <w:sz w:val="21"/>
          <w:szCs w:val="21"/>
          <w:highlight w:val="none"/>
          <w:lang w:val="en-US" w:eastAsia="zh-CN"/>
        </w:rPr>
        <w:t>22</w:t>
      </w:r>
      <w:r>
        <w:rPr>
          <w:rFonts w:hint="eastAsia" w:eastAsia="宋体" w:cs="Arial"/>
          <w:sz w:val="21"/>
          <w:szCs w:val="21"/>
          <w:highlight w:val="none"/>
        </w:rPr>
        <w:t xml:space="preserve">    中国南方电网有限责任公司三相费控电能表技术规范</w:t>
      </w:r>
    </w:p>
    <w:p>
      <w:pPr>
        <w:pStyle w:val="69"/>
        <w:topLinePunct/>
        <w:spacing w:line="360" w:lineRule="auto"/>
        <w:ind w:firstLine="425"/>
        <w:rPr>
          <w:rFonts w:hint="default" w:ascii="Cambria" w:hAnsi="Cambria" w:eastAsia="宋体" w:cs="Arial"/>
          <w:sz w:val="21"/>
          <w:szCs w:val="21"/>
          <w:highlight w:val="none"/>
        </w:rPr>
      </w:pPr>
      <w:r>
        <w:rPr>
          <w:rFonts w:hint="default" w:ascii="Times New Roman" w:hAnsi="Times New Roman" w:eastAsia="宋体" w:cs="Times New Roman"/>
          <w:sz w:val="21"/>
          <w:szCs w:val="21"/>
          <w:highlight w:val="none"/>
        </w:rPr>
        <w:t>Q</w:t>
      </w:r>
      <w:r>
        <w:rPr>
          <w:rFonts w:hint="default" w:ascii="Times New Roman" w:hAnsi="Times New Roman" w:eastAsia="宋体" w:cs="Arial"/>
          <w:sz w:val="21"/>
          <w:szCs w:val="21"/>
          <w:highlight w:val="none"/>
        </w:rPr>
        <w:t>/CSG113007-2021</w:t>
      </w:r>
      <w:r>
        <w:rPr>
          <w:rFonts w:hint="default" w:ascii="Cambria" w:hAnsi="Cambria" w:eastAsia="宋体" w:cs="Arial"/>
          <w:sz w:val="21"/>
          <w:szCs w:val="21"/>
          <w:highlight w:val="none"/>
        </w:rPr>
        <w:tab/>
      </w:r>
      <w:r>
        <w:rPr>
          <w:rFonts w:hint="default" w:ascii="Cambria" w:hAnsi="Cambria" w:eastAsia="宋体" w:cs="Arial"/>
          <w:sz w:val="21"/>
          <w:szCs w:val="21"/>
          <w:highlight w:val="none"/>
        </w:rPr>
        <w:t>低压用电客户电能计量装置典型设计</w:t>
      </w:r>
    </w:p>
    <w:p>
      <w:pPr>
        <w:pStyle w:val="69"/>
        <w:topLinePunct/>
        <w:spacing w:line="360" w:lineRule="auto"/>
        <w:ind w:firstLine="425"/>
        <w:rPr>
          <w:rFonts w:hint="eastAsia" w:ascii="宋体" w:hAnsi="宋体" w:eastAsia="宋体" w:cs="宋体"/>
          <w:sz w:val="21"/>
          <w:szCs w:val="21"/>
          <w:highlight w:val="none"/>
        </w:rPr>
      </w:pPr>
      <w:r>
        <w:rPr>
          <w:rFonts w:hint="default" w:ascii="Times New Roman" w:hAnsi="Times New Roman" w:eastAsia="宋体" w:cs="Arial"/>
          <w:sz w:val="21"/>
          <w:szCs w:val="21"/>
          <w:highlight w:val="none"/>
        </w:rPr>
        <w:t>Q/CSG1209033.4-2021</w:t>
      </w:r>
      <w:r>
        <w:rPr>
          <w:rFonts w:hint="default" w:ascii="Cambria" w:hAnsi="Cambria" w:eastAsia="宋体" w:cs="Arial"/>
          <w:sz w:val="21"/>
          <w:szCs w:val="21"/>
          <w:highlight w:val="none"/>
        </w:rPr>
        <w:tab/>
      </w:r>
      <w:r>
        <w:rPr>
          <w:rFonts w:hint="eastAsia" w:ascii="宋体" w:hAnsi="宋体" w:eastAsia="宋体" w:cs="宋体"/>
          <w:sz w:val="21"/>
          <w:szCs w:val="21"/>
          <w:highlight w:val="none"/>
        </w:rPr>
        <w:t>中国南方电网有限责任公司计量用互感器技术规范第4部分：计量用低压电流互感器</w:t>
      </w:r>
    </w:p>
    <w:p>
      <w:pPr>
        <w:spacing w:line="360" w:lineRule="auto"/>
        <w:ind w:firstLine="420" w:firstLineChars="200"/>
        <w:rPr>
          <w:rFonts w:hint="eastAsia"/>
          <w:szCs w:val="21"/>
          <w:highlight w:val="none"/>
        </w:rPr>
      </w:pPr>
      <w:r>
        <w:rPr>
          <w:rFonts w:hint="default" w:ascii="Times New Roman" w:hAnsi="Times New Roman" w:eastAsia="宋体" w:cs="Arial"/>
          <w:sz w:val="21"/>
          <w:szCs w:val="21"/>
          <w:highlight w:val="none"/>
        </w:rPr>
        <w:t>Q/CSG 11109005-2013</w:t>
      </w:r>
      <w:r>
        <w:rPr>
          <w:rFonts w:hint="default" w:ascii="Cambria" w:hAnsi="Cambria" w:eastAsia="宋体" w:cs="Arial"/>
          <w:sz w:val="21"/>
          <w:szCs w:val="21"/>
          <w:highlight w:val="none"/>
        </w:rPr>
        <w:t xml:space="preserve"> </w:t>
      </w:r>
      <w:r>
        <w:rPr>
          <w:rFonts w:hint="default" w:ascii="Cambria" w:hAnsi="Cambria" w:eastAsia="宋体" w:cs="Arial"/>
          <w:sz w:val="21"/>
          <w:szCs w:val="21"/>
          <w:highlight w:val="none"/>
        </w:rPr>
        <w:tab/>
      </w:r>
      <w:r>
        <w:rPr>
          <w:rFonts w:hint="default" w:ascii="Cambria" w:hAnsi="Cambria" w:eastAsia="宋体" w:cs="Arial"/>
          <w:sz w:val="21"/>
          <w:szCs w:val="21"/>
          <w:highlight w:val="none"/>
        </w:rPr>
        <w:t>中国南方电网有限责任公司低压电力用户集中抄表系统采集器技术规范</w:t>
      </w:r>
    </w:p>
    <w:bookmarkEnd w:id="48"/>
    <w:bookmarkEnd w:id="51"/>
    <w:p>
      <w:pPr>
        <w:pStyle w:val="2"/>
        <w:keepLines/>
        <w:numPr>
          <w:ilvl w:val="0"/>
          <w:numId w:val="25"/>
        </w:numPr>
        <w:topLinePunct/>
        <w:adjustRightInd w:val="0"/>
        <w:spacing w:before="120" w:beforeLines="50" w:line="360" w:lineRule="auto"/>
        <w:rPr>
          <w:rFonts w:ascii="Times New Roman" w:hAnsi="Times New Roman"/>
          <w:b/>
          <w:w w:val="100"/>
          <w:kern w:val="44"/>
          <w:sz w:val="21"/>
          <w:szCs w:val="21"/>
          <w:highlight w:val="none"/>
          <w:shd w:val="clear" w:color="auto" w:fill="FFFFFF"/>
        </w:rPr>
      </w:pPr>
      <w:bookmarkStart w:id="77" w:name="_Toc23292"/>
      <w:bookmarkStart w:id="78" w:name="_Toc407271702"/>
      <w:bookmarkStart w:id="79" w:name="_Toc236731913"/>
      <w:r>
        <w:rPr>
          <w:rFonts w:hint="eastAsia" w:ascii="Times New Roman" w:hAnsi="Times New Roman"/>
          <w:b/>
          <w:w w:val="100"/>
          <w:kern w:val="44"/>
          <w:sz w:val="21"/>
          <w:szCs w:val="21"/>
          <w:highlight w:val="none"/>
          <w:shd w:val="clear" w:color="auto" w:fill="FFFFFF"/>
        </w:rPr>
        <w:t>术</w:t>
      </w:r>
      <w:r>
        <w:rPr>
          <w:rFonts w:ascii="Times New Roman" w:hAnsi="Times New Roman"/>
          <w:b/>
          <w:w w:val="100"/>
          <w:kern w:val="44"/>
          <w:sz w:val="21"/>
          <w:szCs w:val="21"/>
          <w:highlight w:val="none"/>
          <w:shd w:val="clear" w:color="auto" w:fill="FFFFFF"/>
        </w:rPr>
        <w:t>语和定义</w:t>
      </w:r>
      <w:bookmarkEnd w:id="77"/>
      <w:bookmarkEnd w:id="78"/>
    </w:p>
    <w:p>
      <w:pPr>
        <w:pStyle w:val="3"/>
        <w:numPr>
          <w:ilvl w:val="1"/>
          <w:numId w:val="25"/>
        </w:numPr>
        <w:topLinePunct/>
        <w:adjustRightInd w:val="0"/>
        <w:spacing w:before="0" w:after="0" w:line="360" w:lineRule="auto"/>
        <w:rPr>
          <w:rFonts w:ascii="宋体" w:hAnsi="宋体" w:eastAsia="宋体"/>
          <w:kern w:val="44"/>
          <w:sz w:val="21"/>
          <w:szCs w:val="21"/>
          <w:highlight w:val="none"/>
          <w:shd w:val="clear" w:color="auto" w:fill="FFFFFF"/>
        </w:rPr>
      </w:pPr>
      <w:r>
        <w:rPr>
          <w:rFonts w:hint="eastAsia" w:ascii="宋体" w:hAnsi="宋体" w:eastAsia="宋体"/>
          <w:kern w:val="44"/>
          <w:sz w:val="21"/>
          <w:szCs w:val="21"/>
          <w:highlight w:val="none"/>
          <w:shd w:val="clear" w:color="auto" w:fill="FFFFFF"/>
        </w:rPr>
        <w:t xml:space="preserve"> </w:t>
      </w:r>
      <w:bookmarkStart w:id="80" w:name="_Toc6869"/>
      <w:r>
        <w:rPr>
          <w:rFonts w:hint="eastAsia" w:ascii="宋体" w:hAnsi="宋体" w:eastAsia="宋体"/>
          <w:kern w:val="44"/>
          <w:sz w:val="21"/>
          <w:szCs w:val="21"/>
          <w:highlight w:val="none"/>
          <w:shd w:val="clear" w:color="auto" w:fill="FFFFFF"/>
        </w:rPr>
        <w:t>低压费控计量表箱</w:t>
      </w:r>
      <w:bookmarkEnd w:id="80"/>
    </w:p>
    <w:p>
      <w:pPr>
        <w:pStyle w:val="69"/>
        <w:topLinePunct/>
        <w:spacing w:line="360" w:lineRule="auto"/>
        <w:rPr>
          <w:rFonts w:eastAsia="宋体" w:cs="Arial"/>
          <w:sz w:val="21"/>
          <w:szCs w:val="21"/>
          <w:highlight w:val="none"/>
        </w:rPr>
      </w:pPr>
      <w:r>
        <w:rPr>
          <w:rFonts w:hint="eastAsia" w:eastAsia="宋体" w:cs="Arial"/>
          <w:sz w:val="21"/>
          <w:szCs w:val="21"/>
          <w:highlight w:val="none"/>
        </w:rPr>
        <w:t>用于380V及以下低压费控电能表的箱型成套装置</w:t>
      </w:r>
      <w:r>
        <w:rPr>
          <w:rFonts w:eastAsia="宋体" w:cs="Arial"/>
          <w:sz w:val="21"/>
          <w:szCs w:val="21"/>
          <w:highlight w:val="none"/>
        </w:rPr>
        <w:t>。</w:t>
      </w:r>
      <w:r>
        <w:rPr>
          <w:rFonts w:hint="eastAsia" w:eastAsia="宋体" w:cs="Arial"/>
          <w:sz w:val="21"/>
          <w:szCs w:val="21"/>
          <w:highlight w:val="none"/>
        </w:rPr>
        <w:t>适合安装费控电能表、低压电流互感器、负荷管理终端、配变监测计量终端、低压集中器、采集器、开关和接线端子盒的封闭箱体。</w:t>
      </w:r>
    </w:p>
    <w:p>
      <w:pPr>
        <w:pStyle w:val="3"/>
        <w:numPr>
          <w:ilvl w:val="1"/>
          <w:numId w:val="25"/>
        </w:numPr>
        <w:topLinePunct/>
        <w:adjustRightInd w:val="0"/>
        <w:spacing w:before="0" w:after="0" w:line="360" w:lineRule="auto"/>
        <w:rPr>
          <w:rFonts w:ascii="宋体" w:hAnsi="宋体" w:eastAsia="宋体"/>
          <w:kern w:val="44"/>
          <w:sz w:val="21"/>
          <w:szCs w:val="21"/>
          <w:highlight w:val="none"/>
          <w:shd w:val="clear" w:color="auto" w:fill="FFFFFF"/>
        </w:rPr>
      </w:pPr>
      <w:r>
        <w:rPr>
          <w:rFonts w:hint="eastAsia" w:ascii="宋体" w:hAnsi="宋体" w:eastAsia="宋体"/>
          <w:kern w:val="44"/>
          <w:sz w:val="21"/>
          <w:szCs w:val="21"/>
          <w:highlight w:val="none"/>
          <w:shd w:val="clear" w:color="auto" w:fill="FFFFFF"/>
        </w:rPr>
        <w:t xml:space="preserve"> </w:t>
      </w:r>
      <w:bookmarkStart w:id="81" w:name="_Toc28003"/>
      <w:r>
        <w:rPr>
          <w:rFonts w:hint="eastAsia" w:ascii="宋体" w:hAnsi="宋体" w:eastAsia="宋体"/>
          <w:kern w:val="44"/>
          <w:sz w:val="21"/>
          <w:szCs w:val="21"/>
          <w:highlight w:val="none"/>
          <w:shd w:val="clear" w:color="auto" w:fill="FFFFFF"/>
        </w:rPr>
        <w:t>进线室</w:t>
      </w:r>
      <w:bookmarkEnd w:id="81"/>
    </w:p>
    <w:p>
      <w:pPr>
        <w:pStyle w:val="69"/>
        <w:topLinePunct/>
        <w:spacing w:line="360" w:lineRule="auto"/>
        <w:rPr>
          <w:rFonts w:eastAsia="宋体" w:cs="Arial"/>
          <w:sz w:val="21"/>
          <w:szCs w:val="21"/>
          <w:highlight w:val="none"/>
        </w:rPr>
      </w:pPr>
      <w:r>
        <w:rPr>
          <w:rFonts w:hint="eastAsia" w:eastAsia="宋体" w:cs="Arial"/>
          <w:sz w:val="21"/>
          <w:szCs w:val="21"/>
          <w:highlight w:val="none"/>
        </w:rPr>
        <w:t>多表位计量表箱内安装进线开关、接线端子排等器件并与外部电源进线电气连接的独立空间。</w:t>
      </w:r>
    </w:p>
    <w:p>
      <w:pPr>
        <w:pStyle w:val="3"/>
        <w:numPr>
          <w:ilvl w:val="1"/>
          <w:numId w:val="25"/>
        </w:numPr>
        <w:topLinePunct/>
        <w:adjustRightInd w:val="0"/>
        <w:spacing w:before="0" w:after="0" w:line="360" w:lineRule="auto"/>
        <w:rPr>
          <w:rFonts w:ascii="宋体" w:hAnsi="宋体" w:eastAsia="宋体"/>
          <w:kern w:val="44"/>
          <w:sz w:val="21"/>
          <w:szCs w:val="21"/>
          <w:highlight w:val="none"/>
          <w:shd w:val="clear" w:color="auto" w:fill="FFFFFF"/>
        </w:rPr>
      </w:pPr>
      <w:r>
        <w:rPr>
          <w:rFonts w:hint="eastAsia" w:ascii="宋体" w:hAnsi="宋体" w:eastAsia="宋体"/>
          <w:kern w:val="44"/>
          <w:sz w:val="21"/>
          <w:szCs w:val="21"/>
          <w:highlight w:val="none"/>
          <w:shd w:val="clear" w:color="auto" w:fill="FFFFFF"/>
        </w:rPr>
        <w:t xml:space="preserve"> </w:t>
      </w:r>
      <w:bookmarkStart w:id="82" w:name="_Toc24795"/>
      <w:r>
        <w:rPr>
          <w:rFonts w:hint="eastAsia" w:ascii="宋体" w:hAnsi="宋体" w:eastAsia="宋体"/>
          <w:kern w:val="44"/>
          <w:sz w:val="21"/>
          <w:szCs w:val="21"/>
          <w:highlight w:val="none"/>
          <w:shd w:val="clear" w:color="auto" w:fill="FFFFFF"/>
        </w:rPr>
        <w:t>计量室</w:t>
      </w:r>
      <w:bookmarkEnd w:id="82"/>
    </w:p>
    <w:p>
      <w:pPr>
        <w:pStyle w:val="69"/>
        <w:topLinePunct/>
        <w:spacing w:line="360" w:lineRule="auto"/>
        <w:rPr>
          <w:rFonts w:eastAsia="宋体" w:cs="Arial"/>
          <w:sz w:val="21"/>
          <w:szCs w:val="21"/>
          <w:highlight w:val="none"/>
        </w:rPr>
      </w:pPr>
      <w:r>
        <w:rPr>
          <w:rFonts w:hint="eastAsia" w:eastAsia="宋体" w:cs="Arial"/>
          <w:sz w:val="21"/>
          <w:szCs w:val="21"/>
          <w:highlight w:val="none"/>
        </w:rPr>
        <w:t>多表位计量表箱内安装电能表、采集器等设备的独立空间</w:t>
      </w:r>
      <w:r>
        <w:rPr>
          <w:rFonts w:eastAsia="宋体" w:cs="Arial"/>
          <w:sz w:val="21"/>
          <w:szCs w:val="21"/>
          <w:highlight w:val="none"/>
        </w:rPr>
        <w:t>。</w:t>
      </w:r>
    </w:p>
    <w:p>
      <w:pPr>
        <w:pStyle w:val="3"/>
        <w:numPr>
          <w:ilvl w:val="1"/>
          <w:numId w:val="25"/>
        </w:numPr>
        <w:topLinePunct/>
        <w:adjustRightInd w:val="0"/>
        <w:spacing w:before="0" w:after="0" w:line="360" w:lineRule="auto"/>
        <w:rPr>
          <w:rFonts w:ascii="宋体" w:hAnsi="宋体" w:eastAsia="宋体"/>
          <w:kern w:val="44"/>
          <w:sz w:val="21"/>
          <w:szCs w:val="21"/>
          <w:highlight w:val="none"/>
          <w:shd w:val="clear" w:color="auto" w:fill="FFFFFF"/>
        </w:rPr>
      </w:pPr>
      <w:bookmarkStart w:id="83" w:name="_Toc8376"/>
      <w:r>
        <w:rPr>
          <w:rFonts w:hint="eastAsia" w:ascii="宋体" w:hAnsi="宋体" w:eastAsia="宋体"/>
          <w:kern w:val="44"/>
          <w:sz w:val="21"/>
          <w:szCs w:val="21"/>
          <w:highlight w:val="none"/>
          <w:shd w:val="clear" w:color="auto" w:fill="FFFFFF"/>
        </w:rPr>
        <w:t>互感器室</w:t>
      </w:r>
      <w:bookmarkEnd w:id="83"/>
    </w:p>
    <w:p>
      <w:pPr>
        <w:pStyle w:val="69"/>
        <w:topLinePunct/>
        <w:spacing w:line="360" w:lineRule="auto"/>
        <w:rPr>
          <w:rFonts w:eastAsia="宋体" w:cs="Arial"/>
          <w:sz w:val="21"/>
          <w:szCs w:val="21"/>
          <w:highlight w:val="none"/>
        </w:rPr>
      </w:pPr>
      <w:r>
        <w:rPr>
          <w:rFonts w:hint="eastAsia" w:eastAsia="宋体" w:cs="Arial"/>
          <w:sz w:val="21"/>
          <w:szCs w:val="21"/>
          <w:highlight w:val="none"/>
        </w:rPr>
        <w:t>经互感器接入式计量表箱内安装低压电流互感器的独立空间。</w:t>
      </w:r>
    </w:p>
    <w:p>
      <w:pPr>
        <w:pStyle w:val="3"/>
        <w:numPr>
          <w:ilvl w:val="1"/>
          <w:numId w:val="25"/>
        </w:numPr>
        <w:topLinePunct/>
        <w:adjustRightInd w:val="0"/>
        <w:spacing w:before="0" w:after="0" w:line="360" w:lineRule="auto"/>
        <w:rPr>
          <w:rFonts w:ascii="宋体" w:hAnsi="宋体" w:eastAsia="宋体"/>
          <w:kern w:val="44"/>
          <w:sz w:val="21"/>
          <w:szCs w:val="21"/>
          <w:highlight w:val="none"/>
          <w:shd w:val="clear" w:color="auto" w:fill="FFFFFF"/>
        </w:rPr>
      </w:pPr>
      <w:r>
        <w:rPr>
          <w:rFonts w:hint="eastAsia" w:ascii="宋体" w:hAnsi="宋体" w:eastAsia="宋体"/>
          <w:kern w:val="44"/>
          <w:sz w:val="21"/>
          <w:szCs w:val="21"/>
          <w:highlight w:val="none"/>
          <w:shd w:val="clear" w:color="auto" w:fill="FFFFFF"/>
        </w:rPr>
        <w:t xml:space="preserve"> </w:t>
      </w:r>
      <w:bookmarkStart w:id="84" w:name="_Toc16190"/>
      <w:r>
        <w:rPr>
          <w:rFonts w:hint="eastAsia" w:ascii="宋体" w:hAnsi="宋体" w:eastAsia="宋体"/>
          <w:kern w:val="44"/>
          <w:sz w:val="21"/>
          <w:szCs w:val="21"/>
          <w:highlight w:val="none"/>
          <w:shd w:val="clear" w:color="auto" w:fill="FFFFFF"/>
        </w:rPr>
        <w:t>出线室</w:t>
      </w:r>
      <w:bookmarkEnd w:id="84"/>
    </w:p>
    <w:p>
      <w:pPr>
        <w:pStyle w:val="90"/>
        <w:spacing w:line="360" w:lineRule="auto"/>
        <w:ind w:firstLine="420" w:firstLineChars="200"/>
        <w:rPr>
          <w:rFonts w:ascii="Times New Roman" w:eastAsia="宋体" w:cs="宋体"/>
          <w:kern w:val="0"/>
          <w:highlight w:val="none"/>
        </w:rPr>
      </w:pPr>
      <w:r>
        <w:rPr>
          <w:rFonts w:hint="eastAsia" w:ascii="Times New Roman" w:eastAsia="宋体" w:cs="宋体"/>
          <w:kern w:val="0"/>
          <w:highlight w:val="none"/>
        </w:rPr>
        <w:t>多表位计量表箱内安装出线开关、端子排等器件并与外部负载端进行电气连接的独立空间。</w:t>
      </w:r>
    </w:p>
    <w:bookmarkEnd w:id="79"/>
    <w:p>
      <w:pPr>
        <w:pStyle w:val="2"/>
        <w:keepLines/>
        <w:numPr>
          <w:ilvl w:val="0"/>
          <w:numId w:val="25"/>
        </w:numPr>
        <w:topLinePunct/>
        <w:adjustRightInd w:val="0"/>
        <w:spacing w:before="240" w:beforeLines="100" w:line="360" w:lineRule="auto"/>
        <w:rPr>
          <w:rFonts w:ascii="Times New Roman" w:hAnsi="Times New Roman"/>
          <w:b/>
          <w:w w:val="100"/>
          <w:kern w:val="44"/>
          <w:sz w:val="21"/>
          <w:szCs w:val="21"/>
          <w:highlight w:val="none"/>
          <w:shd w:val="clear" w:color="auto" w:fill="FFFFFF"/>
        </w:rPr>
      </w:pPr>
      <w:bookmarkStart w:id="85" w:name="_Toc647"/>
      <w:r>
        <w:rPr>
          <w:rFonts w:hint="eastAsia" w:ascii="Times New Roman" w:hAnsi="Times New Roman"/>
          <w:b/>
          <w:w w:val="100"/>
          <w:kern w:val="44"/>
          <w:sz w:val="21"/>
          <w:szCs w:val="21"/>
          <w:highlight w:val="none"/>
          <w:shd w:val="clear" w:color="auto" w:fill="FFFFFF"/>
        </w:rPr>
        <w:t>计量表箱分类</w:t>
      </w:r>
      <w:bookmarkEnd w:id="85"/>
    </w:p>
    <w:p>
      <w:pPr>
        <w:topLinePunct/>
        <w:spacing w:line="360" w:lineRule="auto"/>
        <w:ind w:firstLine="420" w:firstLineChars="200"/>
        <w:rPr>
          <w:rFonts w:cs="Arial"/>
          <w:szCs w:val="21"/>
          <w:highlight w:val="none"/>
        </w:rPr>
      </w:pPr>
      <w:r>
        <w:rPr>
          <w:rFonts w:hint="eastAsia" w:cs="Arial"/>
          <w:szCs w:val="21"/>
          <w:highlight w:val="none"/>
        </w:rPr>
        <w:t>根据计量表箱内电能表类型及表位数不同，计量表箱可分为：</w:t>
      </w:r>
    </w:p>
    <w:p>
      <w:pPr>
        <w:topLinePunct/>
        <w:spacing w:line="360" w:lineRule="auto"/>
        <w:ind w:firstLine="420" w:firstLineChars="200"/>
        <w:rPr>
          <w:highlight w:val="none"/>
        </w:rPr>
      </w:pPr>
      <w:r>
        <w:rPr>
          <w:rFonts w:hint="eastAsia" w:cs="Arial"/>
          <w:szCs w:val="21"/>
          <w:highlight w:val="none"/>
        </w:rPr>
        <w:t>a）</w:t>
      </w:r>
      <w:r>
        <w:rPr>
          <w:rFonts w:hint="eastAsia"/>
          <w:highlight w:val="none"/>
        </w:rPr>
        <w:t xml:space="preserve"> 直接接入式：</w:t>
      </w:r>
    </w:p>
    <w:p>
      <w:pPr>
        <w:topLinePunct/>
        <w:spacing w:line="360" w:lineRule="auto"/>
        <w:ind w:firstLine="420" w:firstLineChars="200"/>
        <w:rPr>
          <w:highlight w:val="none"/>
        </w:rPr>
      </w:pPr>
      <w:r>
        <w:rPr>
          <w:rFonts w:hint="eastAsia"/>
          <w:highlight w:val="none"/>
        </w:rPr>
        <w:t xml:space="preserve">   1）单相（电能表）单表位计量表箱；</w:t>
      </w:r>
    </w:p>
    <w:p>
      <w:pPr>
        <w:topLinePunct/>
        <w:spacing w:line="360" w:lineRule="auto"/>
        <w:ind w:firstLine="420" w:firstLineChars="200"/>
        <w:rPr>
          <w:highlight w:val="none"/>
        </w:rPr>
      </w:pPr>
      <w:r>
        <w:rPr>
          <w:rFonts w:hint="eastAsia"/>
          <w:highlight w:val="none"/>
        </w:rPr>
        <w:t xml:space="preserve">   2）单相（电能表）多表位计量表箱；</w:t>
      </w:r>
    </w:p>
    <w:p>
      <w:pPr>
        <w:topLinePunct/>
        <w:spacing w:line="360" w:lineRule="auto"/>
        <w:ind w:firstLine="420" w:firstLineChars="200"/>
        <w:rPr>
          <w:highlight w:val="none"/>
        </w:rPr>
      </w:pPr>
      <w:r>
        <w:rPr>
          <w:rFonts w:hint="eastAsia"/>
          <w:highlight w:val="none"/>
        </w:rPr>
        <w:t xml:space="preserve">   3）三相（电能表）单表位计量表箱；</w:t>
      </w:r>
    </w:p>
    <w:p>
      <w:pPr>
        <w:topLinePunct/>
        <w:spacing w:line="360" w:lineRule="auto"/>
        <w:ind w:firstLine="420" w:firstLineChars="200"/>
        <w:rPr>
          <w:highlight w:val="none"/>
        </w:rPr>
      </w:pPr>
      <w:r>
        <w:rPr>
          <w:rFonts w:hint="eastAsia"/>
          <w:highlight w:val="none"/>
        </w:rPr>
        <w:t xml:space="preserve">   4）三相（电能表）多表位计量表箱。</w:t>
      </w:r>
    </w:p>
    <w:p>
      <w:pPr>
        <w:topLinePunct/>
        <w:spacing w:line="360" w:lineRule="auto"/>
        <w:ind w:firstLine="420" w:firstLineChars="200"/>
        <w:rPr>
          <w:highlight w:val="none"/>
        </w:rPr>
      </w:pPr>
      <w:r>
        <w:rPr>
          <w:rFonts w:hint="eastAsia"/>
          <w:highlight w:val="none"/>
        </w:rPr>
        <w:t>b） 经互感器接入式：</w:t>
      </w:r>
    </w:p>
    <w:p>
      <w:pPr>
        <w:topLinePunct/>
        <w:spacing w:line="360" w:lineRule="auto"/>
        <w:ind w:firstLine="420" w:firstLineChars="200"/>
        <w:rPr>
          <w:highlight w:val="none"/>
        </w:rPr>
      </w:pPr>
      <w:r>
        <w:rPr>
          <w:rFonts w:hint="eastAsia"/>
          <w:highlight w:val="none"/>
        </w:rPr>
        <w:t xml:space="preserve">   1）三相（电能表）单表位计量表箱。        </w:t>
      </w:r>
    </w:p>
    <w:p>
      <w:pPr>
        <w:pStyle w:val="2"/>
        <w:keepLines/>
        <w:numPr>
          <w:ilvl w:val="0"/>
          <w:numId w:val="25"/>
        </w:numPr>
        <w:topLinePunct/>
        <w:adjustRightInd w:val="0"/>
        <w:spacing w:before="240" w:beforeLines="100" w:line="360" w:lineRule="auto"/>
        <w:rPr>
          <w:rFonts w:ascii="Times New Roman" w:hAnsi="Times New Roman"/>
          <w:b/>
          <w:w w:val="100"/>
          <w:kern w:val="44"/>
          <w:sz w:val="21"/>
          <w:szCs w:val="21"/>
          <w:highlight w:val="none"/>
          <w:shd w:val="clear" w:color="auto" w:fill="FFFFFF"/>
        </w:rPr>
      </w:pPr>
      <w:bookmarkStart w:id="86" w:name="_Toc28814"/>
      <w:r>
        <w:rPr>
          <w:rFonts w:hint="eastAsia" w:ascii="Times New Roman" w:hAnsi="Times New Roman"/>
          <w:b/>
          <w:w w:val="100"/>
          <w:kern w:val="44"/>
          <w:sz w:val="21"/>
          <w:szCs w:val="21"/>
          <w:highlight w:val="none"/>
          <w:shd w:val="clear" w:color="auto" w:fill="FFFFFF"/>
        </w:rPr>
        <w:t>计量表箱型号与命名</w:t>
      </w:r>
      <w:bookmarkEnd w:id="86"/>
      <w:bookmarkStart w:id="87" w:name="_Toc292636752"/>
      <w:bookmarkStart w:id="88" w:name="_Toc275195119"/>
    </w:p>
    <w:p>
      <w:pPr>
        <w:pStyle w:val="69"/>
        <w:topLinePunct/>
        <w:spacing w:line="360" w:lineRule="auto"/>
        <w:rPr>
          <w:rFonts w:eastAsia="宋体" w:cs="Arial"/>
          <w:sz w:val="21"/>
          <w:szCs w:val="21"/>
          <w:highlight w:val="none"/>
        </w:rPr>
      </w:pPr>
      <w:r>
        <w:rPr>
          <w:rFonts w:hint="eastAsia" w:eastAsia="宋体" w:cs="Arial"/>
          <w:sz w:val="21"/>
          <w:szCs w:val="21"/>
          <w:highlight w:val="none"/>
        </w:rPr>
        <w:t>计量表箱型号由分类信息组成，型号编码共有六位：具体说明如下：</w:t>
      </w:r>
    </w:p>
    <w:p>
      <w:pPr>
        <w:pStyle w:val="156"/>
        <w:jc w:val="center"/>
        <w:rPr>
          <w:rFonts w:ascii="黑体" w:hAnsi="黑体" w:eastAsia="黑体"/>
          <w:b/>
          <w:color w:val="auto"/>
          <w:sz w:val="21"/>
          <w:szCs w:val="21"/>
          <w:highlight w:val="none"/>
        </w:rPr>
      </w:pPr>
      <w:r>
        <w:rPr>
          <w:rFonts w:hint="eastAsia" w:ascii="黑体" w:hAnsi="黑体" w:eastAsia="黑体"/>
          <w:b/>
          <w:color w:val="auto"/>
          <w:sz w:val="21"/>
          <w:szCs w:val="21"/>
          <w:highlight w:val="none"/>
        </w:rPr>
        <w:t>□ □ □ □ □ □</w:t>
      </w:r>
      <w:r>
        <w:rPr>
          <w:rFonts w:hint="eastAsia" w:ascii="黑体" w:hAnsi="黑体" w:eastAsia="黑体"/>
          <w:color w:val="auto"/>
          <w:sz w:val="21"/>
          <w:szCs w:val="21"/>
          <w:highlight w:val="none"/>
        </w:rPr>
        <w:t>（从左至右依次为第一至第六位）</w:t>
      </w:r>
    </w:p>
    <w:p>
      <w:pPr>
        <w:pStyle w:val="156"/>
        <w:spacing w:line="360" w:lineRule="auto"/>
        <w:rPr>
          <w:rFonts w:ascii="Times New Roman"/>
          <w:color w:val="auto"/>
          <w:kern w:val="2"/>
          <w:sz w:val="21"/>
          <w:highlight w:val="none"/>
        </w:rPr>
      </w:pPr>
      <w:r>
        <w:rPr>
          <w:rFonts w:hint="eastAsia" w:ascii="Times New Roman"/>
          <w:color w:val="auto"/>
          <w:kern w:val="2"/>
          <w:sz w:val="21"/>
          <w:highlight w:val="none"/>
        </w:rPr>
        <w:t>第一位：字母 F—非金属</w:t>
      </w:r>
    </w:p>
    <w:p>
      <w:pPr>
        <w:pStyle w:val="156"/>
        <w:spacing w:line="360" w:lineRule="auto"/>
        <w:rPr>
          <w:rFonts w:ascii="Times New Roman"/>
          <w:color w:val="auto"/>
          <w:kern w:val="2"/>
          <w:sz w:val="21"/>
          <w:highlight w:val="none"/>
        </w:rPr>
      </w:pPr>
      <w:r>
        <w:rPr>
          <w:rFonts w:hint="eastAsia" w:ascii="Times New Roman"/>
          <w:color w:val="auto"/>
          <w:kern w:val="2"/>
          <w:sz w:val="21"/>
          <w:highlight w:val="none"/>
        </w:rPr>
        <w:t>第二位：字母 P—PC+ABS材质箱体</w:t>
      </w:r>
    </w:p>
    <w:p>
      <w:pPr>
        <w:pStyle w:val="156"/>
        <w:spacing w:line="360" w:lineRule="auto"/>
        <w:rPr>
          <w:rFonts w:ascii="Times New Roman"/>
          <w:color w:val="auto"/>
          <w:kern w:val="2"/>
          <w:sz w:val="21"/>
          <w:highlight w:val="none"/>
        </w:rPr>
      </w:pPr>
      <w:r>
        <w:rPr>
          <w:rFonts w:hint="eastAsia" w:ascii="Times New Roman"/>
          <w:color w:val="auto"/>
          <w:kern w:val="2"/>
          <w:sz w:val="21"/>
          <w:highlight w:val="none"/>
        </w:rPr>
        <w:t>第三位：字母 F—费控式电能表</w:t>
      </w:r>
    </w:p>
    <w:p>
      <w:pPr>
        <w:pStyle w:val="156"/>
        <w:spacing w:line="360" w:lineRule="auto"/>
        <w:rPr>
          <w:rFonts w:ascii="Times New Roman"/>
          <w:color w:val="auto"/>
          <w:kern w:val="2"/>
          <w:sz w:val="21"/>
          <w:highlight w:val="none"/>
        </w:rPr>
      </w:pPr>
      <w:r>
        <w:rPr>
          <w:rFonts w:hint="eastAsia" w:ascii="Times New Roman"/>
          <w:color w:val="auto"/>
          <w:kern w:val="2"/>
          <w:sz w:val="21"/>
          <w:highlight w:val="none"/>
        </w:rPr>
        <w:t>第四位：字母 D—单相</w:t>
      </w:r>
    </w:p>
    <w:p>
      <w:pPr>
        <w:pStyle w:val="156"/>
        <w:spacing w:line="360" w:lineRule="auto"/>
        <w:rPr>
          <w:rFonts w:ascii="Times New Roman"/>
          <w:color w:val="auto"/>
          <w:kern w:val="2"/>
          <w:sz w:val="21"/>
          <w:highlight w:val="none"/>
        </w:rPr>
      </w:pPr>
      <w:r>
        <w:rPr>
          <w:rFonts w:hint="eastAsia" w:ascii="Times New Roman"/>
          <w:color w:val="auto"/>
          <w:kern w:val="2"/>
          <w:sz w:val="21"/>
          <w:highlight w:val="none"/>
        </w:rPr>
        <w:tab/>
      </w:r>
      <w:r>
        <w:rPr>
          <w:rFonts w:hint="eastAsia" w:ascii="Times New Roman"/>
          <w:color w:val="auto"/>
          <w:kern w:val="2"/>
          <w:sz w:val="21"/>
          <w:highlight w:val="none"/>
        </w:rPr>
        <w:tab/>
      </w:r>
      <w:r>
        <w:rPr>
          <w:rFonts w:hint="eastAsia" w:ascii="Times New Roman"/>
          <w:color w:val="auto"/>
          <w:kern w:val="2"/>
          <w:sz w:val="21"/>
          <w:highlight w:val="none"/>
        </w:rPr>
        <w:t>字母 S—三相</w:t>
      </w:r>
    </w:p>
    <w:p>
      <w:pPr>
        <w:pStyle w:val="156"/>
        <w:spacing w:line="360" w:lineRule="auto"/>
        <w:rPr>
          <w:rFonts w:ascii="Times New Roman"/>
          <w:color w:val="auto"/>
          <w:kern w:val="2"/>
          <w:sz w:val="21"/>
          <w:highlight w:val="none"/>
        </w:rPr>
      </w:pPr>
      <w:r>
        <w:rPr>
          <w:rFonts w:hint="eastAsia" w:ascii="Times New Roman"/>
          <w:color w:val="auto"/>
          <w:kern w:val="2"/>
          <w:sz w:val="21"/>
          <w:highlight w:val="none"/>
        </w:rPr>
        <w:t>第五位：数字 —安装电能表位数</w:t>
      </w:r>
    </w:p>
    <w:p>
      <w:pPr>
        <w:pStyle w:val="156"/>
        <w:spacing w:line="360" w:lineRule="auto"/>
        <w:rPr>
          <w:rFonts w:ascii="Times New Roman"/>
          <w:color w:val="auto"/>
          <w:kern w:val="2"/>
          <w:sz w:val="21"/>
          <w:highlight w:val="none"/>
        </w:rPr>
      </w:pPr>
      <w:r>
        <w:rPr>
          <w:rFonts w:hint="eastAsia" w:ascii="Times New Roman"/>
          <w:color w:val="auto"/>
          <w:kern w:val="2"/>
          <w:sz w:val="21"/>
          <w:highlight w:val="none"/>
        </w:rPr>
        <w:t>第六位：字母 X—不带互感器</w:t>
      </w:r>
    </w:p>
    <w:p>
      <w:pPr>
        <w:pStyle w:val="156"/>
        <w:spacing w:line="360" w:lineRule="auto"/>
        <w:rPr>
          <w:rFonts w:ascii="Times New Roman"/>
          <w:color w:val="auto"/>
          <w:kern w:val="2"/>
          <w:sz w:val="21"/>
          <w:highlight w:val="none"/>
        </w:rPr>
      </w:pPr>
      <w:r>
        <w:rPr>
          <w:rFonts w:hint="eastAsia" w:ascii="Times New Roman"/>
          <w:color w:val="auto"/>
          <w:kern w:val="2"/>
          <w:sz w:val="21"/>
          <w:highlight w:val="none"/>
        </w:rPr>
        <w:tab/>
      </w:r>
      <w:r>
        <w:rPr>
          <w:rFonts w:hint="eastAsia" w:ascii="Times New Roman"/>
          <w:color w:val="auto"/>
          <w:kern w:val="2"/>
          <w:sz w:val="21"/>
          <w:highlight w:val="none"/>
        </w:rPr>
        <w:tab/>
      </w:r>
      <w:r>
        <w:rPr>
          <w:rFonts w:hint="eastAsia" w:ascii="Times New Roman"/>
          <w:color w:val="auto"/>
          <w:kern w:val="2"/>
          <w:sz w:val="21"/>
          <w:highlight w:val="none"/>
        </w:rPr>
        <w:t>字母 H</w:t>
      </w:r>
      <w:bookmarkStart w:id="89" w:name="OLE_LINK27"/>
      <w:bookmarkStart w:id="90" w:name="OLE_LINK26"/>
      <w:r>
        <w:rPr>
          <w:rFonts w:hint="eastAsia" w:ascii="Times New Roman"/>
          <w:color w:val="auto"/>
          <w:kern w:val="2"/>
          <w:sz w:val="21"/>
          <w:highlight w:val="none"/>
        </w:rPr>
        <w:t>—</w:t>
      </w:r>
      <w:bookmarkEnd w:id="89"/>
      <w:bookmarkEnd w:id="90"/>
      <w:r>
        <w:rPr>
          <w:rFonts w:hint="eastAsia" w:ascii="Times New Roman"/>
          <w:color w:val="auto"/>
          <w:kern w:val="2"/>
          <w:sz w:val="21"/>
          <w:highlight w:val="none"/>
        </w:rPr>
        <w:t>带互感器</w:t>
      </w:r>
    </w:p>
    <w:p>
      <w:pPr>
        <w:pStyle w:val="156"/>
        <w:spacing w:line="360" w:lineRule="auto"/>
        <w:rPr>
          <w:rFonts w:ascii="黑体" w:hAnsi="黑体" w:eastAsia="黑体"/>
          <w:b/>
          <w:color w:val="auto"/>
          <w:sz w:val="21"/>
          <w:szCs w:val="21"/>
          <w:highlight w:val="none"/>
        </w:rPr>
      </w:pPr>
      <w:r>
        <w:rPr>
          <w:rFonts w:ascii="Times New Roman"/>
          <w:color w:val="auto"/>
          <w:kern w:val="2"/>
          <w:sz w:val="21"/>
          <w:highlight w:val="none"/>
        </w:rPr>
        <w:tab/>
      </w:r>
      <w:r>
        <w:rPr>
          <w:rFonts w:ascii="Times New Roman"/>
          <w:color w:val="auto"/>
          <w:kern w:val="2"/>
          <w:sz w:val="21"/>
          <w:highlight w:val="none"/>
        </w:rPr>
        <w:tab/>
      </w:r>
      <w:r>
        <w:rPr>
          <w:rFonts w:hint="eastAsia" w:ascii="Times New Roman"/>
          <w:color w:val="auto"/>
          <w:kern w:val="2"/>
          <w:sz w:val="21"/>
          <w:highlight w:val="none"/>
        </w:rPr>
        <w:t>字</w:t>
      </w:r>
      <w:r>
        <w:rPr>
          <w:rFonts w:ascii="Times New Roman"/>
          <w:color w:val="auto"/>
          <w:kern w:val="2"/>
          <w:sz w:val="21"/>
          <w:highlight w:val="none"/>
        </w:rPr>
        <w:t>母</w:t>
      </w:r>
      <w:r>
        <w:rPr>
          <w:rFonts w:hint="eastAsia" w:ascii="Times New Roman"/>
          <w:color w:val="auto"/>
          <w:kern w:val="2"/>
          <w:sz w:val="21"/>
          <w:highlight w:val="none"/>
        </w:rPr>
        <w:t xml:space="preserve"> D—动力计</w:t>
      </w:r>
      <w:r>
        <w:rPr>
          <w:rFonts w:ascii="Times New Roman"/>
          <w:color w:val="auto"/>
          <w:kern w:val="2"/>
          <w:sz w:val="21"/>
          <w:highlight w:val="none"/>
        </w:rPr>
        <w:t>量箱</w:t>
      </w:r>
    </w:p>
    <w:p>
      <w:pPr>
        <w:pStyle w:val="69"/>
        <w:topLinePunct/>
        <w:spacing w:line="360" w:lineRule="auto"/>
        <w:jc w:val="center"/>
        <w:rPr>
          <w:rFonts w:eastAsia="宋体" w:cs="Arial"/>
          <w:sz w:val="21"/>
          <w:szCs w:val="21"/>
          <w:highlight w:val="none"/>
        </w:rPr>
      </w:pPr>
    </w:p>
    <w:bookmarkEnd w:id="87"/>
    <w:p>
      <w:pPr>
        <w:pStyle w:val="2"/>
        <w:keepLines/>
        <w:numPr>
          <w:ilvl w:val="0"/>
          <w:numId w:val="25"/>
        </w:numPr>
        <w:topLinePunct/>
        <w:adjustRightInd w:val="0"/>
        <w:spacing w:line="360" w:lineRule="auto"/>
        <w:rPr>
          <w:rFonts w:ascii="Times New Roman" w:hAnsi="Times New Roman"/>
          <w:b/>
          <w:w w:val="100"/>
          <w:kern w:val="44"/>
          <w:sz w:val="21"/>
          <w:szCs w:val="21"/>
          <w:highlight w:val="none"/>
          <w:shd w:val="clear" w:color="auto" w:fill="FFFFFF"/>
        </w:rPr>
      </w:pPr>
      <w:bookmarkStart w:id="91" w:name="_Toc391"/>
      <w:r>
        <w:rPr>
          <w:rFonts w:hint="eastAsia" w:ascii="Times New Roman" w:hAnsi="Times New Roman"/>
          <w:b/>
          <w:w w:val="100"/>
          <w:kern w:val="44"/>
          <w:sz w:val="21"/>
          <w:szCs w:val="21"/>
          <w:highlight w:val="none"/>
          <w:shd w:val="clear" w:color="auto" w:fill="FFFFFF"/>
        </w:rPr>
        <w:t>要求</w:t>
      </w:r>
      <w:bookmarkEnd w:id="91"/>
    </w:p>
    <w:p>
      <w:pPr>
        <w:pStyle w:val="3"/>
        <w:numPr>
          <w:ilvl w:val="1"/>
          <w:numId w:val="25"/>
        </w:numPr>
        <w:topLinePunct/>
        <w:adjustRightInd w:val="0"/>
        <w:spacing w:before="0" w:after="0" w:line="360" w:lineRule="auto"/>
        <w:rPr>
          <w:rFonts w:ascii="宋体" w:hAnsi="宋体" w:eastAsia="宋体"/>
          <w:kern w:val="44"/>
          <w:sz w:val="21"/>
          <w:szCs w:val="21"/>
          <w:highlight w:val="none"/>
          <w:shd w:val="clear" w:color="auto" w:fill="FFFFFF"/>
        </w:rPr>
      </w:pPr>
      <w:bookmarkStart w:id="92" w:name="_Toc30051"/>
      <w:r>
        <w:rPr>
          <w:rFonts w:hint="eastAsia" w:ascii="宋体" w:hAnsi="宋体" w:eastAsia="宋体"/>
          <w:kern w:val="44"/>
          <w:sz w:val="21"/>
          <w:szCs w:val="21"/>
          <w:highlight w:val="none"/>
          <w:shd w:val="clear" w:color="auto" w:fill="FFFFFF"/>
        </w:rPr>
        <w:t>总则</w:t>
      </w:r>
      <w:bookmarkEnd w:id="92"/>
    </w:p>
    <w:p>
      <w:pPr>
        <w:spacing w:line="360" w:lineRule="auto"/>
        <w:ind w:firstLine="420"/>
        <w:rPr>
          <w:highlight w:val="none"/>
        </w:rPr>
      </w:pPr>
      <w:r>
        <w:rPr>
          <w:rFonts w:hint="eastAsia"/>
          <w:highlight w:val="none"/>
        </w:rPr>
        <w:t>计量表箱应符合GB7251.3的相应规定及本标准要求。</w:t>
      </w:r>
    </w:p>
    <w:p>
      <w:pPr>
        <w:pStyle w:val="3"/>
        <w:numPr>
          <w:ilvl w:val="1"/>
          <w:numId w:val="25"/>
        </w:numPr>
        <w:topLinePunct/>
        <w:adjustRightInd w:val="0"/>
        <w:spacing w:before="0" w:after="0" w:line="360" w:lineRule="auto"/>
        <w:rPr>
          <w:rFonts w:ascii="宋体" w:hAnsi="宋体" w:eastAsia="宋体"/>
          <w:kern w:val="44"/>
          <w:sz w:val="21"/>
          <w:szCs w:val="21"/>
          <w:highlight w:val="none"/>
          <w:shd w:val="clear" w:color="auto" w:fill="FFFFFF"/>
        </w:rPr>
      </w:pPr>
      <w:bookmarkStart w:id="93" w:name="_Toc15783"/>
      <w:r>
        <w:rPr>
          <w:rFonts w:hint="eastAsia" w:ascii="宋体" w:hAnsi="宋体" w:eastAsia="宋体"/>
          <w:kern w:val="44"/>
          <w:sz w:val="21"/>
          <w:szCs w:val="21"/>
          <w:highlight w:val="none"/>
          <w:shd w:val="clear" w:color="auto" w:fill="FFFFFF"/>
        </w:rPr>
        <w:t>环境条件</w:t>
      </w:r>
      <w:bookmarkEnd w:id="93"/>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94" w:name="_Toc28868"/>
      <w:r>
        <w:rPr>
          <w:rFonts w:hint="eastAsia" w:ascii="宋体" w:hAnsi="宋体"/>
          <w:kern w:val="44"/>
          <w:sz w:val="21"/>
          <w:szCs w:val="21"/>
          <w:highlight w:val="none"/>
          <w:shd w:val="clear" w:color="auto" w:fill="FFFFFF"/>
        </w:rPr>
        <w:t>温湿度范围</w:t>
      </w:r>
      <w:bookmarkEnd w:id="94"/>
    </w:p>
    <w:p>
      <w:pPr>
        <w:pStyle w:val="156"/>
        <w:numPr>
          <w:ilvl w:val="0"/>
          <w:numId w:val="26"/>
        </w:numPr>
        <w:jc w:val="center"/>
        <w:rPr>
          <w:rFonts w:ascii="黑体" w:hAnsi="黑体" w:eastAsia="黑体"/>
          <w:b/>
          <w:color w:val="auto"/>
          <w:sz w:val="21"/>
          <w:szCs w:val="21"/>
          <w:highlight w:val="none"/>
        </w:rPr>
      </w:pPr>
      <w:r>
        <w:rPr>
          <w:rFonts w:ascii="黑体" w:hAnsi="黑体" w:eastAsia="黑体"/>
          <w:b/>
          <w:color w:val="auto"/>
          <w:sz w:val="21"/>
          <w:szCs w:val="21"/>
          <w:highlight w:val="none"/>
        </w:rPr>
        <w:t>表</w:t>
      </w:r>
      <w:r>
        <w:rPr>
          <w:rFonts w:hint="eastAsia" w:ascii="黑体" w:hAnsi="黑体" w:eastAsia="黑体"/>
          <w:b/>
          <w:color w:val="auto"/>
          <w:sz w:val="21"/>
          <w:szCs w:val="21"/>
          <w:highlight w:val="none"/>
        </w:rPr>
        <w:t>1</w:t>
      </w:r>
      <w:r>
        <w:rPr>
          <w:rFonts w:ascii="黑体" w:hAnsi="黑体" w:eastAsia="黑体"/>
          <w:b/>
          <w:color w:val="auto"/>
          <w:sz w:val="21"/>
          <w:szCs w:val="21"/>
          <w:highlight w:val="none"/>
        </w:rPr>
        <w:t>　温度范围</w:t>
      </w:r>
    </w:p>
    <w:tbl>
      <w:tblPr>
        <w:tblStyle w:val="43"/>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2941"/>
        <w:gridCol w:w="3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53" w:type="dxa"/>
            <w:noWrap w:val="0"/>
            <w:vAlign w:val="center"/>
          </w:tcPr>
          <w:p>
            <w:pPr>
              <w:spacing w:line="312" w:lineRule="auto"/>
              <w:jc w:val="center"/>
              <w:rPr>
                <w:szCs w:val="21"/>
                <w:highlight w:val="none"/>
              </w:rPr>
            </w:pPr>
          </w:p>
        </w:tc>
        <w:tc>
          <w:tcPr>
            <w:tcW w:w="2941" w:type="dxa"/>
            <w:noWrap w:val="0"/>
            <w:vAlign w:val="center"/>
          </w:tcPr>
          <w:p>
            <w:pPr>
              <w:spacing w:line="312" w:lineRule="auto"/>
              <w:jc w:val="center"/>
              <w:rPr>
                <w:szCs w:val="21"/>
                <w:highlight w:val="none"/>
              </w:rPr>
            </w:pPr>
            <w:r>
              <w:rPr>
                <w:rFonts w:hAnsi="宋体"/>
                <w:szCs w:val="21"/>
                <w:highlight w:val="none"/>
              </w:rPr>
              <w:t>户内式</w:t>
            </w:r>
          </w:p>
        </w:tc>
        <w:tc>
          <w:tcPr>
            <w:tcW w:w="3131" w:type="dxa"/>
            <w:noWrap w:val="0"/>
            <w:vAlign w:val="center"/>
          </w:tcPr>
          <w:p>
            <w:pPr>
              <w:spacing w:line="312" w:lineRule="auto"/>
              <w:jc w:val="center"/>
              <w:rPr>
                <w:szCs w:val="21"/>
                <w:highlight w:val="none"/>
              </w:rPr>
            </w:pPr>
            <w:r>
              <w:rPr>
                <w:rFonts w:hAnsi="宋体"/>
                <w:szCs w:val="21"/>
                <w:highlight w:val="none"/>
              </w:rPr>
              <w:t>户外式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53" w:type="dxa"/>
            <w:noWrap w:val="0"/>
            <w:vAlign w:val="center"/>
          </w:tcPr>
          <w:p>
            <w:pPr>
              <w:spacing w:line="312" w:lineRule="auto"/>
              <w:jc w:val="center"/>
              <w:rPr>
                <w:szCs w:val="21"/>
                <w:highlight w:val="none"/>
              </w:rPr>
            </w:pPr>
            <w:r>
              <w:rPr>
                <w:rFonts w:hAnsi="宋体"/>
                <w:szCs w:val="21"/>
                <w:highlight w:val="none"/>
              </w:rPr>
              <w:t>规定的工作范围</w:t>
            </w:r>
          </w:p>
        </w:tc>
        <w:tc>
          <w:tcPr>
            <w:tcW w:w="2941" w:type="dxa"/>
            <w:noWrap w:val="0"/>
            <w:vAlign w:val="center"/>
          </w:tcPr>
          <w:p>
            <w:pPr>
              <w:spacing w:line="312" w:lineRule="auto"/>
              <w:jc w:val="center"/>
              <w:rPr>
                <w:szCs w:val="21"/>
                <w:highlight w:val="none"/>
              </w:rPr>
            </w:pPr>
            <w:r>
              <w:rPr>
                <w:szCs w:val="21"/>
                <w:highlight w:val="none"/>
              </w:rPr>
              <w:t>-10</w:t>
            </w:r>
            <w:r>
              <w:rPr>
                <w:szCs w:val="21"/>
                <w:highlight w:val="none"/>
              </w:rPr>
              <w:sym w:font="Symbol" w:char="F0B0"/>
            </w:r>
            <w:r>
              <w:rPr>
                <w:szCs w:val="21"/>
                <w:highlight w:val="none"/>
              </w:rPr>
              <w:t xml:space="preserve">C </w:t>
            </w:r>
            <w:r>
              <w:rPr>
                <w:szCs w:val="21"/>
                <w:highlight w:val="none"/>
              </w:rPr>
              <w:sym w:font="Symbol" w:char="F07E"/>
            </w:r>
            <w:r>
              <w:rPr>
                <w:szCs w:val="21"/>
                <w:highlight w:val="none"/>
              </w:rPr>
              <w:t>45</w:t>
            </w:r>
            <w:r>
              <w:rPr>
                <w:szCs w:val="21"/>
                <w:highlight w:val="none"/>
              </w:rPr>
              <w:sym w:font="Symbol" w:char="F0B0"/>
            </w:r>
            <w:r>
              <w:rPr>
                <w:szCs w:val="21"/>
                <w:highlight w:val="none"/>
              </w:rPr>
              <w:t>C</w:t>
            </w:r>
          </w:p>
        </w:tc>
        <w:tc>
          <w:tcPr>
            <w:tcW w:w="3131" w:type="dxa"/>
            <w:noWrap w:val="0"/>
            <w:vAlign w:val="center"/>
          </w:tcPr>
          <w:p>
            <w:pPr>
              <w:spacing w:line="312" w:lineRule="auto"/>
              <w:jc w:val="center"/>
              <w:rPr>
                <w:szCs w:val="21"/>
                <w:highlight w:val="none"/>
              </w:rPr>
            </w:pPr>
            <w:r>
              <w:rPr>
                <w:szCs w:val="21"/>
                <w:highlight w:val="none"/>
              </w:rPr>
              <w:t>-20</w:t>
            </w:r>
            <w:r>
              <w:rPr>
                <w:szCs w:val="21"/>
                <w:highlight w:val="none"/>
              </w:rPr>
              <w:sym w:font="Symbol" w:char="F0B0"/>
            </w:r>
            <w:r>
              <w:rPr>
                <w:szCs w:val="21"/>
                <w:highlight w:val="none"/>
              </w:rPr>
              <w:t xml:space="preserve">C </w:t>
            </w:r>
            <w:r>
              <w:rPr>
                <w:szCs w:val="21"/>
                <w:highlight w:val="none"/>
              </w:rPr>
              <w:sym w:font="Symbol" w:char="F07E"/>
            </w:r>
            <w:r>
              <w:rPr>
                <w:szCs w:val="21"/>
                <w:highlight w:val="none"/>
              </w:rPr>
              <w:t>65</w:t>
            </w:r>
            <w:r>
              <w:rPr>
                <w:szCs w:val="21"/>
                <w:highlight w:val="none"/>
              </w:rPr>
              <w:sym w:font="Symbol" w:char="F0B0"/>
            </w:r>
            <w:r>
              <w:rPr>
                <w:szCs w:val="21"/>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953" w:type="dxa"/>
            <w:noWrap w:val="0"/>
            <w:vAlign w:val="center"/>
          </w:tcPr>
          <w:p>
            <w:pPr>
              <w:spacing w:line="312" w:lineRule="auto"/>
              <w:jc w:val="center"/>
              <w:rPr>
                <w:szCs w:val="21"/>
                <w:highlight w:val="none"/>
              </w:rPr>
            </w:pPr>
            <w:r>
              <w:rPr>
                <w:rFonts w:hAnsi="宋体"/>
                <w:szCs w:val="21"/>
                <w:highlight w:val="none"/>
              </w:rPr>
              <w:t>极限工作范围</w:t>
            </w:r>
          </w:p>
        </w:tc>
        <w:tc>
          <w:tcPr>
            <w:tcW w:w="2941" w:type="dxa"/>
            <w:noWrap w:val="0"/>
            <w:vAlign w:val="center"/>
          </w:tcPr>
          <w:p>
            <w:pPr>
              <w:spacing w:line="312" w:lineRule="auto"/>
              <w:jc w:val="center"/>
              <w:rPr>
                <w:szCs w:val="21"/>
                <w:highlight w:val="none"/>
              </w:rPr>
            </w:pPr>
            <w:r>
              <w:rPr>
                <w:szCs w:val="21"/>
                <w:highlight w:val="none"/>
              </w:rPr>
              <w:t>-20</w:t>
            </w:r>
            <w:r>
              <w:rPr>
                <w:szCs w:val="21"/>
                <w:highlight w:val="none"/>
              </w:rPr>
              <w:sym w:font="Symbol" w:char="F0B0"/>
            </w:r>
            <w:r>
              <w:rPr>
                <w:szCs w:val="21"/>
                <w:highlight w:val="none"/>
              </w:rPr>
              <w:t xml:space="preserve">C </w:t>
            </w:r>
            <w:r>
              <w:rPr>
                <w:szCs w:val="21"/>
                <w:highlight w:val="none"/>
              </w:rPr>
              <w:sym w:font="Symbol" w:char="F07E"/>
            </w:r>
            <w:r>
              <w:rPr>
                <w:szCs w:val="21"/>
                <w:highlight w:val="none"/>
              </w:rPr>
              <w:t>60</w:t>
            </w:r>
            <w:r>
              <w:rPr>
                <w:szCs w:val="21"/>
                <w:highlight w:val="none"/>
              </w:rPr>
              <w:sym w:font="Symbol" w:char="F0B0"/>
            </w:r>
            <w:r>
              <w:rPr>
                <w:szCs w:val="21"/>
                <w:highlight w:val="none"/>
              </w:rPr>
              <w:t>C</w:t>
            </w:r>
          </w:p>
        </w:tc>
        <w:tc>
          <w:tcPr>
            <w:tcW w:w="3131" w:type="dxa"/>
            <w:noWrap w:val="0"/>
            <w:vAlign w:val="center"/>
          </w:tcPr>
          <w:p>
            <w:pPr>
              <w:spacing w:line="312" w:lineRule="auto"/>
              <w:jc w:val="center"/>
              <w:rPr>
                <w:szCs w:val="21"/>
                <w:highlight w:val="none"/>
              </w:rPr>
            </w:pPr>
            <w:r>
              <w:rPr>
                <w:szCs w:val="21"/>
                <w:highlight w:val="none"/>
              </w:rPr>
              <w:t>-25</w:t>
            </w:r>
            <w:r>
              <w:rPr>
                <w:szCs w:val="21"/>
                <w:highlight w:val="none"/>
              </w:rPr>
              <w:sym w:font="Symbol" w:char="F0B0"/>
            </w:r>
            <w:r>
              <w:rPr>
                <w:szCs w:val="21"/>
                <w:highlight w:val="none"/>
              </w:rPr>
              <w:t xml:space="preserve">C </w:t>
            </w:r>
            <w:r>
              <w:rPr>
                <w:szCs w:val="21"/>
                <w:highlight w:val="none"/>
              </w:rPr>
              <w:sym w:font="Symbol" w:char="F07E"/>
            </w:r>
            <w:r>
              <w:rPr>
                <w:szCs w:val="21"/>
                <w:highlight w:val="none"/>
              </w:rPr>
              <w:t>75</w:t>
            </w:r>
            <w:r>
              <w:rPr>
                <w:szCs w:val="21"/>
                <w:highlight w:val="none"/>
              </w:rPr>
              <w:sym w:font="Symbol" w:char="F0B0"/>
            </w:r>
            <w:r>
              <w:rPr>
                <w:szCs w:val="21"/>
                <w:highlight w:val="none"/>
              </w:rPr>
              <w:t>C</w:t>
            </w:r>
          </w:p>
        </w:tc>
      </w:tr>
    </w:tbl>
    <w:p>
      <w:pPr>
        <w:topLinePunct/>
        <w:spacing w:before="120" w:beforeLines="50"/>
        <w:ind w:firstLine="420" w:firstLineChars="200"/>
        <w:rPr>
          <w:szCs w:val="21"/>
          <w:highlight w:val="none"/>
        </w:rPr>
      </w:pPr>
      <w:r>
        <w:rPr>
          <w:rFonts w:hAnsi="宋体"/>
          <w:szCs w:val="21"/>
          <w:highlight w:val="none"/>
        </w:rPr>
        <w:t>订货方可根据实际使用情况对温度范围提出特殊要求。</w:t>
      </w:r>
    </w:p>
    <w:p>
      <w:pPr>
        <w:pStyle w:val="156"/>
        <w:numPr>
          <w:ilvl w:val="0"/>
          <w:numId w:val="26"/>
        </w:numPr>
        <w:jc w:val="center"/>
        <w:rPr>
          <w:rFonts w:ascii="黑体" w:hAnsi="黑体" w:eastAsia="黑体"/>
          <w:b/>
          <w:color w:val="auto"/>
          <w:sz w:val="21"/>
          <w:szCs w:val="21"/>
          <w:highlight w:val="none"/>
        </w:rPr>
      </w:pPr>
      <w:r>
        <w:rPr>
          <w:rFonts w:ascii="黑体" w:hAnsi="黑体" w:eastAsia="黑体"/>
          <w:b/>
          <w:color w:val="auto"/>
          <w:sz w:val="21"/>
          <w:szCs w:val="21"/>
          <w:highlight w:val="none"/>
        </w:rPr>
        <w:t>表</w:t>
      </w:r>
      <w:r>
        <w:rPr>
          <w:rFonts w:hint="eastAsia" w:ascii="黑体" w:hAnsi="黑体" w:eastAsia="黑体"/>
          <w:b/>
          <w:color w:val="auto"/>
          <w:sz w:val="21"/>
          <w:szCs w:val="21"/>
          <w:highlight w:val="none"/>
        </w:rPr>
        <w:t>2</w:t>
      </w:r>
      <w:r>
        <w:rPr>
          <w:rFonts w:ascii="黑体" w:hAnsi="黑体" w:eastAsia="黑体"/>
          <w:b/>
          <w:color w:val="auto"/>
          <w:sz w:val="21"/>
          <w:szCs w:val="21"/>
          <w:highlight w:val="none"/>
        </w:rPr>
        <w:t>　相对湿度</w:t>
      </w:r>
    </w:p>
    <w:tbl>
      <w:tblPr>
        <w:tblStyle w:val="43"/>
        <w:tblW w:w="90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4"/>
        <w:gridCol w:w="4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514" w:type="dxa"/>
            <w:noWrap w:val="0"/>
            <w:vAlign w:val="center"/>
          </w:tcPr>
          <w:p>
            <w:pPr>
              <w:spacing w:line="312" w:lineRule="auto"/>
              <w:jc w:val="center"/>
              <w:rPr>
                <w:szCs w:val="21"/>
                <w:highlight w:val="none"/>
              </w:rPr>
            </w:pPr>
            <w:r>
              <w:rPr>
                <w:rFonts w:hAnsi="宋体"/>
                <w:szCs w:val="21"/>
                <w:highlight w:val="none"/>
              </w:rPr>
              <w:t>年平均</w:t>
            </w:r>
          </w:p>
        </w:tc>
        <w:tc>
          <w:tcPr>
            <w:tcW w:w="4514" w:type="dxa"/>
            <w:noWrap w:val="0"/>
            <w:vAlign w:val="center"/>
          </w:tcPr>
          <w:p>
            <w:pPr>
              <w:spacing w:line="312" w:lineRule="auto"/>
              <w:jc w:val="center"/>
              <w:rPr>
                <w:szCs w:val="21"/>
                <w:highlight w:val="none"/>
              </w:rPr>
            </w:pPr>
            <w:r>
              <w:rPr>
                <w:szCs w:val="21"/>
                <w:highlight w:val="none"/>
              </w:rPr>
              <w:t>&lt; 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514" w:type="dxa"/>
            <w:noWrap w:val="0"/>
            <w:vAlign w:val="center"/>
          </w:tcPr>
          <w:p>
            <w:pPr>
              <w:spacing w:line="312" w:lineRule="auto"/>
              <w:jc w:val="center"/>
              <w:rPr>
                <w:szCs w:val="21"/>
                <w:highlight w:val="none"/>
              </w:rPr>
            </w:pPr>
            <w:r>
              <w:rPr>
                <w:szCs w:val="21"/>
                <w:highlight w:val="none"/>
              </w:rPr>
              <w:t>40</w:t>
            </w:r>
            <w:r>
              <w:rPr>
                <w:rFonts w:hAnsi="宋体"/>
                <w:szCs w:val="21"/>
                <w:highlight w:val="none"/>
              </w:rPr>
              <w:t>天（这些天以自然方式分布在一年中）</w:t>
            </w:r>
          </w:p>
        </w:tc>
        <w:tc>
          <w:tcPr>
            <w:tcW w:w="4514" w:type="dxa"/>
            <w:noWrap w:val="0"/>
            <w:vAlign w:val="center"/>
          </w:tcPr>
          <w:p>
            <w:pPr>
              <w:spacing w:line="312" w:lineRule="auto"/>
              <w:jc w:val="center"/>
              <w:rPr>
                <w:szCs w:val="21"/>
                <w:highlight w:val="none"/>
              </w:rPr>
            </w:pPr>
            <w:r>
              <w:rPr>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514" w:type="dxa"/>
            <w:noWrap w:val="0"/>
            <w:vAlign w:val="center"/>
          </w:tcPr>
          <w:p>
            <w:pPr>
              <w:spacing w:line="312" w:lineRule="auto"/>
              <w:jc w:val="center"/>
              <w:rPr>
                <w:szCs w:val="21"/>
                <w:highlight w:val="none"/>
              </w:rPr>
            </w:pPr>
            <w:r>
              <w:rPr>
                <w:rFonts w:hAnsi="宋体"/>
                <w:szCs w:val="21"/>
                <w:highlight w:val="none"/>
              </w:rPr>
              <w:t>在其他天偶然出现</w:t>
            </w:r>
          </w:p>
        </w:tc>
        <w:tc>
          <w:tcPr>
            <w:tcW w:w="4514" w:type="dxa"/>
            <w:noWrap w:val="0"/>
            <w:vAlign w:val="center"/>
          </w:tcPr>
          <w:p>
            <w:pPr>
              <w:spacing w:line="312" w:lineRule="auto"/>
              <w:jc w:val="center"/>
              <w:rPr>
                <w:szCs w:val="21"/>
                <w:highlight w:val="none"/>
              </w:rPr>
            </w:pPr>
            <w:r>
              <w:rPr>
                <w:szCs w:val="21"/>
                <w:highlight w:val="none"/>
              </w:rPr>
              <w:t>85%</w:t>
            </w:r>
          </w:p>
        </w:tc>
      </w:tr>
    </w:tbl>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95" w:name="_Toc407270734"/>
      <w:bookmarkStart w:id="96" w:name="_Toc3423"/>
      <w:bookmarkStart w:id="97" w:name="_Toc395780085"/>
      <w:r>
        <w:rPr>
          <w:rFonts w:ascii="宋体" w:hAnsi="宋体"/>
          <w:kern w:val="44"/>
          <w:sz w:val="21"/>
          <w:szCs w:val="21"/>
          <w:highlight w:val="none"/>
          <w:shd w:val="clear" w:color="auto" w:fill="FFFFFF"/>
        </w:rPr>
        <w:t>大气压力</w:t>
      </w:r>
      <w:bookmarkEnd w:id="95"/>
      <w:bookmarkEnd w:id="96"/>
      <w:bookmarkEnd w:id="97"/>
      <w:r>
        <w:rPr>
          <w:rFonts w:ascii="宋体" w:hAnsi="宋体"/>
          <w:kern w:val="44"/>
          <w:sz w:val="21"/>
          <w:szCs w:val="21"/>
          <w:highlight w:val="none"/>
          <w:shd w:val="clear" w:color="auto" w:fill="FFFFFF"/>
        </w:rPr>
        <w:tab/>
      </w:r>
    </w:p>
    <w:p>
      <w:pPr>
        <w:spacing w:line="360" w:lineRule="auto"/>
        <w:ind w:firstLine="420"/>
        <w:rPr>
          <w:rFonts w:hAnsi="宋体"/>
          <w:szCs w:val="21"/>
          <w:highlight w:val="none"/>
        </w:rPr>
      </w:pPr>
      <w:r>
        <w:rPr>
          <w:szCs w:val="21"/>
          <w:highlight w:val="none"/>
        </w:rPr>
        <w:t>63.0kPa</w:t>
      </w:r>
      <w:r>
        <w:rPr>
          <w:rFonts w:hAnsi="宋体"/>
          <w:szCs w:val="21"/>
          <w:highlight w:val="none"/>
        </w:rPr>
        <w:t>～</w:t>
      </w:r>
      <w:r>
        <w:rPr>
          <w:szCs w:val="21"/>
          <w:highlight w:val="none"/>
        </w:rPr>
        <w:t>106.0kPa</w:t>
      </w:r>
      <w:r>
        <w:rPr>
          <w:rFonts w:hAnsi="宋体"/>
          <w:szCs w:val="21"/>
          <w:highlight w:val="none"/>
        </w:rPr>
        <w:t>（海拔</w:t>
      </w:r>
      <w:r>
        <w:rPr>
          <w:szCs w:val="21"/>
          <w:highlight w:val="none"/>
        </w:rPr>
        <w:t>4000m</w:t>
      </w:r>
      <w:r>
        <w:rPr>
          <w:rFonts w:hAnsi="宋体"/>
          <w:szCs w:val="21"/>
          <w:highlight w:val="none"/>
        </w:rPr>
        <w:t>及以下），特殊订货要求除外。</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98" w:name="_Toc18606"/>
      <w:r>
        <w:rPr>
          <w:rFonts w:hint="eastAsia" w:ascii="宋体" w:hAnsi="宋体"/>
          <w:kern w:val="44"/>
          <w:sz w:val="21"/>
          <w:szCs w:val="21"/>
          <w:highlight w:val="none"/>
          <w:shd w:val="clear" w:color="auto" w:fill="FFFFFF"/>
        </w:rPr>
        <w:t>污染等级</w:t>
      </w:r>
      <w:bookmarkEnd w:id="98"/>
      <w:r>
        <w:rPr>
          <w:rFonts w:ascii="宋体" w:hAnsi="宋体"/>
          <w:kern w:val="44"/>
          <w:sz w:val="21"/>
          <w:szCs w:val="21"/>
          <w:highlight w:val="none"/>
          <w:shd w:val="clear" w:color="auto" w:fill="FFFFFF"/>
        </w:rPr>
        <w:t xml:space="preserve"> </w:t>
      </w:r>
    </w:p>
    <w:p>
      <w:pPr>
        <w:pStyle w:val="156"/>
        <w:ind w:firstLine="525" w:firstLineChars="250"/>
        <w:rPr>
          <w:rFonts w:ascii="Times New Roman" w:hAnsi="宋体"/>
          <w:color w:val="auto"/>
          <w:kern w:val="2"/>
          <w:sz w:val="21"/>
          <w:szCs w:val="21"/>
          <w:highlight w:val="none"/>
        </w:rPr>
      </w:pPr>
      <w:r>
        <w:rPr>
          <w:rFonts w:hint="eastAsia" w:ascii="Times New Roman" w:hAnsi="宋体"/>
          <w:color w:val="auto"/>
          <w:kern w:val="2"/>
          <w:sz w:val="21"/>
          <w:szCs w:val="21"/>
          <w:highlight w:val="none"/>
        </w:rPr>
        <w:t>污染等级不超过3级。</w:t>
      </w:r>
      <w:r>
        <w:rPr>
          <w:rFonts w:ascii="Times New Roman" w:hAnsi="宋体"/>
          <w:color w:val="auto"/>
          <w:kern w:val="2"/>
          <w:sz w:val="21"/>
          <w:szCs w:val="21"/>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99" w:name="_Toc2703"/>
      <w:r>
        <w:rPr>
          <w:rFonts w:hint="eastAsia" w:ascii="宋体" w:hAnsi="宋体"/>
          <w:kern w:val="44"/>
          <w:sz w:val="21"/>
          <w:szCs w:val="21"/>
          <w:highlight w:val="none"/>
          <w:shd w:val="clear" w:color="auto" w:fill="FFFFFF"/>
        </w:rPr>
        <w:t>安装条件</w:t>
      </w:r>
      <w:bookmarkEnd w:id="99"/>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计量表箱安装场所条件应能满足：</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墙面、电杆、落地等场所安装；</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地震烈度：</w:t>
      </w:r>
      <w:r>
        <w:rPr>
          <w:highlight w:val="none"/>
        </w:rPr>
        <w:t>8</w:t>
      </w:r>
      <w:r>
        <w:rPr>
          <w:rFonts w:hint="eastAsia"/>
          <w:highlight w:val="none"/>
        </w:rPr>
        <w:t>度；</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bookmarkStart w:id="100" w:name="OLE_LINK28"/>
      <w:r>
        <w:rPr>
          <w:rFonts w:hint="eastAsia"/>
          <w:highlight w:val="none"/>
        </w:rPr>
        <w:t>地面风力：</w:t>
      </w:r>
      <w:r>
        <w:rPr>
          <w:highlight w:val="none"/>
        </w:rPr>
        <w:t>8</w:t>
      </w:r>
      <w:r>
        <w:rPr>
          <w:rFonts w:hint="eastAsia"/>
          <w:highlight w:val="none"/>
        </w:rPr>
        <w:t>级</w:t>
      </w:r>
      <w:bookmarkEnd w:id="100"/>
      <w:r>
        <w:rPr>
          <w:rFonts w:hint="eastAsia"/>
          <w:highlight w:val="none"/>
        </w:rPr>
        <w:t>。</w:t>
      </w:r>
      <w:r>
        <w:rPr>
          <w:highlight w:val="none"/>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01" w:name="_Toc13292"/>
      <w:r>
        <w:rPr>
          <w:rFonts w:hint="eastAsia" w:ascii="宋体" w:hAnsi="宋体" w:eastAsia="宋体"/>
          <w:kern w:val="44"/>
          <w:sz w:val="21"/>
          <w:szCs w:val="21"/>
          <w:highlight w:val="none"/>
          <w:shd w:val="clear" w:color="auto" w:fill="FFFFFF"/>
        </w:rPr>
        <w:t>基本功能</w:t>
      </w:r>
      <w:bookmarkEnd w:id="101"/>
      <w:r>
        <w:rPr>
          <w:rFonts w:ascii="宋体" w:hAnsi="宋体" w:eastAsia="宋体"/>
          <w:kern w:val="44"/>
          <w:sz w:val="21"/>
          <w:szCs w:val="21"/>
          <w:highlight w:val="none"/>
          <w:shd w:val="clear" w:color="auto" w:fill="FFFFFF"/>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02" w:name="_Toc19331"/>
      <w:r>
        <w:rPr>
          <w:rFonts w:hint="eastAsia" w:ascii="宋体" w:hAnsi="宋体"/>
          <w:kern w:val="44"/>
          <w:sz w:val="21"/>
          <w:szCs w:val="21"/>
          <w:highlight w:val="none"/>
          <w:shd w:val="clear" w:color="auto" w:fill="FFFFFF"/>
        </w:rPr>
        <w:t>安装功能</w:t>
      </w:r>
      <w:bookmarkEnd w:id="102"/>
      <w:r>
        <w:rPr>
          <w:rFonts w:ascii="宋体" w:hAnsi="宋体"/>
          <w:kern w:val="44"/>
          <w:sz w:val="21"/>
          <w:szCs w:val="21"/>
          <w:highlight w:val="none"/>
          <w:shd w:val="clear" w:color="auto" w:fill="FFFFFF"/>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03" w:name="_Toc26530"/>
      <w:r>
        <w:rPr>
          <w:rFonts w:hint="eastAsia" w:ascii="宋体" w:hAnsi="宋体"/>
          <w:kern w:val="44"/>
          <w:sz w:val="21"/>
          <w:szCs w:val="21"/>
          <w:highlight w:val="none"/>
          <w:shd w:val="clear" w:color="auto" w:fill="FFFFFF"/>
        </w:rPr>
        <w:t>电能表安装</w:t>
      </w:r>
      <w:bookmarkEnd w:id="103"/>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计量表箱应具备电能表快速、方便、安全、牢靠安装功能：</w:t>
      </w:r>
      <w:r>
        <w:rPr>
          <w:highlight w:val="none"/>
        </w:rPr>
        <w:t xml:space="preserve"> </w:t>
      </w:r>
    </w:p>
    <w:p>
      <w:pPr>
        <w:spacing w:line="360" w:lineRule="auto"/>
        <w:ind w:firstLine="420"/>
        <w:rPr>
          <w:rFonts w:hint="eastAsia"/>
          <w:highlight w:val="none"/>
        </w:rPr>
      </w:pPr>
      <w:r>
        <w:rPr>
          <w:rFonts w:hint="eastAsia"/>
          <w:highlight w:val="none"/>
        </w:rPr>
        <w:t>1</w:t>
      </w:r>
      <w:r>
        <w:rPr>
          <w:highlight w:val="none"/>
        </w:rPr>
        <w:t xml:space="preserve">) </w:t>
      </w:r>
      <w:r>
        <w:rPr>
          <w:rFonts w:hint="eastAsia"/>
          <w:highlight w:val="none"/>
        </w:rPr>
        <w:t xml:space="preserve">满足Q/CSG1209003-2015 、Q/CSG1209004-2015规定的电能表安装需求； </w:t>
      </w:r>
    </w:p>
    <w:p>
      <w:pPr>
        <w:spacing w:line="360" w:lineRule="auto"/>
        <w:ind w:firstLine="420"/>
        <w:rPr>
          <w:rFonts w:hint="eastAsia" w:eastAsia="宋体"/>
          <w:highlight w:val="none"/>
          <w:lang w:eastAsia="zh-CN"/>
        </w:rPr>
      </w:pPr>
      <w:r>
        <w:rPr>
          <w:rFonts w:hint="eastAsia"/>
          <w:highlight w:val="none"/>
        </w:rPr>
        <w:t>2)电能表安装接线部位的电线裸露部位应加套不少于20mm长的专用铜质套管固定多股铜芯线</w:t>
      </w:r>
      <w:r>
        <w:rPr>
          <w:rFonts w:hint="eastAsia"/>
          <w:highlight w:val="none"/>
          <w:lang w:eastAsia="zh-CN"/>
        </w:rPr>
        <w:t>；</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应保证安装后的电能表端正、排列整齐，且与箱门观察窗完整对应；</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计量表箱底部应具有与电能表安装孔相对应安装固定点，确保安装后的电能表无晃动。</w:t>
      </w:r>
      <w:r>
        <w:rPr>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04" w:name="_Toc20682"/>
      <w:r>
        <w:rPr>
          <w:rFonts w:hint="eastAsia" w:ascii="宋体" w:hAnsi="宋体"/>
          <w:kern w:val="44"/>
          <w:sz w:val="21"/>
          <w:szCs w:val="21"/>
          <w:highlight w:val="none"/>
          <w:shd w:val="clear" w:color="auto" w:fill="FFFFFF"/>
        </w:rPr>
        <w:t>互感器安装</w:t>
      </w:r>
      <w:bookmarkEnd w:id="104"/>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经互感器接入式计量表箱应具备互感器快速、方便、安全安装功能：</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满足</w:t>
      </w:r>
      <w:r>
        <w:rPr>
          <w:rFonts w:hint="eastAsia" w:cs="Arial"/>
          <w:szCs w:val="21"/>
          <w:highlight w:val="none"/>
        </w:rPr>
        <w:t>南方电网公司互感器技术规范</w:t>
      </w:r>
      <w:r>
        <w:rPr>
          <w:rFonts w:hint="eastAsia"/>
          <w:highlight w:val="none"/>
        </w:rPr>
        <w:t>中规定的互感器安装需求；</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互感器室应有互感器安装定位、紧固及底座电气短接互联措施，其结构尺寸符合相应互感器外形尺寸；</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一次导线型式及连接应便于穿心式互感器安装；</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互感器二次端子连接导线应预留足够长度，试验接线盒处接线准确无误。</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05" w:name="_Toc27189"/>
      <w:r>
        <w:rPr>
          <w:rFonts w:hint="eastAsia" w:ascii="宋体" w:hAnsi="宋体"/>
          <w:kern w:val="44"/>
          <w:sz w:val="21"/>
          <w:szCs w:val="21"/>
          <w:highlight w:val="none"/>
          <w:shd w:val="clear" w:color="auto" w:fill="FFFFFF"/>
        </w:rPr>
        <w:t>采集器安装</w:t>
      </w:r>
      <w:bookmarkEnd w:id="105"/>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计量表箱应具备采集器快速、方便、安全安装功能：</w:t>
      </w:r>
      <w:r>
        <w:rPr>
          <w:highlight w:val="none"/>
        </w:rPr>
        <w:t xml:space="preserve"> </w:t>
      </w:r>
    </w:p>
    <w:p>
      <w:pPr>
        <w:spacing w:line="360" w:lineRule="auto"/>
        <w:ind w:firstLine="420"/>
        <w:rPr>
          <w:highlight w:val="none"/>
        </w:rPr>
      </w:pPr>
      <w:r>
        <w:rPr>
          <w:highlight w:val="none"/>
        </w:rPr>
        <w:t xml:space="preserve">) </w:t>
      </w:r>
      <w:r>
        <w:rPr>
          <w:rFonts w:hint="eastAsia"/>
          <w:highlight w:val="none"/>
        </w:rPr>
        <w:t>计量表箱进线室应具有：采集器安装位置与安装措施；</w:t>
      </w:r>
      <w:r>
        <w:rPr>
          <w:highlight w:val="none"/>
        </w:rPr>
        <w:t xml:space="preserve"> RS485</w:t>
      </w:r>
      <w:r>
        <w:rPr>
          <w:rFonts w:hint="eastAsia"/>
          <w:highlight w:val="none"/>
        </w:rPr>
        <w:t>总线连接装置及通讯电缆连接通道；屏蔽电缆接地措施；</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采集器三个安装固定点按采集器挂鼻伸出状态下定位、限位，螺纹连接时应采用螺母连接型式，保证安装后的采集器端正、与箱门观察窗对应。安装尺寸参见</w:t>
      </w:r>
      <w:r>
        <w:rPr>
          <w:rFonts w:hint="eastAsia" w:cs="Arial"/>
          <w:szCs w:val="21"/>
          <w:highlight w:val="none"/>
        </w:rPr>
        <w:t>Q/CSG 11109005-2013、Q/CSG 11109006-2013</w:t>
      </w:r>
      <w:r>
        <w:rPr>
          <w:rFonts w:hint="eastAsia"/>
          <w:highlight w:val="none"/>
        </w:rPr>
        <w:t>中相应采集器结构尺寸。</w:t>
      </w:r>
      <w:r>
        <w:rPr>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06" w:name="_Toc14077"/>
      <w:r>
        <w:rPr>
          <w:rFonts w:hint="eastAsia" w:ascii="宋体" w:hAnsi="宋体"/>
          <w:kern w:val="44"/>
          <w:sz w:val="21"/>
          <w:szCs w:val="21"/>
          <w:highlight w:val="none"/>
          <w:shd w:val="clear" w:color="auto" w:fill="FFFFFF"/>
        </w:rPr>
        <w:t>进线电缆及分户出线安装</w:t>
      </w:r>
      <w:bookmarkEnd w:id="106"/>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计量表箱应具备电源电缆、通讯电缆及出户线快速、方便、安全连接功能，箱内具有：</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与计量表箱容量匹配的进线电缆通道及相应的固定、导引措施；</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线缆方便、有效的连接措施，满足多种电缆接头接入及电气安全间隙要求；</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电缆折弯、人工接线操作所需合适空间；</w:t>
      </w:r>
      <w:r>
        <w:rPr>
          <w:highlight w:val="none"/>
        </w:rPr>
        <w:t xml:space="preserve"> </w:t>
      </w:r>
    </w:p>
    <w:p>
      <w:pPr>
        <w:spacing w:line="360" w:lineRule="auto"/>
        <w:ind w:firstLine="420"/>
        <w:rPr>
          <w:rFonts w:ascii="宋体" w:hAnsi="Courier New" w:cs="宋体"/>
          <w:szCs w:val="21"/>
          <w:highlight w:val="none"/>
        </w:rPr>
      </w:pPr>
      <w:r>
        <w:rPr>
          <w:rFonts w:hint="eastAsia"/>
          <w:highlight w:val="none"/>
        </w:rPr>
        <w:t>4</w:t>
      </w:r>
      <w:r>
        <w:rPr>
          <w:highlight w:val="none"/>
        </w:rPr>
        <w:t xml:space="preserve">) </w:t>
      </w:r>
      <w:r>
        <w:rPr>
          <w:rFonts w:hint="eastAsia"/>
          <w:highlight w:val="none"/>
        </w:rPr>
        <w:t>电缆下进</w:t>
      </w:r>
      <w:r>
        <w:rPr>
          <w:rFonts w:hint="eastAsia"/>
          <w:highlight w:val="none"/>
          <w:lang w:eastAsia="zh-CN"/>
        </w:rPr>
        <w:t>、侧进</w:t>
      </w:r>
      <w:r>
        <w:rPr>
          <w:rFonts w:hint="eastAsia"/>
          <w:highlight w:val="none"/>
        </w:rPr>
        <w:t>，分户线下出等方式的结构措施。</w:t>
      </w:r>
      <w:r>
        <w:rPr>
          <w:rFonts w:ascii="宋体" w:hAnsi="Courier New" w:cs="宋体"/>
          <w:szCs w:val="21"/>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07" w:name="_Toc32378"/>
      <w:r>
        <w:rPr>
          <w:rFonts w:hint="eastAsia" w:ascii="宋体" w:hAnsi="宋体"/>
          <w:kern w:val="44"/>
          <w:sz w:val="21"/>
          <w:szCs w:val="21"/>
          <w:highlight w:val="none"/>
          <w:shd w:val="clear" w:color="auto" w:fill="FFFFFF"/>
        </w:rPr>
        <w:t>进、出线开关安装</w:t>
      </w:r>
      <w:bookmarkEnd w:id="107"/>
    </w:p>
    <w:p>
      <w:pPr>
        <w:spacing w:line="360" w:lineRule="auto"/>
        <w:ind w:firstLine="420"/>
        <w:rPr>
          <w:highlight w:val="none"/>
        </w:rPr>
      </w:pPr>
      <w:r>
        <w:rPr>
          <w:rFonts w:hint="eastAsia"/>
          <w:highlight w:val="none"/>
        </w:rPr>
        <w:t>计量表箱应具备进、出线开关快速、方便、安全安装功能：</w:t>
      </w:r>
    </w:p>
    <w:p>
      <w:pPr>
        <w:spacing w:line="360" w:lineRule="auto"/>
        <w:ind w:firstLine="420"/>
        <w:rPr>
          <w:rFonts w:hint="eastAsia" w:eastAsia="宋体"/>
          <w:highlight w:val="none"/>
          <w:lang w:eastAsia="zh-CN"/>
        </w:rPr>
      </w:pPr>
      <w:r>
        <w:rPr>
          <w:rFonts w:hint="eastAsia"/>
          <w:highlight w:val="none"/>
        </w:rPr>
        <w:t>1) 满足本技术规范表5中规定的各类开关安装需求</w:t>
      </w:r>
      <w:r>
        <w:rPr>
          <w:rFonts w:hint="eastAsia"/>
          <w:highlight w:val="none"/>
          <w:lang w:eastAsia="zh-CN"/>
        </w:rPr>
        <w:t>；</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进线开关室应有开关安装定位、紧固及底座电气短接互联措施；</w:t>
      </w:r>
      <w:r>
        <w:rPr>
          <w:highlight w:val="none"/>
        </w:rPr>
        <w:t xml:space="preserve"> </w:t>
      </w:r>
    </w:p>
    <w:p>
      <w:pPr>
        <w:spacing w:line="360" w:lineRule="auto"/>
        <w:ind w:firstLine="420"/>
        <w:rPr>
          <w:rFonts w:hint="eastAsia" w:eastAsia="宋体"/>
          <w:highlight w:val="none"/>
          <w:lang w:eastAsia="zh-CN"/>
        </w:rPr>
      </w:pPr>
      <w:r>
        <w:rPr>
          <w:rFonts w:hint="eastAsia"/>
          <w:highlight w:val="none"/>
        </w:rPr>
        <w:t>3) 出线开关室应有快速安装、固定开关的导轨</w:t>
      </w:r>
      <w:r>
        <w:rPr>
          <w:rFonts w:hint="eastAsia"/>
          <w:highlight w:val="none"/>
          <w:lang w:eastAsia="zh-CN"/>
        </w:rPr>
        <w:t>；</w:t>
      </w:r>
    </w:p>
    <w:p>
      <w:pPr>
        <w:spacing w:line="360" w:lineRule="auto"/>
        <w:ind w:firstLine="420"/>
        <w:rPr>
          <w:rFonts w:ascii="宋体" w:hAnsi="Courier New" w:cs="宋体"/>
          <w:szCs w:val="21"/>
          <w:highlight w:val="none"/>
        </w:rPr>
      </w:pPr>
      <w:r>
        <w:rPr>
          <w:rFonts w:hint="eastAsia"/>
          <w:highlight w:val="none"/>
        </w:rPr>
        <w:t>4）分户出线开关接线部位的电线裸露部位应加套不少于12mm长的专用铜质套管固定多股铜芯线。</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08" w:name="_Toc29623"/>
      <w:r>
        <w:rPr>
          <w:rFonts w:hint="eastAsia" w:ascii="宋体" w:hAnsi="宋体"/>
          <w:kern w:val="44"/>
          <w:sz w:val="21"/>
          <w:szCs w:val="21"/>
          <w:highlight w:val="none"/>
          <w:shd w:val="clear" w:color="auto" w:fill="FFFFFF"/>
        </w:rPr>
        <w:t>箱体安装</w:t>
      </w:r>
      <w:bookmarkEnd w:id="108"/>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计量表箱箱体安装应安全、可靠，易于操作：</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计量表箱应有相应独立的专用安装附件，满足悬挂、嵌入、电杆等方式安装需求；</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箱体及安装板应有相应的安装定位措施及相应安装操作所需空间；</w:t>
      </w:r>
      <w:r>
        <w:rPr>
          <w:highlight w:val="none"/>
        </w:rPr>
        <w:t xml:space="preserve"> </w:t>
      </w:r>
    </w:p>
    <w:p>
      <w:pPr>
        <w:spacing w:line="360" w:lineRule="auto"/>
        <w:ind w:firstLine="420"/>
        <w:rPr>
          <w:rFonts w:ascii="宋体" w:hAnsi="Courier New" w:cs="宋体"/>
          <w:szCs w:val="21"/>
          <w:highlight w:val="none"/>
        </w:rPr>
      </w:pPr>
      <w:r>
        <w:rPr>
          <w:rFonts w:hint="eastAsia"/>
          <w:highlight w:val="none"/>
        </w:rPr>
        <w:t>3</w:t>
      </w:r>
      <w:r>
        <w:rPr>
          <w:highlight w:val="none"/>
        </w:rPr>
        <w:t xml:space="preserve">) </w:t>
      </w:r>
      <w:r>
        <w:rPr>
          <w:rFonts w:hint="eastAsia"/>
          <w:highlight w:val="none"/>
        </w:rPr>
        <w:t>箱组式计量表箱易于用户现场电气连接、拼装，安装附件应具备水平方向位置基准调节功能。</w:t>
      </w:r>
      <w:r>
        <w:rPr>
          <w:rFonts w:ascii="宋体" w:hAnsi="Courier New" w:cs="宋体"/>
          <w:szCs w:val="21"/>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09" w:name="_Toc29007"/>
      <w:r>
        <w:rPr>
          <w:rFonts w:hint="eastAsia" w:ascii="宋体" w:hAnsi="宋体"/>
          <w:kern w:val="44"/>
          <w:sz w:val="21"/>
          <w:szCs w:val="21"/>
          <w:highlight w:val="none"/>
          <w:shd w:val="clear" w:color="auto" w:fill="FFFFFF"/>
        </w:rPr>
        <w:t>附属设施安装</w:t>
      </w:r>
      <w:bookmarkEnd w:id="109"/>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计量表箱应具备无线通讯设备附属天线、计量表箱标识或标贴等附件安装功能：</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计量表箱应有通讯天线箱内、箱外安装的结构措施；</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多表位计量表箱分路（户）开关、电能表、观察窗的安装处应有户号标贴定位安装的结构措施并在出厂时粘贴或压铸一一对应的序号标识，标识应清晰、准确；外壳合适部位具有</w:t>
      </w:r>
      <w:r>
        <w:rPr>
          <w:highlight w:val="none"/>
        </w:rPr>
        <w:t>RFID</w:t>
      </w:r>
      <w:r>
        <w:rPr>
          <w:rFonts w:hint="eastAsia"/>
          <w:highlight w:val="none"/>
        </w:rPr>
        <w:t>标签定位安装的结构措施；</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计量表箱加封位置应位于锁体或铅封门（挂锁防护门）上。</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10" w:name="_Toc24392"/>
      <w:r>
        <w:rPr>
          <w:rFonts w:hint="eastAsia" w:ascii="宋体" w:hAnsi="宋体"/>
          <w:kern w:val="44"/>
          <w:sz w:val="21"/>
          <w:szCs w:val="21"/>
          <w:highlight w:val="none"/>
          <w:shd w:val="clear" w:color="auto" w:fill="FFFFFF"/>
        </w:rPr>
        <w:t>运维及管理辅助功能</w:t>
      </w:r>
      <w:bookmarkEnd w:id="110"/>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计量表箱应具备方便的运维及管理辅助功能：</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资产分界点物理位置明晰及易于实现资产方便管理；</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计量表箱电流规格、表位数及电气、功能配置应系列化、标准化；</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箱门、母排、线槽等部件应系列化、标准化、模块化；计量表箱内电器、部件具备通用性，满足维修性需求；</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计量表箱操作及运维应简单、方便：</w:t>
      </w:r>
      <w:r>
        <w:rPr>
          <w:highlight w:val="none"/>
        </w:rPr>
        <w:t xml:space="preserve"> </w:t>
      </w:r>
    </w:p>
    <w:p>
      <w:pPr>
        <w:spacing w:line="360" w:lineRule="auto"/>
        <w:ind w:firstLine="735" w:firstLineChars="350"/>
        <w:rPr>
          <w:highlight w:val="none"/>
        </w:rPr>
      </w:pPr>
      <w:r>
        <w:rPr>
          <w:rFonts w:hint="eastAsia"/>
          <w:highlight w:val="none"/>
        </w:rPr>
        <w:t>a</w:t>
      </w:r>
      <w:r>
        <w:rPr>
          <w:highlight w:val="none"/>
        </w:rPr>
        <w:t xml:space="preserve">) </w:t>
      </w:r>
      <w:r>
        <w:rPr>
          <w:rFonts w:hint="eastAsia"/>
          <w:highlight w:val="none"/>
        </w:rPr>
        <w:t>进线开关室、出线开关室应采用双门设计，第一层门为开关操作防护门，打开后仅可操作开关把手；第二层门为开关室门，打开后方可更换开关。</w:t>
      </w:r>
    </w:p>
    <w:p>
      <w:pPr>
        <w:spacing w:line="360" w:lineRule="auto"/>
        <w:ind w:firstLine="735" w:firstLineChars="350"/>
        <w:rPr>
          <w:highlight w:val="none"/>
        </w:rPr>
      </w:pPr>
      <w:r>
        <w:rPr>
          <w:rFonts w:hint="eastAsia"/>
          <w:highlight w:val="none"/>
        </w:rPr>
        <w:t>b）不打开箱门实现：电能表红外抄表等操作；电能表及采集器工作状态、参数观察及示值读取；</w:t>
      </w:r>
      <w:r>
        <w:rPr>
          <w:highlight w:val="none"/>
        </w:rPr>
        <w:t xml:space="preserve"> </w:t>
      </w:r>
    </w:p>
    <w:p>
      <w:pPr>
        <w:spacing w:line="360" w:lineRule="auto"/>
        <w:ind w:firstLine="735" w:firstLineChars="350"/>
        <w:rPr>
          <w:highlight w:val="none"/>
        </w:rPr>
      </w:pPr>
      <w:r>
        <w:rPr>
          <w:rFonts w:hint="eastAsia"/>
          <w:highlight w:val="none"/>
        </w:rPr>
        <w:t>c</w:t>
      </w:r>
      <w:r>
        <w:rPr>
          <w:highlight w:val="none"/>
        </w:rPr>
        <w:t xml:space="preserve">) </w:t>
      </w:r>
      <w:r>
        <w:rPr>
          <w:rFonts w:hint="eastAsia"/>
          <w:highlight w:val="none"/>
        </w:rPr>
        <w:t>箱内具有远程分闸、合闸（如有）操作的技术保证措施；</w:t>
      </w:r>
      <w:r>
        <w:rPr>
          <w:highlight w:val="none"/>
        </w:rPr>
        <w:t xml:space="preserve"> </w:t>
      </w:r>
    </w:p>
    <w:p>
      <w:pPr>
        <w:spacing w:line="360" w:lineRule="auto"/>
        <w:ind w:firstLine="735" w:firstLineChars="350"/>
        <w:rPr>
          <w:highlight w:val="none"/>
        </w:rPr>
      </w:pPr>
      <w:r>
        <w:rPr>
          <w:rFonts w:hint="eastAsia"/>
          <w:highlight w:val="none"/>
        </w:rPr>
        <w:t>d</w:t>
      </w:r>
      <w:r>
        <w:rPr>
          <w:highlight w:val="none"/>
        </w:rPr>
        <w:t xml:space="preserve">) </w:t>
      </w:r>
      <w:r>
        <w:rPr>
          <w:rFonts w:hint="eastAsia"/>
          <w:highlight w:val="none"/>
        </w:rPr>
        <w:t>门锁数量少，箱门开合、加封操作方便；同类门锁</w:t>
      </w:r>
      <w:r>
        <w:rPr>
          <w:highlight w:val="none"/>
        </w:rPr>
        <w:t>(</w:t>
      </w:r>
      <w:r>
        <w:rPr>
          <w:rFonts w:hint="eastAsia"/>
          <w:highlight w:val="none"/>
        </w:rPr>
        <w:t>钥匙</w:t>
      </w:r>
      <w:r>
        <w:rPr>
          <w:highlight w:val="none"/>
        </w:rPr>
        <w:t>)</w:t>
      </w:r>
      <w:r>
        <w:rPr>
          <w:rFonts w:hint="eastAsia"/>
          <w:highlight w:val="none"/>
        </w:rPr>
        <w:t>具备通用性；</w:t>
      </w:r>
      <w:r>
        <w:rPr>
          <w:highlight w:val="none"/>
        </w:rPr>
        <w:t xml:space="preserve"> </w:t>
      </w:r>
    </w:p>
    <w:p>
      <w:pPr>
        <w:spacing w:line="360" w:lineRule="auto"/>
        <w:ind w:firstLine="420"/>
        <w:rPr>
          <w:highlight w:val="none"/>
        </w:rPr>
      </w:pPr>
      <w:r>
        <w:rPr>
          <w:rFonts w:hint="eastAsia"/>
          <w:highlight w:val="none"/>
        </w:rPr>
        <w:t>5</w:t>
      </w:r>
      <w:r>
        <w:rPr>
          <w:highlight w:val="none"/>
        </w:rPr>
        <w:t xml:space="preserve">) </w:t>
      </w:r>
      <w:r>
        <w:rPr>
          <w:rFonts w:hint="eastAsia"/>
          <w:highlight w:val="none"/>
        </w:rPr>
        <w:t>计量表箱应有规范、清晰的运维标识：</w:t>
      </w:r>
      <w:r>
        <w:rPr>
          <w:highlight w:val="none"/>
        </w:rPr>
        <w:t xml:space="preserve"> </w:t>
      </w:r>
    </w:p>
    <w:p>
      <w:pPr>
        <w:spacing w:line="360" w:lineRule="auto"/>
        <w:ind w:firstLine="735" w:firstLineChars="350"/>
        <w:rPr>
          <w:highlight w:val="none"/>
        </w:rPr>
      </w:pPr>
      <w:r>
        <w:rPr>
          <w:rFonts w:hint="eastAsia"/>
          <w:highlight w:val="none"/>
        </w:rPr>
        <w:t>a</w:t>
      </w:r>
      <w:r>
        <w:rPr>
          <w:highlight w:val="none"/>
        </w:rPr>
        <w:t xml:space="preserve">) </w:t>
      </w:r>
      <w:r>
        <w:rPr>
          <w:rFonts w:hint="eastAsia"/>
          <w:highlight w:val="none"/>
        </w:rPr>
        <w:t>导线、母排、端子颜色标识：黄（</w:t>
      </w:r>
      <w:r>
        <w:rPr>
          <w:highlight w:val="none"/>
        </w:rPr>
        <w:t>U</w:t>
      </w:r>
      <w:r>
        <w:rPr>
          <w:rFonts w:hint="eastAsia"/>
          <w:highlight w:val="none"/>
        </w:rPr>
        <w:t>）、绿（</w:t>
      </w:r>
      <w:r>
        <w:rPr>
          <w:highlight w:val="none"/>
        </w:rPr>
        <w:t>V</w:t>
      </w:r>
      <w:r>
        <w:rPr>
          <w:rFonts w:hint="eastAsia"/>
          <w:highlight w:val="none"/>
        </w:rPr>
        <w:t>）、红（</w:t>
      </w:r>
      <w:r>
        <w:rPr>
          <w:highlight w:val="none"/>
        </w:rPr>
        <w:t>W</w:t>
      </w:r>
      <w:r>
        <w:rPr>
          <w:rFonts w:hint="eastAsia"/>
          <w:highlight w:val="none"/>
        </w:rPr>
        <w:t>），中性线蓝（</w:t>
      </w:r>
      <w:r>
        <w:rPr>
          <w:highlight w:val="none"/>
        </w:rPr>
        <w:t>N</w:t>
      </w:r>
      <w:r>
        <w:rPr>
          <w:rFonts w:hint="eastAsia"/>
          <w:highlight w:val="none"/>
        </w:rPr>
        <w:t>）、保护线黄绿（</w:t>
      </w:r>
      <w:r>
        <w:rPr>
          <w:highlight w:val="none"/>
        </w:rPr>
        <w:t>PE</w:t>
      </w:r>
      <w:r>
        <w:rPr>
          <w:rFonts w:hint="eastAsia"/>
          <w:highlight w:val="none"/>
        </w:rPr>
        <w:t>）；通讯线黄（</w:t>
      </w:r>
      <w:r>
        <w:rPr>
          <w:highlight w:val="none"/>
        </w:rPr>
        <w:t>A</w:t>
      </w:r>
      <w:r>
        <w:rPr>
          <w:rFonts w:hint="eastAsia"/>
          <w:highlight w:val="none"/>
        </w:rPr>
        <w:t>）、蓝（</w:t>
      </w:r>
      <w:r>
        <w:rPr>
          <w:highlight w:val="none"/>
        </w:rPr>
        <w:t>B</w:t>
      </w:r>
      <w:r>
        <w:rPr>
          <w:rFonts w:hint="eastAsia"/>
          <w:highlight w:val="none"/>
        </w:rPr>
        <w:t>）；开关控制线红（</w:t>
      </w:r>
      <w:r>
        <w:rPr>
          <w:highlight w:val="none"/>
        </w:rPr>
        <w:t>+/L</w:t>
      </w:r>
      <w:r>
        <w:rPr>
          <w:rFonts w:hint="eastAsia"/>
          <w:highlight w:val="none"/>
        </w:rPr>
        <w:t>）、黑（</w:t>
      </w:r>
      <w:r>
        <w:rPr>
          <w:highlight w:val="none"/>
        </w:rPr>
        <w:t>-/N</w:t>
      </w:r>
      <w:r>
        <w:rPr>
          <w:rFonts w:hint="eastAsia"/>
          <w:highlight w:val="none"/>
        </w:rPr>
        <w:t>）；</w:t>
      </w:r>
      <w:r>
        <w:rPr>
          <w:highlight w:val="none"/>
        </w:rPr>
        <w:t xml:space="preserve"> </w:t>
      </w:r>
    </w:p>
    <w:p>
      <w:pPr>
        <w:spacing w:line="360" w:lineRule="auto"/>
        <w:ind w:firstLine="735" w:firstLineChars="350"/>
        <w:rPr>
          <w:highlight w:val="none"/>
        </w:rPr>
      </w:pPr>
      <w:r>
        <w:rPr>
          <w:rFonts w:hint="eastAsia"/>
          <w:highlight w:val="none"/>
        </w:rPr>
        <w:t>b</w:t>
      </w:r>
      <w:r>
        <w:rPr>
          <w:highlight w:val="none"/>
        </w:rPr>
        <w:t xml:space="preserve">) </w:t>
      </w:r>
      <w:r>
        <w:rPr>
          <w:rFonts w:hint="eastAsia"/>
          <w:highlight w:val="none"/>
        </w:rPr>
        <w:t>线槽内导线应有与开关的对应标识，其标识应符合相应技术规范；</w:t>
      </w:r>
      <w:r>
        <w:rPr>
          <w:highlight w:val="none"/>
        </w:rPr>
        <w:t xml:space="preserve"> </w:t>
      </w:r>
    </w:p>
    <w:p>
      <w:pPr>
        <w:spacing w:line="360" w:lineRule="auto"/>
        <w:ind w:firstLine="735" w:firstLineChars="350"/>
        <w:rPr>
          <w:highlight w:val="none"/>
        </w:rPr>
      </w:pPr>
      <w:r>
        <w:rPr>
          <w:rFonts w:hint="eastAsia"/>
          <w:highlight w:val="none"/>
        </w:rPr>
        <w:t>c</w:t>
      </w:r>
      <w:r>
        <w:rPr>
          <w:highlight w:val="none"/>
        </w:rPr>
        <w:t xml:space="preserve">) </w:t>
      </w:r>
      <w:r>
        <w:rPr>
          <w:rFonts w:hint="eastAsia"/>
          <w:highlight w:val="none"/>
        </w:rPr>
        <w:t>分线开关与电能表、分线开关门（户槽）与观察窗（户槽）间有一一对应序号标识；</w:t>
      </w:r>
      <w:r>
        <w:rPr>
          <w:highlight w:val="none"/>
        </w:rPr>
        <w:t xml:space="preserve"> </w:t>
      </w:r>
    </w:p>
    <w:p>
      <w:pPr>
        <w:spacing w:line="360" w:lineRule="auto"/>
        <w:ind w:firstLine="735" w:firstLineChars="350"/>
        <w:rPr>
          <w:highlight w:val="none"/>
        </w:rPr>
      </w:pPr>
      <w:r>
        <w:rPr>
          <w:rFonts w:hint="eastAsia"/>
          <w:highlight w:val="none"/>
        </w:rPr>
        <w:t>d</w:t>
      </w:r>
      <w:r>
        <w:rPr>
          <w:highlight w:val="none"/>
        </w:rPr>
        <w:t xml:space="preserve">) </w:t>
      </w:r>
      <w:r>
        <w:rPr>
          <w:rFonts w:hint="eastAsia"/>
          <w:highlight w:val="none"/>
        </w:rPr>
        <w:t>粘贴户号的线槽盖应有相应的安装位置标识；</w:t>
      </w:r>
      <w:r>
        <w:rPr>
          <w:highlight w:val="none"/>
        </w:rPr>
        <w:t xml:space="preserve"> </w:t>
      </w:r>
    </w:p>
    <w:p>
      <w:pPr>
        <w:spacing w:line="360" w:lineRule="auto"/>
        <w:ind w:firstLine="735" w:firstLineChars="350"/>
        <w:rPr>
          <w:highlight w:val="none"/>
        </w:rPr>
      </w:pPr>
      <w:r>
        <w:rPr>
          <w:rFonts w:hint="eastAsia"/>
          <w:highlight w:val="none"/>
        </w:rPr>
        <w:t>e</w:t>
      </w:r>
      <w:r>
        <w:rPr>
          <w:highlight w:val="none"/>
        </w:rPr>
        <w:t xml:space="preserve">) </w:t>
      </w:r>
      <w:r>
        <w:rPr>
          <w:rFonts w:hint="eastAsia"/>
          <w:highlight w:val="none"/>
        </w:rPr>
        <w:t>计量表箱内表面应有电气原理接线图标识、条码等其它必要信息；</w:t>
      </w:r>
      <w:r>
        <w:rPr>
          <w:highlight w:val="none"/>
        </w:rPr>
        <w:t xml:space="preserve"> </w:t>
      </w:r>
    </w:p>
    <w:p>
      <w:pPr>
        <w:spacing w:line="360" w:lineRule="auto"/>
        <w:ind w:firstLine="735" w:firstLineChars="350"/>
        <w:rPr>
          <w:highlight w:val="none"/>
        </w:rPr>
      </w:pPr>
      <w:r>
        <w:rPr>
          <w:rFonts w:hint="eastAsia"/>
          <w:highlight w:val="none"/>
        </w:rPr>
        <w:t>f</w:t>
      </w:r>
      <w:r>
        <w:rPr>
          <w:highlight w:val="none"/>
        </w:rPr>
        <w:t xml:space="preserve">) </w:t>
      </w:r>
      <w:r>
        <w:rPr>
          <w:rFonts w:hint="eastAsia"/>
          <w:highlight w:val="none"/>
        </w:rPr>
        <w:t>计量表箱箱门（盖）应有相应的安全警示语、企业标识、服务提示语等信息（详见后附：</w:t>
      </w:r>
      <w:bookmarkStart w:id="111" w:name="OLE_LINK125"/>
      <w:r>
        <w:rPr>
          <w:rFonts w:hint="eastAsia"/>
          <w:highlight w:val="none"/>
        </w:rPr>
        <w:t>低压费控计量表箱统一标识规范</w:t>
      </w:r>
      <w:bookmarkEnd w:id="111"/>
      <w:r>
        <w:rPr>
          <w:rFonts w:hint="eastAsia"/>
          <w:highlight w:val="none"/>
        </w:rPr>
        <w:t>）。</w:t>
      </w:r>
      <w:r>
        <w:rPr>
          <w:highlight w:val="none"/>
        </w:rPr>
        <w:t xml:space="preserve"> </w:t>
      </w:r>
    </w:p>
    <w:p>
      <w:pPr>
        <w:spacing w:line="360" w:lineRule="auto"/>
        <w:ind w:firstLine="420"/>
        <w:rPr>
          <w:highlight w:val="none"/>
        </w:rPr>
      </w:pPr>
      <w:r>
        <w:rPr>
          <w:rFonts w:hint="eastAsia"/>
          <w:highlight w:val="none"/>
        </w:rPr>
        <w:t>6</w:t>
      </w:r>
      <w:r>
        <w:rPr>
          <w:highlight w:val="none"/>
        </w:rPr>
        <w:t xml:space="preserve">) </w:t>
      </w:r>
      <w:r>
        <w:rPr>
          <w:rFonts w:hint="eastAsia"/>
          <w:highlight w:val="none"/>
        </w:rPr>
        <w:t>外壳应具有永久固定、防脱落的产品铭牌，铭牌所载信息包括：</w:t>
      </w:r>
      <w:r>
        <w:rPr>
          <w:highlight w:val="none"/>
        </w:rPr>
        <w:t xml:space="preserve"> </w:t>
      </w:r>
    </w:p>
    <w:p>
      <w:pPr>
        <w:spacing w:line="360" w:lineRule="auto"/>
        <w:ind w:firstLine="735" w:firstLineChars="350"/>
        <w:rPr>
          <w:highlight w:val="none"/>
        </w:rPr>
      </w:pPr>
      <w:r>
        <w:rPr>
          <w:rFonts w:hint="eastAsia"/>
          <w:highlight w:val="none"/>
        </w:rPr>
        <w:t>a</w:t>
      </w:r>
      <w:r>
        <w:rPr>
          <w:highlight w:val="none"/>
        </w:rPr>
        <w:t xml:space="preserve">) </w:t>
      </w:r>
      <w:r>
        <w:rPr>
          <w:rFonts w:hint="eastAsia"/>
          <w:highlight w:val="none"/>
        </w:rPr>
        <w:t>产品名称、型号、质量、尺寸等信息；</w:t>
      </w:r>
      <w:r>
        <w:rPr>
          <w:highlight w:val="none"/>
        </w:rPr>
        <w:t xml:space="preserve"> </w:t>
      </w:r>
    </w:p>
    <w:p>
      <w:pPr>
        <w:spacing w:line="360" w:lineRule="auto"/>
        <w:ind w:firstLine="735" w:firstLineChars="350"/>
        <w:rPr>
          <w:highlight w:val="none"/>
        </w:rPr>
      </w:pPr>
      <w:r>
        <w:rPr>
          <w:rFonts w:hint="eastAsia"/>
          <w:highlight w:val="none"/>
        </w:rPr>
        <w:t>b</w:t>
      </w:r>
      <w:r>
        <w:rPr>
          <w:highlight w:val="none"/>
        </w:rPr>
        <w:t xml:space="preserve">) </w:t>
      </w:r>
      <w:r>
        <w:rPr>
          <w:rFonts w:hint="eastAsia"/>
          <w:highlight w:val="none"/>
        </w:rPr>
        <w:t>额定工作电压、额定电流、表位数；</w:t>
      </w:r>
      <w:r>
        <w:rPr>
          <w:highlight w:val="none"/>
        </w:rPr>
        <w:t xml:space="preserve"> </w:t>
      </w:r>
    </w:p>
    <w:p>
      <w:pPr>
        <w:spacing w:line="360" w:lineRule="auto"/>
        <w:ind w:firstLine="735" w:firstLineChars="350"/>
        <w:rPr>
          <w:highlight w:val="none"/>
        </w:rPr>
      </w:pPr>
      <w:r>
        <w:rPr>
          <w:rFonts w:hint="eastAsia"/>
          <w:highlight w:val="none"/>
        </w:rPr>
        <w:t>c</w:t>
      </w:r>
      <w:r>
        <w:rPr>
          <w:highlight w:val="none"/>
        </w:rPr>
        <w:t xml:space="preserve">) </w:t>
      </w:r>
      <w:r>
        <w:rPr>
          <w:rFonts w:hint="eastAsia"/>
          <w:highlight w:val="none"/>
        </w:rPr>
        <w:t>产品执行标准；</w:t>
      </w:r>
      <w:r>
        <w:rPr>
          <w:highlight w:val="none"/>
        </w:rPr>
        <w:t xml:space="preserve"> </w:t>
      </w:r>
    </w:p>
    <w:p>
      <w:pPr>
        <w:spacing w:line="360" w:lineRule="auto"/>
        <w:ind w:firstLine="735" w:firstLineChars="350"/>
        <w:rPr>
          <w:highlight w:val="none"/>
        </w:rPr>
      </w:pPr>
      <w:r>
        <w:rPr>
          <w:rFonts w:hint="eastAsia"/>
          <w:highlight w:val="none"/>
        </w:rPr>
        <w:t>d</w:t>
      </w:r>
      <w:r>
        <w:rPr>
          <w:highlight w:val="none"/>
        </w:rPr>
        <w:t xml:space="preserve">) </w:t>
      </w:r>
      <w:r>
        <w:rPr>
          <w:rFonts w:hint="eastAsia"/>
          <w:highlight w:val="none"/>
        </w:rPr>
        <w:t>制造厂名、制造日期；</w:t>
      </w:r>
      <w:r>
        <w:rPr>
          <w:highlight w:val="none"/>
        </w:rPr>
        <w:t xml:space="preserve"> </w:t>
      </w:r>
    </w:p>
    <w:p>
      <w:pPr>
        <w:spacing w:line="360" w:lineRule="auto"/>
        <w:ind w:firstLine="735" w:firstLineChars="350"/>
        <w:rPr>
          <w:highlight w:val="none"/>
        </w:rPr>
      </w:pPr>
      <w:r>
        <w:rPr>
          <w:rFonts w:hint="eastAsia"/>
          <w:highlight w:val="none"/>
        </w:rPr>
        <w:t>e</w:t>
      </w:r>
      <w:r>
        <w:rPr>
          <w:highlight w:val="none"/>
        </w:rPr>
        <w:t>) 3C</w:t>
      </w:r>
      <w:r>
        <w:rPr>
          <w:rFonts w:hint="eastAsia"/>
          <w:highlight w:val="none"/>
        </w:rPr>
        <w:t>认证标志；</w:t>
      </w:r>
      <w:r>
        <w:rPr>
          <w:highlight w:val="none"/>
        </w:rPr>
        <w:t xml:space="preserve"> </w:t>
      </w:r>
    </w:p>
    <w:p>
      <w:pPr>
        <w:spacing w:line="360" w:lineRule="auto"/>
        <w:ind w:firstLine="735" w:firstLineChars="350"/>
        <w:rPr>
          <w:rFonts w:hint="eastAsia" w:eastAsia="宋体"/>
          <w:highlight w:val="none"/>
          <w:lang w:eastAsia="zh-CN"/>
        </w:rPr>
      </w:pPr>
      <w:r>
        <w:rPr>
          <w:rFonts w:hint="eastAsia"/>
          <w:highlight w:val="none"/>
        </w:rPr>
        <w:t>f</w:t>
      </w:r>
      <w:r>
        <w:rPr>
          <w:highlight w:val="none"/>
        </w:rPr>
        <w:t xml:space="preserve">) </w:t>
      </w:r>
      <w:r>
        <w:rPr>
          <w:rFonts w:hint="eastAsia"/>
          <w:highlight w:val="none"/>
        </w:rPr>
        <w:t>产品编号、资产条形码</w:t>
      </w:r>
      <w:r>
        <w:rPr>
          <w:rFonts w:hint="eastAsia"/>
          <w:highlight w:val="none"/>
          <w:lang w:eastAsia="zh-CN"/>
        </w:rPr>
        <w:t>；</w:t>
      </w:r>
    </w:p>
    <w:p>
      <w:pPr>
        <w:spacing w:line="360" w:lineRule="auto"/>
        <w:ind w:firstLine="735" w:firstLineChars="350"/>
        <w:rPr>
          <w:highlight w:val="none"/>
        </w:rPr>
      </w:pPr>
      <w:r>
        <w:rPr>
          <w:rFonts w:hint="eastAsia"/>
          <w:highlight w:val="none"/>
        </w:rPr>
        <w:t>g) 防护等级。</w:t>
      </w:r>
      <w:r>
        <w:rPr>
          <w:highlight w:val="none"/>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12" w:name="_Toc9485"/>
      <w:r>
        <w:rPr>
          <w:rFonts w:hint="eastAsia" w:ascii="宋体" w:hAnsi="宋体" w:eastAsia="宋体"/>
          <w:kern w:val="44"/>
          <w:sz w:val="21"/>
          <w:szCs w:val="21"/>
          <w:highlight w:val="none"/>
          <w:shd w:val="clear" w:color="auto" w:fill="FFFFFF"/>
        </w:rPr>
        <w:t>安全要求</w:t>
      </w:r>
      <w:bookmarkEnd w:id="112"/>
      <w:r>
        <w:rPr>
          <w:rFonts w:ascii="宋体" w:hAnsi="宋体" w:eastAsia="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计量表箱应具备防触电与设备安全保障功能，其电气性能、机械性能应符合相应标准规定要求：</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电气设计应规范，其性能、技术指标应符合</w:t>
      </w:r>
      <w:r>
        <w:rPr>
          <w:highlight w:val="none"/>
        </w:rPr>
        <w:t>GB7251.3</w:t>
      </w:r>
      <w:r>
        <w:rPr>
          <w:rFonts w:hint="eastAsia"/>
          <w:highlight w:val="none"/>
        </w:rPr>
        <w:t>中相应要求，每一型号的产品都为</w:t>
      </w:r>
      <w:r>
        <w:rPr>
          <w:highlight w:val="none"/>
        </w:rPr>
        <w:t>3C</w:t>
      </w:r>
      <w:r>
        <w:rPr>
          <w:rFonts w:hint="eastAsia"/>
          <w:highlight w:val="none"/>
        </w:rPr>
        <w:t>认证产品；</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计量表箱电气配置应符合6.6规定；</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计量表箱应保证计量室、出线室的室门开启状态下无裸露带电部分；电器安装、电气连接、导线（母排）固定等措施应永久牢靠；电气开关与电能表应有相应的电气隔离措施；</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计量表箱电气总线（母排）截面积符合相应载流量要求，电气互连机构工作方式连接应可靠；</w:t>
      </w:r>
      <w:r>
        <w:rPr>
          <w:highlight w:val="none"/>
        </w:rPr>
        <w:t xml:space="preserve"> </w:t>
      </w:r>
    </w:p>
    <w:p>
      <w:pPr>
        <w:spacing w:line="360" w:lineRule="auto"/>
        <w:ind w:firstLine="420"/>
        <w:rPr>
          <w:highlight w:val="none"/>
        </w:rPr>
      </w:pPr>
      <w:r>
        <w:rPr>
          <w:rFonts w:hint="eastAsia"/>
          <w:highlight w:val="none"/>
        </w:rPr>
        <w:t>5</w:t>
      </w:r>
      <w:r>
        <w:rPr>
          <w:highlight w:val="none"/>
        </w:rPr>
        <w:t xml:space="preserve">) </w:t>
      </w:r>
      <w:r>
        <w:rPr>
          <w:rFonts w:hint="eastAsia"/>
          <w:highlight w:val="none"/>
        </w:rPr>
        <w:t>多表位计量表箱满足进线箱额定电流要求；</w:t>
      </w:r>
      <w:r>
        <w:rPr>
          <w:highlight w:val="none"/>
        </w:rPr>
        <w:t xml:space="preserve"> </w:t>
      </w:r>
    </w:p>
    <w:p>
      <w:pPr>
        <w:spacing w:line="360" w:lineRule="auto"/>
        <w:ind w:firstLine="420"/>
        <w:rPr>
          <w:highlight w:val="none"/>
        </w:rPr>
      </w:pPr>
      <w:r>
        <w:rPr>
          <w:rFonts w:hint="eastAsia"/>
          <w:highlight w:val="none"/>
        </w:rPr>
        <w:t>6</w:t>
      </w:r>
      <w:r>
        <w:rPr>
          <w:highlight w:val="none"/>
        </w:rPr>
        <w:t xml:space="preserve">) </w:t>
      </w:r>
      <w:r>
        <w:rPr>
          <w:rFonts w:hint="eastAsia"/>
          <w:highlight w:val="none"/>
        </w:rPr>
        <w:t>电器安装及保护措施可靠，电器元件与安装板（底板）之间应有绝缘措施，安装附件、安装板（底板）承载力应有足够安全裕度并能通过第</w:t>
      </w:r>
      <w:r>
        <w:rPr>
          <w:highlight w:val="none"/>
        </w:rPr>
        <w:t>7</w:t>
      </w:r>
      <w:r>
        <w:rPr>
          <w:rFonts w:hint="eastAsia"/>
          <w:highlight w:val="none"/>
        </w:rPr>
        <w:t>章中相应的静载能力试验；</w:t>
      </w:r>
      <w:r>
        <w:rPr>
          <w:highlight w:val="none"/>
        </w:rPr>
        <w:t xml:space="preserve"> </w:t>
      </w:r>
    </w:p>
    <w:p>
      <w:pPr>
        <w:spacing w:line="360" w:lineRule="auto"/>
        <w:ind w:firstLine="420"/>
        <w:rPr>
          <w:highlight w:val="none"/>
        </w:rPr>
      </w:pPr>
      <w:r>
        <w:rPr>
          <w:rFonts w:hint="eastAsia"/>
          <w:highlight w:val="none"/>
        </w:rPr>
        <w:t>7</w:t>
      </w:r>
      <w:r>
        <w:rPr>
          <w:highlight w:val="none"/>
        </w:rPr>
        <w:t xml:space="preserve">) </w:t>
      </w:r>
      <w:r>
        <w:rPr>
          <w:rFonts w:hint="eastAsia"/>
          <w:highlight w:val="none"/>
        </w:rPr>
        <w:t>计量表箱外壳散热措施应有效、可靠，保证计量表箱内各部位温升符合7.5.5规定；</w:t>
      </w:r>
      <w:r>
        <w:rPr>
          <w:highlight w:val="none"/>
        </w:rPr>
        <w:t xml:space="preserve"> </w:t>
      </w:r>
    </w:p>
    <w:p>
      <w:pPr>
        <w:spacing w:line="360" w:lineRule="auto"/>
        <w:ind w:firstLine="420"/>
        <w:rPr>
          <w:highlight w:val="none"/>
        </w:rPr>
      </w:pPr>
      <w:r>
        <w:rPr>
          <w:rFonts w:hint="eastAsia"/>
          <w:highlight w:val="none"/>
        </w:rPr>
        <w:t>8</w:t>
      </w:r>
      <w:r>
        <w:rPr>
          <w:highlight w:val="none"/>
        </w:rPr>
        <w:t xml:space="preserve">) </w:t>
      </w:r>
      <w:r>
        <w:rPr>
          <w:rFonts w:hint="eastAsia"/>
          <w:highlight w:val="none"/>
        </w:rPr>
        <w:t>电气开关应具有</w:t>
      </w:r>
      <w:r>
        <w:rPr>
          <w:highlight w:val="none"/>
        </w:rPr>
        <w:t>3C</w:t>
      </w:r>
      <w:r>
        <w:rPr>
          <w:rFonts w:hint="eastAsia"/>
          <w:highlight w:val="none"/>
        </w:rPr>
        <w:t>认证标志，开关上桩头为进线，下桩头为出线；</w:t>
      </w:r>
      <w:r>
        <w:rPr>
          <w:highlight w:val="none"/>
        </w:rPr>
        <w:t xml:space="preserve"> </w:t>
      </w:r>
    </w:p>
    <w:p>
      <w:pPr>
        <w:spacing w:line="360" w:lineRule="auto"/>
        <w:ind w:firstLine="420"/>
        <w:rPr>
          <w:highlight w:val="none"/>
        </w:rPr>
      </w:pPr>
      <w:r>
        <w:rPr>
          <w:rFonts w:hint="eastAsia"/>
          <w:highlight w:val="none"/>
        </w:rPr>
        <w:t>9</w:t>
      </w:r>
      <w:r>
        <w:rPr>
          <w:highlight w:val="none"/>
        </w:rPr>
        <w:t xml:space="preserve">) </w:t>
      </w:r>
      <w:r>
        <w:rPr>
          <w:rFonts w:hint="eastAsia"/>
          <w:highlight w:val="none"/>
        </w:rPr>
        <w:t>计量表箱所配电气开关、导线、母排等电器应符合相应产品标准要求，并有相应合格保证资料；</w:t>
      </w:r>
      <w:r>
        <w:rPr>
          <w:highlight w:val="none"/>
        </w:rPr>
        <w:t xml:space="preserve"> </w:t>
      </w:r>
    </w:p>
    <w:p>
      <w:pPr>
        <w:spacing w:line="360" w:lineRule="auto"/>
        <w:ind w:firstLine="420"/>
        <w:rPr>
          <w:highlight w:val="none"/>
        </w:rPr>
      </w:pPr>
      <w:r>
        <w:rPr>
          <w:rFonts w:hint="eastAsia"/>
          <w:highlight w:val="none"/>
        </w:rPr>
        <w:t>10</w:t>
      </w:r>
      <w:r>
        <w:rPr>
          <w:highlight w:val="none"/>
        </w:rPr>
        <w:t xml:space="preserve">) </w:t>
      </w:r>
      <w:r>
        <w:rPr>
          <w:rFonts w:hint="eastAsia"/>
          <w:highlight w:val="none"/>
        </w:rPr>
        <w:t>计量表箱安全警告语、标志应清晰、永不褪色或脱落；</w:t>
      </w:r>
    </w:p>
    <w:p>
      <w:pPr>
        <w:spacing w:line="360" w:lineRule="auto"/>
        <w:ind w:firstLine="420"/>
        <w:rPr>
          <w:highlight w:val="none"/>
        </w:rPr>
      </w:pPr>
      <w:r>
        <w:rPr>
          <w:rFonts w:hint="eastAsia"/>
          <w:highlight w:val="none"/>
        </w:rPr>
        <w:t>11</w:t>
      </w:r>
      <w:r>
        <w:rPr>
          <w:highlight w:val="none"/>
        </w:rPr>
        <w:t xml:space="preserve">) </w:t>
      </w:r>
      <w:r>
        <w:rPr>
          <w:rFonts w:hint="eastAsia"/>
          <w:highlight w:val="none"/>
        </w:rPr>
        <w:t>计量表箱外壳及箱内电气绝缘支撑件、电气安装板应能通过第</w:t>
      </w:r>
      <w:r>
        <w:rPr>
          <w:highlight w:val="none"/>
        </w:rPr>
        <w:t>7</w:t>
      </w:r>
      <w:r>
        <w:rPr>
          <w:rFonts w:hint="eastAsia"/>
          <w:highlight w:val="none"/>
        </w:rPr>
        <w:t>.3.3中绝缘材料耐受非正常发热和火焰的验证试验；</w:t>
      </w:r>
    </w:p>
    <w:p>
      <w:pPr>
        <w:spacing w:line="360" w:lineRule="auto"/>
        <w:ind w:firstLine="420"/>
        <w:rPr>
          <w:highlight w:val="none"/>
        </w:rPr>
      </w:pPr>
      <w:r>
        <w:rPr>
          <w:rFonts w:hint="eastAsia"/>
          <w:highlight w:val="none"/>
        </w:rPr>
        <w:t>12</w:t>
      </w:r>
      <w:r>
        <w:rPr>
          <w:highlight w:val="none"/>
        </w:rPr>
        <w:t xml:space="preserve">) </w:t>
      </w:r>
      <w:r>
        <w:rPr>
          <w:rFonts w:hint="eastAsia"/>
          <w:highlight w:val="none"/>
        </w:rPr>
        <w:t>计量表箱外壳应有可靠的防雨及必要的防尘措施，其防护等级不低于</w:t>
      </w:r>
      <w:r>
        <w:rPr>
          <w:highlight w:val="none"/>
        </w:rPr>
        <w:t>IP34D</w:t>
      </w:r>
      <w:r>
        <w:rPr>
          <w:rFonts w:hint="eastAsia"/>
          <w:highlight w:val="none"/>
        </w:rPr>
        <w:t>（包括电缆、导管入口），箱门、视窗及门锁应具有一定的防撬功能，电缆及导线穿孔具有防磨损保护措施；</w:t>
      </w:r>
      <w:r>
        <w:rPr>
          <w:highlight w:val="none"/>
        </w:rPr>
        <w:t xml:space="preserve"> </w:t>
      </w:r>
    </w:p>
    <w:p>
      <w:pPr>
        <w:spacing w:line="360" w:lineRule="auto"/>
        <w:ind w:firstLine="420"/>
        <w:rPr>
          <w:highlight w:val="none"/>
        </w:rPr>
      </w:pPr>
      <w:r>
        <w:rPr>
          <w:rFonts w:hint="eastAsia"/>
          <w:highlight w:val="none"/>
        </w:rPr>
        <w:t>13</w:t>
      </w:r>
      <w:r>
        <w:rPr>
          <w:highlight w:val="none"/>
        </w:rPr>
        <w:t xml:space="preserve">) </w:t>
      </w:r>
      <w:r>
        <w:rPr>
          <w:rFonts w:hint="eastAsia"/>
          <w:highlight w:val="none"/>
        </w:rPr>
        <w:t>提交样品或供货产品（包括单独的电器）电气性能应能通过第</w:t>
      </w:r>
      <w:r>
        <w:rPr>
          <w:highlight w:val="none"/>
        </w:rPr>
        <w:t>7</w:t>
      </w:r>
      <w:r>
        <w:rPr>
          <w:rFonts w:hint="eastAsia"/>
          <w:highlight w:val="none"/>
        </w:rPr>
        <w:t>章中相应的电气性能试验。</w:t>
      </w:r>
      <w:r>
        <w:rPr>
          <w:highlight w:val="none"/>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13" w:name="_Toc6368"/>
      <w:r>
        <w:rPr>
          <w:rFonts w:hint="eastAsia" w:ascii="宋体" w:hAnsi="宋体" w:eastAsia="宋体"/>
          <w:kern w:val="44"/>
          <w:sz w:val="21"/>
          <w:szCs w:val="21"/>
          <w:highlight w:val="none"/>
          <w:shd w:val="clear" w:color="auto" w:fill="FFFFFF"/>
        </w:rPr>
        <w:t>可靠性要求</w:t>
      </w:r>
      <w:bookmarkEnd w:id="113"/>
      <w:r>
        <w:rPr>
          <w:rFonts w:ascii="宋体" w:hAnsi="宋体" w:eastAsia="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计量表箱产品设计、材质及配件选用、制造工艺应保证其预期寿命不小于</w:t>
      </w:r>
      <w:r>
        <w:rPr>
          <w:highlight w:val="none"/>
        </w:rPr>
        <w:t>20</w:t>
      </w:r>
      <w:r>
        <w:rPr>
          <w:rFonts w:hint="eastAsia"/>
          <w:highlight w:val="none"/>
        </w:rPr>
        <w:t>年：</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计量表箱所用非金属材料、外壳及金属件涂层、外壳结构强度、标志等应满足预期寿命不少于</w:t>
      </w:r>
      <w:r>
        <w:rPr>
          <w:highlight w:val="none"/>
        </w:rPr>
        <w:t>20</w:t>
      </w:r>
      <w:r>
        <w:rPr>
          <w:rFonts w:hint="eastAsia"/>
          <w:highlight w:val="none"/>
        </w:rPr>
        <w:t>年：</w:t>
      </w:r>
      <w:r>
        <w:rPr>
          <w:highlight w:val="none"/>
        </w:rPr>
        <w:t xml:space="preserve"> </w:t>
      </w:r>
    </w:p>
    <w:p>
      <w:pPr>
        <w:spacing w:line="360" w:lineRule="auto"/>
        <w:ind w:firstLine="630" w:firstLineChars="300"/>
        <w:rPr>
          <w:highlight w:val="none"/>
        </w:rPr>
      </w:pPr>
      <w:r>
        <w:rPr>
          <w:rFonts w:hint="eastAsia"/>
          <w:highlight w:val="none"/>
        </w:rPr>
        <w:t>a）计量表箱的底座及箱门非金属材料不得采用二次回收料；</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外壳及绝缘材料性能指标应符合或优于表3（或订货技术协议）中规定的数值，材料机械性能、热性能、抗老化性能应能通过第</w:t>
      </w:r>
      <w:r>
        <w:rPr>
          <w:highlight w:val="none"/>
        </w:rPr>
        <w:t>7</w:t>
      </w:r>
      <w:r>
        <w:rPr>
          <w:rFonts w:hint="eastAsia"/>
          <w:highlight w:val="none"/>
        </w:rPr>
        <w:t>章中相应的材料性能试验；</w:t>
      </w:r>
      <w:r>
        <w:rPr>
          <w:highlight w:val="none"/>
        </w:rPr>
        <w:t xml:space="preserve"> </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外壳机械强度应能通过第</w:t>
      </w:r>
      <w:r>
        <w:rPr>
          <w:highlight w:val="none"/>
        </w:rPr>
        <w:t>7</w:t>
      </w:r>
      <w:r>
        <w:rPr>
          <w:rFonts w:hint="eastAsia"/>
          <w:highlight w:val="none"/>
        </w:rPr>
        <w:t>章中相应的机械性能试验；</w:t>
      </w:r>
      <w:r>
        <w:rPr>
          <w:highlight w:val="none"/>
        </w:rPr>
        <w:t xml:space="preserve"> </w:t>
      </w:r>
    </w:p>
    <w:p>
      <w:pPr>
        <w:spacing w:line="360" w:lineRule="auto"/>
        <w:ind w:firstLine="630" w:firstLineChars="300"/>
        <w:rPr>
          <w:highlight w:val="none"/>
        </w:rPr>
      </w:pPr>
      <w:r>
        <w:rPr>
          <w:rFonts w:hint="eastAsia"/>
          <w:highlight w:val="none"/>
        </w:rPr>
        <w:t>d</w:t>
      </w:r>
      <w:r>
        <w:rPr>
          <w:highlight w:val="none"/>
        </w:rPr>
        <w:t xml:space="preserve">) </w:t>
      </w:r>
      <w:r>
        <w:rPr>
          <w:rFonts w:hint="eastAsia"/>
          <w:highlight w:val="none"/>
        </w:rPr>
        <w:t>铭牌、标识应能保持清晰、完整，其标识、铭牌材料应耐腐蚀。</w:t>
      </w:r>
      <w:r>
        <w:rPr>
          <w:highlight w:val="none"/>
        </w:rPr>
        <w:t xml:space="preserve"> </w:t>
      </w:r>
    </w:p>
    <w:p>
      <w:pPr>
        <w:spacing w:line="360" w:lineRule="auto"/>
        <w:ind w:firstLine="420" w:firstLineChars="200"/>
        <w:rPr>
          <w:highlight w:val="none"/>
        </w:rPr>
      </w:pPr>
      <w:r>
        <w:rPr>
          <w:rFonts w:hint="eastAsia"/>
          <w:highlight w:val="none"/>
        </w:rPr>
        <w:t>2</w:t>
      </w:r>
      <w:r>
        <w:rPr>
          <w:highlight w:val="none"/>
        </w:rPr>
        <w:t xml:space="preserve">) </w:t>
      </w:r>
      <w:r>
        <w:rPr>
          <w:rFonts w:hint="eastAsia"/>
          <w:highlight w:val="none"/>
        </w:rPr>
        <w:t>计量表箱配件在寿命周期内便于更换，计量表箱门锁、铰链、电气开关：</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机械寿命：门锁及铰链应不小于</w:t>
      </w:r>
      <w:r>
        <w:rPr>
          <w:highlight w:val="none"/>
        </w:rPr>
        <w:t>5000</w:t>
      </w:r>
      <w:r>
        <w:rPr>
          <w:rFonts w:hint="eastAsia"/>
          <w:highlight w:val="none"/>
        </w:rPr>
        <w:t>次；电气开关不小于</w:t>
      </w:r>
      <w:r>
        <w:rPr>
          <w:highlight w:val="none"/>
        </w:rPr>
        <w:t>10000</w:t>
      </w:r>
      <w:r>
        <w:rPr>
          <w:rFonts w:hint="eastAsia"/>
          <w:highlight w:val="none"/>
        </w:rPr>
        <w:t>次；</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电气寿命：隔离开关电气寿命不小于</w:t>
      </w:r>
      <w:r>
        <w:rPr>
          <w:highlight w:val="none"/>
        </w:rPr>
        <w:t>3000</w:t>
      </w:r>
      <w:r>
        <w:rPr>
          <w:rFonts w:hint="eastAsia"/>
          <w:highlight w:val="none"/>
        </w:rPr>
        <w:t>次、微型断路器不小于</w:t>
      </w:r>
      <w:r>
        <w:rPr>
          <w:highlight w:val="none"/>
        </w:rPr>
        <w:t>6000</w:t>
      </w:r>
      <w:r>
        <w:rPr>
          <w:rFonts w:hint="eastAsia"/>
          <w:highlight w:val="none"/>
        </w:rPr>
        <w:t>次。</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箱门门锁应具备雨水防护功能或在箱门设置相应防护结构。</w:t>
      </w:r>
    </w:p>
    <w:p>
      <w:pPr>
        <w:pStyle w:val="156"/>
        <w:numPr>
          <w:ilvl w:val="0"/>
          <w:numId w:val="26"/>
        </w:numPr>
        <w:spacing w:before="120" w:beforeLines="50" w:after="120" w:afterLines="50"/>
        <w:ind w:left="360" w:hanging="360"/>
        <w:jc w:val="center"/>
        <w:rPr>
          <w:rFonts w:ascii="黑体" w:hAnsi="黑体" w:eastAsia="黑体"/>
          <w:b/>
          <w:color w:val="auto"/>
          <w:sz w:val="21"/>
          <w:szCs w:val="21"/>
          <w:highlight w:val="none"/>
        </w:rPr>
      </w:pPr>
      <w:r>
        <w:rPr>
          <w:rFonts w:hint="eastAsia" w:ascii="黑体" w:hAnsi="黑体" w:eastAsia="黑体"/>
          <w:b/>
          <w:color w:val="auto"/>
          <w:sz w:val="21"/>
          <w:szCs w:val="21"/>
          <w:highlight w:val="none"/>
        </w:rPr>
        <w:t>表3</w:t>
      </w:r>
      <w:r>
        <w:rPr>
          <w:rFonts w:ascii="黑体" w:hAnsi="黑体" w:eastAsia="黑体"/>
          <w:b/>
          <w:color w:val="auto"/>
          <w:sz w:val="21"/>
          <w:szCs w:val="21"/>
          <w:highlight w:val="none"/>
        </w:rPr>
        <w:t xml:space="preserve"> </w:t>
      </w:r>
      <w:r>
        <w:rPr>
          <w:rFonts w:hint="eastAsia" w:ascii="黑体" w:hAnsi="黑体" w:eastAsia="黑体"/>
          <w:b/>
          <w:color w:val="auto"/>
          <w:sz w:val="21"/>
          <w:szCs w:val="21"/>
          <w:highlight w:val="none"/>
        </w:rPr>
        <w:t>计量表箱外壳材料及性能参数表</w:t>
      </w:r>
    </w:p>
    <w:tbl>
      <w:tblPr>
        <w:tblStyle w:val="43"/>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1"/>
        <w:gridCol w:w="2888"/>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vMerge w:val="restart"/>
            <w:noWrap w:val="0"/>
            <w:vAlign w:val="center"/>
          </w:tcPr>
          <w:p>
            <w:pPr>
              <w:spacing w:line="360" w:lineRule="auto"/>
              <w:jc w:val="center"/>
              <w:rPr>
                <w:szCs w:val="21"/>
                <w:highlight w:val="none"/>
              </w:rPr>
            </w:pPr>
            <w:r>
              <w:rPr>
                <w:szCs w:val="21"/>
                <w:highlight w:val="none"/>
              </w:rPr>
              <w:t>材料名称</w:t>
            </w:r>
          </w:p>
        </w:tc>
        <w:tc>
          <w:tcPr>
            <w:tcW w:w="2888" w:type="dxa"/>
            <w:noWrap w:val="0"/>
            <w:vAlign w:val="center"/>
          </w:tcPr>
          <w:p>
            <w:pPr>
              <w:spacing w:line="360" w:lineRule="auto"/>
              <w:jc w:val="center"/>
              <w:rPr>
                <w:szCs w:val="21"/>
                <w:highlight w:val="none"/>
              </w:rPr>
            </w:pPr>
            <w:r>
              <w:rPr>
                <w:rFonts w:hint="eastAsia"/>
                <w:szCs w:val="21"/>
                <w:highlight w:val="none"/>
              </w:rPr>
              <w:t>底座</w:t>
            </w:r>
            <w:r>
              <w:rPr>
                <w:szCs w:val="21"/>
                <w:highlight w:val="none"/>
              </w:rPr>
              <w:t>部分</w:t>
            </w:r>
          </w:p>
        </w:tc>
        <w:tc>
          <w:tcPr>
            <w:tcW w:w="2888" w:type="dxa"/>
            <w:noWrap w:val="0"/>
            <w:vAlign w:val="center"/>
          </w:tcPr>
          <w:p>
            <w:pPr>
              <w:spacing w:line="360" w:lineRule="auto"/>
              <w:jc w:val="center"/>
              <w:rPr>
                <w:szCs w:val="21"/>
                <w:highlight w:val="none"/>
              </w:rPr>
            </w:pPr>
            <w:r>
              <w:rPr>
                <w:rFonts w:hint="eastAsia"/>
                <w:szCs w:val="21"/>
                <w:highlight w:val="none"/>
              </w:rPr>
              <w:t>箱盖</w:t>
            </w:r>
            <w:r>
              <w:rPr>
                <w:szCs w:val="21"/>
                <w:highlight w:val="none"/>
              </w:rPr>
              <w:t>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vMerge w:val="continue"/>
            <w:noWrap w:val="0"/>
            <w:vAlign w:val="center"/>
          </w:tcPr>
          <w:p>
            <w:pPr>
              <w:spacing w:line="360" w:lineRule="auto"/>
              <w:rPr>
                <w:szCs w:val="21"/>
                <w:highlight w:val="none"/>
              </w:rPr>
            </w:pPr>
          </w:p>
        </w:tc>
        <w:tc>
          <w:tcPr>
            <w:tcW w:w="2888" w:type="dxa"/>
            <w:noWrap w:val="0"/>
            <w:vAlign w:val="center"/>
          </w:tcPr>
          <w:p>
            <w:pPr>
              <w:jc w:val="center"/>
              <w:rPr>
                <w:szCs w:val="21"/>
                <w:highlight w:val="none"/>
              </w:rPr>
            </w:pPr>
            <w:r>
              <w:rPr>
                <w:szCs w:val="21"/>
                <w:highlight w:val="none"/>
              </w:rPr>
              <w:t>聚碳酸酯树脂</w:t>
            </w:r>
          </w:p>
          <w:p>
            <w:pPr>
              <w:jc w:val="center"/>
              <w:rPr>
                <w:sz w:val="28"/>
                <w:szCs w:val="28"/>
                <w:highlight w:val="none"/>
              </w:rPr>
            </w:pPr>
            <w:r>
              <w:rPr>
                <w:sz w:val="28"/>
                <w:szCs w:val="28"/>
                <w:highlight w:val="none"/>
              </w:rPr>
              <w:t>+</w:t>
            </w:r>
          </w:p>
          <w:p>
            <w:pPr>
              <w:jc w:val="center"/>
              <w:rPr>
                <w:szCs w:val="21"/>
                <w:highlight w:val="none"/>
              </w:rPr>
            </w:pPr>
            <w:r>
              <w:rPr>
                <w:szCs w:val="21"/>
                <w:highlight w:val="none"/>
              </w:rPr>
              <w:t>丙烯腈-丁二烯-苯乙烯树脂</w:t>
            </w:r>
          </w:p>
        </w:tc>
        <w:tc>
          <w:tcPr>
            <w:tcW w:w="2888" w:type="dxa"/>
            <w:noWrap w:val="0"/>
            <w:vAlign w:val="center"/>
          </w:tcPr>
          <w:p>
            <w:pPr>
              <w:spacing w:line="360" w:lineRule="auto"/>
              <w:jc w:val="center"/>
              <w:rPr>
                <w:szCs w:val="21"/>
                <w:highlight w:val="none"/>
              </w:rPr>
            </w:pPr>
            <w:r>
              <w:rPr>
                <w:szCs w:val="21"/>
                <w:highlight w:val="none"/>
              </w:rPr>
              <w:t>聚碳酸酯树脂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材料相关标准</w:t>
            </w:r>
          </w:p>
        </w:tc>
        <w:tc>
          <w:tcPr>
            <w:tcW w:w="2888" w:type="dxa"/>
            <w:noWrap w:val="0"/>
            <w:vAlign w:val="center"/>
          </w:tcPr>
          <w:p>
            <w:pPr>
              <w:spacing w:line="360" w:lineRule="auto"/>
              <w:jc w:val="center"/>
              <w:rPr>
                <w:szCs w:val="21"/>
                <w:highlight w:val="none"/>
              </w:rPr>
            </w:pPr>
            <w:r>
              <w:rPr>
                <w:szCs w:val="21"/>
                <w:highlight w:val="none"/>
              </w:rPr>
              <w:t>/</w:t>
            </w:r>
          </w:p>
        </w:tc>
        <w:tc>
          <w:tcPr>
            <w:tcW w:w="2888" w:type="dxa"/>
            <w:noWrap w:val="0"/>
            <w:vAlign w:val="center"/>
          </w:tcPr>
          <w:p>
            <w:pPr>
              <w:spacing w:line="360" w:lineRule="auto"/>
              <w:jc w:val="center"/>
              <w:rPr>
                <w:szCs w:val="21"/>
                <w:highlight w:val="none"/>
              </w:rPr>
            </w:pPr>
            <w:r>
              <w:rPr>
                <w:szCs w:val="21"/>
                <w:highlight w:val="none"/>
              </w:rPr>
              <w:t>HG/ T2503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材料代号</w:t>
            </w:r>
          </w:p>
        </w:tc>
        <w:tc>
          <w:tcPr>
            <w:tcW w:w="2888" w:type="dxa"/>
            <w:noWrap w:val="0"/>
            <w:vAlign w:val="center"/>
          </w:tcPr>
          <w:p>
            <w:pPr>
              <w:spacing w:line="360" w:lineRule="auto"/>
              <w:jc w:val="center"/>
              <w:rPr>
                <w:szCs w:val="21"/>
                <w:highlight w:val="none"/>
              </w:rPr>
            </w:pPr>
            <w:r>
              <w:rPr>
                <w:szCs w:val="21"/>
                <w:highlight w:val="none"/>
              </w:rPr>
              <w:t>PC+ABS(阻燃)</w:t>
            </w:r>
          </w:p>
        </w:tc>
        <w:tc>
          <w:tcPr>
            <w:tcW w:w="2888" w:type="dxa"/>
            <w:noWrap w:val="0"/>
            <w:vAlign w:val="center"/>
          </w:tcPr>
          <w:p>
            <w:pPr>
              <w:spacing w:line="360" w:lineRule="auto"/>
              <w:jc w:val="center"/>
              <w:rPr>
                <w:szCs w:val="21"/>
                <w:highlight w:val="none"/>
              </w:rPr>
            </w:pPr>
            <w:r>
              <w:rPr>
                <w:szCs w:val="21"/>
                <w:highlight w:val="none"/>
              </w:rPr>
              <w:t>PC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密度(g/cm</w:t>
            </w:r>
            <w:r>
              <w:rPr>
                <w:szCs w:val="21"/>
                <w:highlight w:val="none"/>
                <w:vertAlign w:val="superscript"/>
              </w:rPr>
              <w:t>3</w:t>
            </w:r>
            <w:r>
              <w:rPr>
                <w:szCs w:val="21"/>
                <w:highlight w:val="none"/>
              </w:rPr>
              <w:t>)</w:t>
            </w:r>
          </w:p>
        </w:tc>
        <w:tc>
          <w:tcPr>
            <w:tcW w:w="2888" w:type="dxa"/>
            <w:noWrap w:val="0"/>
            <w:vAlign w:val="center"/>
          </w:tcPr>
          <w:p>
            <w:pPr>
              <w:spacing w:line="360" w:lineRule="auto"/>
              <w:jc w:val="center"/>
              <w:rPr>
                <w:szCs w:val="21"/>
                <w:highlight w:val="none"/>
              </w:rPr>
            </w:pPr>
            <w:r>
              <w:rPr>
                <w:szCs w:val="21"/>
                <w:highlight w:val="none"/>
              </w:rPr>
              <w:t>1.2</w:t>
            </w:r>
          </w:p>
        </w:tc>
        <w:tc>
          <w:tcPr>
            <w:tcW w:w="2888" w:type="dxa"/>
            <w:noWrap w:val="0"/>
            <w:vAlign w:val="center"/>
          </w:tcPr>
          <w:p>
            <w:pPr>
              <w:spacing w:line="360" w:lineRule="auto"/>
              <w:jc w:val="center"/>
              <w:rPr>
                <w:szCs w:val="21"/>
                <w:highlight w:val="none"/>
              </w:rPr>
            </w:pPr>
            <w:r>
              <w:rPr>
                <w:szCs w:val="21"/>
                <w:highlight w:val="none"/>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拉伸強度(MPa)</w:t>
            </w:r>
          </w:p>
        </w:tc>
        <w:tc>
          <w:tcPr>
            <w:tcW w:w="2888" w:type="dxa"/>
            <w:noWrap w:val="0"/>
            <w:vAlign w:val="center"/>
          </w:tcPr>
          <w:p>
            <w:pPr>
              <w:spacing w:line="360" w:lineRule="auto"/>
              <w:jc w:val="center"/>
              <w:rPr>
                <w:szCs w:val="21"/>
                <w:highlight w:val="none"/>
              </w:rPr>
            </w:pPr>
            <w:r>
              <w:rPr>
                <w:szCs w:val="21"/>
                <w:highlight w:val="none"/>
              </w:rPr>
              <w:t>≥42</w:t>
            </w:r>
          </w:p>
        </w:tc>
        <w:tc>
          <w:tcPr>
            <w:tcW w:w="2888" w:type="dxa"/>
            <w:noWrap w:val="0"/>
            <w:vAlign w:val="center"/>
          </w:tcPr>
          <w:p>
            <w:pPr>
              <w:spacing w:line="360" w:lineRule="auto"/>
              <w:jc w:val="center"/>
              <w:rPr>
                <w:szCs w:val="21"/>
                <w:highlight w:val="none"/>
              </w:rPr>
            </w:pPr>
            <w:r>
              <w:rPr>
                <w:szCs w:val="21"/>
                <w:highlight w:val="none"/>
              </w:rPr>
              <w:t>≥ 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弯曲強度( MPa)</w:t>
            </w:r>
          </w:p>
        </w:tc>
        <w:tc>
          <w:tcPr>
            <w:tcW w:w="2888" w:type="dxa"/>
            <w:noWrap w:val="0"/>
            <w:vAlign w:val="center"/>
          </w:tcPr>
          <w:p>
            <w:pPr>
              <w:spacing w:line="360" w:lineRule="auto"/>
              <w:jc w:val="center"/>
              <w:rPr>
                <w:szCs w:val="21"/>
                <w:highlight w:val="none"/>
              </w:rPr>
            </w:pPr>
            <w:r>
              <w:rPr>
                <w:szCs w:val="21"/>
                <w:highlight w:val="none"/>
              </w:rPr>
              <w:t>≥ 65</w:t>
            </w:r>
          </w:p>
        </w:tc>
        <w:tc>
          <w:tcPr>
            <w:tcW w:w="2888" w:type="dxa"/>
            <w:noWrap w:val="0"/>
            <w:vAlign w:val="center"/>
          </w:tcPr>
          <w:p>
            <w:pPr>
              <w:spacing w:line="360" w:lineRule="auto"/>
              <w:jc w:val="center"/>
              <w:rPr>
                <w:szCs w:val="21"/>
                <w:highlight w:val="none"/>
              </w:rPr>
            </w:pPr>
            <w:r>
              <w:rPr>
                <w:szCs w:val="21"/>
                <w:highlight w:val="none"/>
              </w:rPr>
              <w:t>≥ 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无缺口简支梁冲击強度(kJ/m</w:t>
            </w:r>
            <w:r>
              <w:rPr>
                <w:szCs w:val="21"/>
                <w:highlight w:val="none"/>
                <w:vertAlign w:val="superscript"/>
              </w:rPr>
              <w:t>2</w:t>
            </w:r>
            <w:r>
              <w:rPr>
                <w:szCs w:val="21"/>
                <w:highlight w:val="none"/>
              </w:rPr>
              <w:t>)</w:t>
            </w:r>
          </w:p>
        </w:tc>
        <w:tc>
          <w:tcPr>
            <w:tcW w:w="2888" w:type="dxa"/>
            <w:noWrap w:val="0"/>
            <w:vAlign w:val="center"/>
          </w:tcPr>
          <w:p>
            <w:pPr>
              <w:spacing w:line="360" w:lineRule="auto"/>
              <w:jc w:val="center"/>
              <w:rPr>
                <w:szCs w:val="21"/>
                <w:highlight w:val="none"/>
              </w:rPr>
            </w:pPr>
            <w:r>
              <w:rPr>
                <w:szCs w:val="21"/>
                <w:highlight w:val="none"/>
              </w:rPr>
              <w:t>≥ 42</w:t>
            </w:r>
          </w:p>
        </w:tc>
        <w:tc>
          <w:tcPr>
            <w:tcW w:w="2888" w:type="dxa"/>
            <w:noWrap w:val="0"/>
            <w:vAlign w:val="center"/>
          </w:tcPr>
          <w:p>
            <w:pPr>
              <w:spacing w:line="360" w:lineRule="auto"/>
              <w:jc w:val="center"/>
              <w:rPr>
                <w:szCs w:val="21"/>
                <w:highlight w:val="none"/>
              </w:rPr>
            </w:pPr>
            <w:r>
              <w:rPr>
                <w:szCs w:val="21"/>
                <w:highlight w:val="none"/>
              </w:rPr>
              <w:t>≥ 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 xml:space="preserve">负荷变形温度((Tff 1.8) </w:t>
            </w:r>
            <w:r>
              <w:rPr>
                <w:rFonts w:hAnsi="宋体"/>
                <w:szCs w:val="21"/>
                <w:highlight w:val="none"/>
              </w:rPr>
              <w:t>℃</w:t>
            </w:r>
            <w:r>
              <w:rPr>
                <w:szCs w:val="21"/>
                <w:highlight w:val="none"/>
              </w:rPr>
              <w:t>)</w:t>
            </w:r>
          </w:p>
        </w:tc>
        <w:tc>
          <w:tcPr>
            <w:tcW w:w="2888" w:type="dxa"/>
            <w:noWrap w:val="0"/>
            <w:vAlign w:val="center"/>
          </w:tcPr>
          <w:p>
            <w:pPr>
              <w:spacing w:line="360" w:lineRule="auto"/>
              <w:jc w:val="center"/>
              <w:rPr>
                <w:szCs w:val="21"/>
                <w:highlight w:val="none"/>
              </w:rPr>
            </w:pPr>
            <w:r>
              <w:rPr>
                <w:szCs w:val="21"/>
                <w:highlight w:val="none"/>
              </w:rPr>
              <w:t>≥ 100</w:t>
            </w:r>
          </w:p>
        </w:tc>
        <w:tc>
          <w:tcPr>
            <w:tcW w:w="2888" w:type="dxa"/>
            <w:noWrap w:val="0"/>
            <w:vAlign w:val="center"/>
          </w:tcPr>
          <w:p>
            <w:pPr>
              <w:spacing w:line="360" w:lineRule="auto"/>
              <w:jc w:val="center"/>
              <w:rPr>
                <w:szCs w:val="21"/>
                <w:highlight w:val="none"/>
              </w:rPr>
            </w:pPr>
            <w:r>
              <w:rPr>
                <w:szCs w:val="21"/>
                <w:highlight w:val="none"/>
              </w:rPr>
              <w:t>≥ 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电气強度 ( 常态油中 ) kV/mm</w:t>
            </w:r>
          </w:p>
        </w:tc>
        <w:tc>
          <w:tcPr>
            <w:tcW w:w="2888" w:type="dxa"/>
            <w:noWrap w:val="0"/>
            <w:vAlign w:val="center"/>
          </w:tcPr>
          <w:p>
            <w:pPr>
              <w:spacing w:line="360" w:lineRule="auto"/>
              <w:jc w:val="center"/>
              <w:rPr>
                <w:szCs w:val="21"/>
                <w:highlight w:val="none"/>
              </w:rPr>
            </w:pPr>
            <w:r>
              <w:rPr>
                <w:szCs w:val="21"/>
                <w:highlight w:val="none"/>
              </w:rPr>
              <w:t>≥ 15</w:t>
            </w:r>
          </w:p>
        </w:tc>
        <w:tc>
          <w:tcPr>
            <w:tcW w:w="2888" w:type="dxa"/>
            <w:noWrap w:val="0"/>
            <w:vAlign w:val="center"/>
          </w:tcPr>
          <w:p>
            <w:pPr>
              <w:spacing w:line="360" w:lineRule="auto"/>
              <w:jc w:val="center"/>
              <w:rPr>
                <w:szCs w:val="21"/>
                <w:highlight w:val="none"/>
              </w:rPr>
            </w:pPr>
            <w:r>
              <w:rPr>
                <w:szCs w:val="21"/>
                <w:highlight w:val="none"/>
              </w:rPr>
              <w:t>≥ 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阻燃等级</w:t>
            </w:r>
          </w:p>
        </w:tc>
        <w:tc>
          <w:tcPr>
            <w:tcW w:w="2888" w:type="dxa"/>
            <w:noWrap w:val="0"/>
            <w:vAlign w:val="center"/>
          </w:tcPr>
          <w:p>
            <w:pPr>
              <w:spacing w:line="360" w:lineRule="auto"/>
              <w:jc w:val="center"/>
              <w:rPr>
                <w:szCs w:val="21"/>
                <w:highlight w:val="none"/>
              </w:rPr>
            </w:pPr>
            <w:r>
              <w:rPr>
                <w:szCs w:val="21"/>
                <w:highlight w:val="none"/>
              </w:rPr>
              <w:t>V0</w:t>
            </w:r>
          </w:p>
        </w:tc>
        <w:tc>
          <w:tcPr>
            <w:tcW w:w="2888" w:type="dxa"/>
            <w:noWrap w:val="0"/>
            <w:vAlign w:val="center"/>
          </w:tcPr>
          <w:p>
            <w:pPr>
              <w:spacing w:line="360" w:lineRule="auto"/>
              <w:jc w:val="center"/>
              <w:rPr>
                <w:szCs w:val="21"/>
                <w:highlight w:val="none"/>
              </w:rPr>
            </w:pPr>
            <w:r>
              <w:rPr>
                <w:szCs w:val="21"/>
                <w:highlight w:val="none"/>
              </w:rPr>
              <w:t>V0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参考型号</w:t>
            </w:r>
          </w:p>
        </w:tc>
        <w:tc>
          <w:tcPr>
            <w:tcW w:w="2888" w:type="dxa"/>
            <w:noWrap w:val="0"/>
            <w:vAlign w:val="center"/>
          </w:tcPr>
          <w:p>
            <w:pPr>
              <w:spacing w:line="360" w:lineRule="auto"/>
              <w:jc w:val="center"/>
              <w:rPr>
                <w:szCs w:val="21"/>
                <w:highlight w:val="none"/>
              </w:rPr>
            </w:pPr>
            <w:r>
              <w:rPr>
                <w:szCs w:val="21"/>
                <w:highlight w:val="none"/>
              </w:rPr>
              <w:t>优级品</w:t>
            </w:r>
          </w:p>
        </w:tc>
        <w:tc>
          <w:tcPr>
            <w:tcW w:w="2888" w:type="dxa"/>
            <w:noWrap w:val="0"/>
            <w:vAlign w:val="center"/>
          </w:tcPr>
          <w:p>
            <w:pPr>
              <w:spacing w:line="360" w:lineRule="auto"/>
              <w:jc w:val="center"/>
              <w:rPr>
                <w:szCs w:val="21"/>
                <w:highlight w:val="none"/>
              </w:rPr>
            </w:pPr>
            <w:r>
              <w:rPr>
                <w:szCs w:val="21"/>
                <w:highlight w:val="none"/>
              </w:rPr>
              <w:t>一级品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noWrap w:val="0"/>
            <w:vAlign w:val="center"/>
          </w:tcPr>
          <w:p>
            <w:pPr>
              <w:spacing w:line="360" w:lineRule="auto"/>
              <w:rPr>
                <w:szCs w:val="21"/>
                <w:highlight w:val="none"/>
              </w:rPr>
            </w:pPr>
            <w:r>
              <w:rPr>
                <w:szCs w:val="21"/>
                <w:highlight w:val="none"/>
              </w:rPr>
              <w:t>材料板厚mm</w:t>
            </w:r>
          </w:p>
        </w:tc>
        <w:tc>
          <w:tcPr>
            <w:tcW w:w="2888" w:type="dxa"/>
            <w:noWrap w:val="0"/>
            <w:vAlign w:val="center"/>
          </w:tcPr>
          <w:p>
            <w:pPr>
              <w:spacing w:line="360" w:lineRule="auto"/>
              <w:jc w:val="center"/>
              <w:rPr>
                <w:szCs w:val="21"/>
                <w:highlight w:val="none"/>
              </w:rPr>
            </w:pPr>
            <w:r>
              <w:rPr>
                <w:szCs w:val="21"/>
                <w:highlight w:val="none"/>
              </w:rPr>
              <w:t>≥3（单表位）；≥4（多表位</w:t>
            </w:r>
            <w:r>
              <w:rPr>
                <w:rFonts w:hint="eastAsia"/>
                <w:szCs w:val="21"/>
                <w:highlight w:val="none"/>
              </w:rPr>
              <w:t>、</w:t>
            </w:r>
            <w:r>
              <w:rPr>
                <w:szCs w:val="21"/>
                <w:highlight w:val="none"/>
              </w:rPr>
              <w:t>互感器、</w:t>
            </w:r>
            <w:r>
              <w:rPr>
                <w:rFonts w:hint="eastAsia"/>
                <w:szCs w:val="21"/>
                <w:highlight w:val="none"/>
              </w:rPr>
              <w:t>A1-D</w:t>
            </w:r>
            <w:r>
              <w:rPr>
                <w:szCs w:val="21"/>
                <w:highlight w:val="none"/>
              </w:rPr>
              <w:t>动力箱）</w:t>
            </w:r>
          </w:p>
          <w:p>
            <w:pPr>
              <w:spacing w:line="360" w:lineRule="auto"/>
              <w:jc w:val="left"/>
              <w:rPr>
                <w:rFonts w:hint="eastAsia" w:eastAsia="宋体"/>
                <w:szCs w:val="21"/>
                <w:highlight w:val="none"/>
                <w:lang w:eastAsia="zh-CN"/>
              </w:rPr>
            </w:pPr>
            <w:r>
              <w:rPr>
                <w:rFonts w:hint="eastAsia"/>
                <w:szCs w:val="21"/>
                <w:highlight w:val="none"/>
                <w:lang w:eastAsia="zh-CN"/>
              </w:rPr>
              <w:t>（</w:t>
            </w:r>
            <w:r>
              <w:rPr>
                <w:rFonts w:hint="eastAsia"/>
                <w:szCs w:val="21"/>
                <w:highlight w:val="none"/>
              </w:rPr>
              <w:t>各规格表箱厚度要求见附录C图示</w:t>
            </w:r>
            <w:r>
              <w:rPr>
                <w:rFonts w:hint="eastAsia"/>
                <w:szCs w:val="21"/>
                <w:highlight w:val="none"/>
                <w:lang w:eastAsia="zh-CN"/>
              </w:rPr>
              <w:t>）</w:t>
            </w:r>
          </w:p>
        </w:tc>
        <w:tc>
          <w:tcPr>
            <w:tcW w:w="2888" w:type="dxa"/>
            <w:noWrap w:val="0"/>
            <w:vAlign w:val="center"/>
          </w:tcPr>
          <w:p>
            <w:pPr>
              <w:spacing w:line="360" w:lineRule="auto"/>
              <w:jc w:val="center"/>
              <w:rPr>
                <w:rFonts w:hint="eastAsia"/>
                <w:szCs w:val="21"/>
                <w:highlight w:val="none"/>
              </w:rPr>
            </w:pPr>
            <w:r>
              <w:rPr>
                <w:szCs w:val="21"/>
                <w:highlight w:val="none"/>
              </w:rPr>
              <w:t>≥</w:t>
            </w:r>
            <w:r>
              <w:rPr>
                <w:rFonts w:hint="eastAsia"/>
                <w:szCs w:val="21"/>
                <w:highlight w:val="none"/>
              </w:rPr>
              <w:t>3</w:t>
            </w:r>
          </w:p>
          <w:p>
            <w:pPr>
              <w:spacing w:line="360" w:lineRule="auto"/>
              <w:jc w:val="center"/>
              <w:rPr>
                <w:rFonts w:hint="eastAsia" w:eastAsia="宋体"/>
                <w:szCs w:val="21"/>
                <w:highlight w:val="none"/>
                <w:lang w:eastAsia="zh-CN"/>
              </w:rPr>
            </w:pPr>
            <w:r>
              <w:rPr>
                <w:rFonts w:hint="eastAsia"/>
                <w:szCs w:val="21"/>
                <w:highlight w:val="none"/>
                <w:lang w:eastAsia="zh-CN"/>
              </w:rPr>
              <w:t>（</w:t>
            </w:r>
            <w:r>
              <w:rPr>
                <w:rFonts w:hint="eastAsia"/>
                <w:szCs w:val="21"/>
                <w:highlight w:val="none"/>
              </w:rPr>
              <w:t>各规格表箱厚度要求见附录C图示</w:t>
            </w:r>
            <w:r>
              <w:rPr>
                <w:rFonts w:hint="eastAsia"/>
                <w:szCs w:val="21"/>
                <w:highlight w:val="none"/>
                <w:lang w:eastAsia="zh-CN"/>
              </w:rPr>
              <w:t>）</w:t>
            </w:r>
          </w:p>
        </w:tc>
      </w:tr>
    </w:tbl>
    <w:p>
      <w:pPr>
        <w:spacing w:line="360" w:lineRule="auto"/>
        <w:ind w:firstLine="420"/>
        <w:rPr>
          <w:highlight w:val="none"/>
        </w:rPr>
      </w:pPr>
    </w:p>
    <w:p>
      <w:pPr>
        <w:pStyle w:val="3"/>
        <w:numPr>
          <w:ilvl w:val="1"/>
          <w:numId w:val="25"/>
        </w:numPr>
        <w:topLinePunct/>
        <w:adjustRightInd w:val="0"/>
        <w:spacing w:before="0" w:after="0" w:line="360" w:lineRule="auto"/>
        <w:rPr>
          <w:rFonts w:ascii="宋体" w:hAnsi="宋体" w:eastAsia="宋体"/>
          <w:kern w:val="44"/>
          <w:sz w:val="21"/>
          <w:szCs w:val="21"/>
          <w:highlight w:val="none"/>
          <w:shd w:val="clear" w:color="auto" w:fill="FFFFFF"/>
        </w:rPr>
      </w:pPr>
      <w:bookmarkStart w:id="114" w:name="_Toc20850"/>
      <w:r>
        <w:rPr>
          <w:rFonts w:hint="eastAsia" w:ascii="宋体" w:hAnsi="宋体" w:eastAsia="宋体"/>
          <w:kern w:val="44"/>
          <w:sz w:val="21"/>
          <w:szCs w:val="21"/>
          <w:highlight w:val="none"/>
          <w:shd w:val="clear" w:color="auto" w:fill="FFFFFF"/>
        </w:rPr>
        <w:t>电气要求</w:t>
      </w:r>
      <w:bookmarkEnd w:id="114"/>
    </w:p>
    <w:p>
      <w:pPr>
        <w:pStyle w:val="4"/>
        <w:numPr>
          <w:ilvl w:val="2"/>
          <w:numId w:val="25"/>
        </w:numPr>
        <w:topLinePunct/>
        <w:adjustRightInd w:val="0"/>
        <w:spacing w:before="0" w:after="0" w:line="360" w:lineRule="auto"/>
        <w:rPr>
          <w:rFonts w:ascii="宋体" w:hAnsi="宋体"/>
          <w:kern w:val="44"/>
          <w:sz w:val="21"/>
          <w:szCs w:val="21"/>
          <w:highlight w:val="none"/>
          <w:shd w:val="clear" w:color="auto" w:fill="FFFFFF"/>
        </w:rPr>
      </w:pPr>
      <w:bookmarkStart w:id="115" w:name="_Toc333"/>
      <w:r>
        <w:rPr>
          <w:rFonts w:hint="eastAsia" w:ascii="宋体" w:hAnsi="宋体"/>
          <w:kern w:val="44"/>
          <w:sz w:val="21"/>
          <w:szCs w:val="21"/>
          <w:highlight w:val="none"/>
          <w:shd w:val="clear" w:color="auto" w:fill="FFFFFF"/>
        </w:rPr>
        <w:t>电气控制与保护方案</w:t>
      </w:r>
      <w:bookmarkEnd w:id="115"/>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计量表箱电气控制及保护方案应符合表4规定：</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微型断路器、塑壳断路器、隔离开关性能应分别符合</w:t>
      </w:r>
      <w:r>
        <w:rPr>
          <w:highlight w:val="none"/>
        </w:rPr>
        <w:t>GB 10963.1</w:t>
      </w:r>
      <w:r>
        <w:rPr>
          <w:rFonts w:hint="eastAsia"/>
          <w:highlight w:val="none"/>
        </w:rPr>
        <w:t>、</w:t>
      </w:r>
      <w:r>
        <w:rPr>
          <w:highlight w:val="none"/>
        </w:rPr>
        <w:t xml:space="preserve"> GB/T 14048.2</w:t>
      </w:r>
      <w:r>
        <w:rPr>
          <w:rFonts w:hint="eastAsia"/>
          <w:highlight w:val="none"/>
        </w:rPr>
        <w:t>、</w:t>
      </w:r>
      <w:r>
        <w:rPr>
          <w:highlight w:val="none"/>
        </w:rPr>
        <w:t>GB T/14048.3</w:t>
      </w:r>
      <w:r>
        <w:rPr>
          <w:rFonts w:hint="eastAsia"/>
          <w:highlight w:val="none"/>
        </w:rPr>
        <w:t>中各项技术要求</w:t>
      </w:r>
      <w:r>
        <w:rPr>
          <w:highlight w:val="none"/>
        </w:rPr>
        <w:t xml:space="preserve"> </w:t>
      </w:r>
      <w:r>
        <w:rPr>
          <w:rFonts w:hint="eastAsia"/>
          <w:highlight w:val="none"/>
        </w:rPr>
        <w:t>，并能通过产品标准中相应试验；</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安装外置型断路器电能表的计量表箱，其出线侧断路器应具有与相应电能表跳闸信号相匹配的自动分闸、手</w:t>
      </w:r>
      <w:r>
        <w:rPr>
          <w:highlight w:val="none"/>
        </w:rPr>
        <w:t>/</w:t>
      </w:r>
      <w:r>
        <w:rPr>
          <w:rFonts w:hint="eastAsia"/>
          <w:highlight w:val="none"/>
        </w:rPr>
        <w:t>自合闸功能及其它扩展应用功能；</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开关电气性能及参数应符合6.6.5的规定；</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电气开关外壳标识应规范、清晰。</w:t>
      </w:r>
      <w:r>
        <w:rPr>
          <w:highlight w:val="none"/>
        </w:rPr>
        <w:t xml:space="preserve"> </w:t>
      </w:r>
    </w:p>
    <w:p>
      <w:pPr>
        <w:pStyle w:val="156"/>
        <w:numPr>
          <w:ilvl w:val="0"/>
          <w:numId w:val="26"/>
        </w:numPr>
        <w:spacing w:before="120" w:beforeLines="50" w:after="120" w:afterLines="50"/>
        <w:ind w:left="360" w:hanging="360"/>
        <w:jc w:val="center"/>
        <w:rPr>
          <w:rFonts w:ascii="黑体" w:hAnsi="黑体" w:eastAsia="黑体"/>
          <w:b/>
          <w:color w:val="auto"/>
          <w:sz w:val="21"/>
          <w:szCs w:val="21"/>
          <w:highlight w:val="none"/>
        </w:rPr>
      </w:pPr>
      <w:r>
        <w:rPr>
          <w:rFonts w:hint="eastAsia" w:ascii="黑体" w:hAnsi="黑体" w:eastAsia="黑体"/>
          <w:b/>
          <w:color w:val="auto"/>
          <w:sz w:val="21"/>
          <w:szCs w:val="21"/>
          <w:highlight w:val="none"/>
        </w:rPr>
        <w:t>表4</w:t>
      </w:r>
      <w:r>
        <w:rPr>
          <w:rFonts w:ascii="黑体" w:hAnsi="黑体" w:eastAsia="黑体"/>
          <w:b/>
          <w:color w:val="auto"/>
          <w:sz w:val="21"/>
          <w:szCs w:val="21"/>
          <w:highlight w:val="none"/>
        </w:rPr>
        <w:t xml:space="preserve"> </w:t>
      </w:r>
      <w:r>
        <w:rPr>
          <w:rFonts w:hint="eastAsia" w:ascii="黑体" w:hAnsi="黑体" w:eastAsia="黑体"/>
          <w:b/>
          <w:color w:val="auto"/>
          <w:sz w:val="21"/>
          <w:szCs w:val="21"/>
          <w:highlight w:val="none"/>
        </w:rPr>
        <w:t>计量表箱电气控制与保护方案</w:t>
      </w:r>
    </w:p>
    <w:tbl>
      <w:tblPr>
        <w:tblStyle w:val="43"/>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1"/>
        <w:gridCol w:w="710"/>
        <w:gridCol w:w="1417"/>
        <w:gridCol w:w="1558"/>
        <w:gridCol w:w="2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1"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计量表箱类型</w:t>
            </w:r>
          </w:p>
        </w:tc>
        <w:tc>
          <w:tcPr>
            <w:tcW w:w="710"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方案</w:t>
            </w:r>
          </w:p>
        </w:tc>
        <w:tc>
          <w:tcPr>
            <w:tcW w:w="1417"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电源接入端</w:t>
            </w:r>
          </w:p>
        </w:tc>
        <w:tc>
          <w:tcPr>
            <w:tcW w:w="1558"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电能表进线侧</w:t>
            </w:r>
          </w:p>
        </w:tc>
        <w:tc>
          <w:tcPr>
            <w:tcW w:w="2692"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电能表</w:t>
            </w:r>
            <w:r>
              <w:rPr>
                <w:rFonts w:hAnsi="宋体"/>
                <w:b/>
                <w:bCs/>
                <w:color w:val="auto"/>
                <w:sz w:val="21"/>
                <w:szCs w:val="21"/>
                <w:highlight w:val="none"/>
              </w:rPr>
              <w:t>/</w:t>
            </w:r>
            <w:r>
              <w:rPr>
                <w:rFonts w:hint="eastAsia" w:hAnsi="宋体"/>
                <w:color w:val="auto"/>
                <w:sz w:val="21"/>
                <w:szCs w:val="21"/>
                <w:highlight w:val="none"/>
              </w:rPr>
              <w:t>互感器出线侧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1"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多表位计量表箱</w:t>
            </w:r>
          </w:p>
        </w:tc>
        <w:tc>
          <w:tcPr>
            <w:tcW w:w="710"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1</w:t>
            </w:r>
          </w:p>
        </w:tc>
        <w:tc>
          <w:tcPr>
            <w:tcW w:w="1417"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塑壳断路器</w:t>
            </w:r>
          </w:p>
        </w:tc>
        <w:tc>
          <w:tcPr>
            <w:tcW w:w="1558" w:type="dxa"/>
            <w:noWrap w:val="0"/>
            <w:vAlign w:val="center"/>
          </w:tcPr>
          <w:p>
            <w:pPr>
              <w:pStyle w:val="156"/>
              <w:jc w:val="center"/>
              <w:rPr>
                <w:rFonts w:hAnsi="宋体"/>
                <w:color w:val="auto"/>
                <w:sz w:val="21"/>
                <w:szCs w:val="21"/>
                <w:highlight w:val="none"/>
              </w:rPr>
            </w:pPr>
            <w:r>
              <w:rPr>
                <w:rFonts w:hAnsi="宋体"/>
                <w:color w:val="auto"/>
                <w:sz w:val="21"/>
                <w:szCs w:val="21"/>
                <w:highlight w:val="none"/>
              </w:rPr>
              <w:t>/</w:t>
            </w:r>
          </w:p>
        </w:tc>
        <w:tc>
          <w:tcPr>
            <w:tcW w:w="2692"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费控断路器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1"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单表位计量表箱</w:t>
            </w:r>
          </w:p>
        </w:tc>
        <w:tc>
          <w:tcPr>
            <w:tcW w:w="710"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1</w:t>
            </w:r>
          </w:p>
        </w:tc>
        <w:tc>
          <w:tcPr>
            <w:tcW w:w="2975" w:type="dxa"/>
            <w:gridSpan w:val="2"/>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隔离开关</w:t>
            </w:r>
          </w:p>
        </w:tc>
        <w:tc>
          <w:tcPr>
            <w:tcW w:w="2692"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费控断路器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1"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A1-D动力计量表箱</w:t>
            </w:r>
          </w:p>
        </w:tc>
        <w:tc>
          <w:tcPr>
            <w:tcW w:w="710" w:type="dxa"/>
            <w:noWrap w:val="0"/>
            <w:vAlign w:val="center"/>
          </w:tcPr>
          <w:p>
            <w:pPr>
              <w:pStyle w:val="156"/>
              <w:jc w:val="center"/>
              <w:rPr>
                <w:rFonts w:hAnsi="宋体"/>
                <w:color w:val="auto"/>
                <w:sz w:val="21"/>
                <w:szCs w:val="21"/>
                <w:highlight w:val="none"/>
              </w:rPr>
            </w:pPr>
          </w:p>
        </w:tc>
        <w:tc>
          <w:tcPr>
            <w:tcW w:w="2975" w:type="dxa"/>
            <w:gridSpan w:val="2"/>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塑壳断路器</w:t>
            </w:r>
          </w:p>
        </w:tc>
        <w:tc>
          <w:tcPr>
            <w:tcW w:w="2692"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费控断路器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1"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经互感器接入式计量表箱</w:t>
            </w:r>
          </w:p>
        </w:tc>
        <w:tc>
          <w:tcPr>
            <w:tcW w:w="710"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1</w:t>
            </w:r>
          </w:p>
        </w:tc>
        <w:tc>
          <w:tcPr>
            <w:tcW w:w="1417"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塑壳断路器</w:t>
            </w:r>
          </w:p>
        </w:tc>
        <w:tc>
          <w:tcPr>
            <w:tcW w:w="1558" w:type="dxa"/>
            <w:noWrap w:val="0"/>
            <w:vAlign w:val="center"/>
          </w:tcPr>
          <w:p>
            <w:pPr>
              <w:pStyle w:val="156"/>
              <w:jc w:val="center"/>
              <w:rPr>
                <w:rFonts w:hAnsi="宋体"/>
                <w:color w:val="auto"/>
                <w:sz w:val="21"/>
                <w:szCs w:val="21"/>
                <w:highlight w:val="none"/>
              </w:rPr>
            </w:pPr>
            <w:r>
              <w:rPr>
                <w:rFonts w:hAnsi="宋体"/>
                <w:color w:val="auto"/>
                <w:sz w:val="21"/>
                <w:szCs w:val="21"/>
                <w:highlight w:val="none"/>
              </w:rPr>
              <w:t>/</w:t>
            </w:r>
          </w:p>
        </w:tc>
        <w:tc>
          <w:tcPr>
            <w:tcW w:w="2692" w:type="dxa"/>
            <w:noWrap w:val="0"/>
            <w:vAlign w:val="center"/>
          </w:tcPr>
          <w:p>
            <w:pPr>
              <w:pStyle w:val="156"/>
              <w:jc w:val="center"/>
              <w:rPr>
                <w:rFonts w:hAnsi="宋体"/>
                <w:color w:val="auto"/>
                <w:sz w:val="21"/>
                <w:szCs w:val="21"/>
                <w:highlight w:val="none"/>
              </w:rPr>
            </w:pPr>
            <w:r>
              <w:rPr>
                <w:rFonts w:hint="eastAsia" w:hAnsi="宋体"/>
                <w:color w:val="auto"/>
                <w:sz w:val="21"/>
                <w:szCs w:val="21"/>
                <w:highlight w:val="none"/>
              </w:rPr>
              <w:t>塑壳断路器</w:t>
            </w:r>
          </w:p>
        </w:tc>
      </w:tr>
    </w:tbl>
    <w:p>
      <w:pPr>
        <w:spacing w:line="360" w:lineRule="auto"/>
        <w:ind w:firstLine="420"/>
        <w:rPr>
          <w:highlight w:val="none"/>
        </w:rPr>
      </w:pP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16" w:name="_Toc25589"/>
      <w:r>
        <w:rPr>
          <w:rFonts w:hint="eastAsia" w:ascii="宋体" w:hAnsi="宋体"/>
          <w:kern w:val="44"/>
          <w:sz w:val="21"/>
          <w:szCs w:val="21"/>
          <w:highlight w:val="none"/>
          <w:shd w:val="clear" w:color="auto" w:fill="FFFFFF"/>
        </w:rPr>
        <w:t>电气规格</w:t>
      </w:r>
      <w:bookmarkEnd w:id="116"/>
      <w:r>
        <w:rPr>
          <w:rFonts w:ascii="宋体" w:hAnsi="宋体"/>
          <w:kern w:val="44"/>
          <w:sz w:val="21"/>
          <w:szCs w:val="21"/>
          <w:highlight w:val="none"/>
          <w:shd w:val="clear" w:color="auto" w:fill="FFFFFF"/>
        </w:rPr>
        <w:t xml:space="preserve"> </w:t>
      </w:r>
    </w:p>
    <w:p>
      <w:pPr>
        <w:pStyle w:val="3"/>
        <w:numPr>
          <w:ilvl w:val="3"/>
          <w:numId w:val="25"/>
        </w:numPr>
        <w:topLinePunct/>
        <w:adjustRightInd w:val="0"/>
        <w:spacing w:before="0" w:after="0" w:line="360" w:lineRule="auto"/>
        <w:rPr>
          <w:rFonts w:ascii="宋体" w:hAnsi="宋体" w:eastAsia="宋体"/>
          <w:kern w:val="44"/>
          <w:sz w:val="21"/>
          <w:szCs w:val="21"/>
          <w:highlight w:val="none"/>
          <w:shd w:val="clear" w:color="auto" w:fill="FFFFFF"/>
        </w:rPr>
      </w:pPr>
      <w:bookmarkStart w:id="117" w:name="_Toc10374"/>
      <w:r>
        <w:rPr>
          <w:rFonts w:hint="eastAsia" w:ascii="宋体" w:hAnsi="宋体" w:eastAsia="宋体"/>
          <w:kern w:val="44"/>
          <w:sz w:val="21"/>
          <w:szCs w:val="21"/>
          <w:highlight w:val="none"/>
          <w:shd w:val="clear" w:color="auto" w:fill="FFFFFF"/>
        </w:rPr>
        <w:t>直接接入式计量表箱</w:t>
      </w:r>
      <w:bookmarkEnd w:id="117"/>
      <w:r>
        <w:rPr>
          <w:rFonts w:ascii="宋体" w:hAnsi="宋体" w:eastAsia="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直接接入式计量表箱规格包括：</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额定电压：</w:t>
      </w:r>
      <w:r>
        <w:rPr>
          <w:highlight w:val="none"/>
        </w:rPr>
        <w:t>AC 380V/220V</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额定电源进线电流：</w:t>
      </w:r>
      <w:r>
        <w:rPr>
          <w:highlight w:val="none"/>
        </w:rPr>
        <w:t>80A/100A/125A/160A/2</w:t>
      </w:r>
      <w:r>
        <w:rPr>
          <w:rFonts w:hint="eastAsia"/>
          <w:highlight w:val="none"/>
        </w:rPr>
        <w:t>25</w:t>
      </w:r>
      <w:r>
        <w:rPr>
          <w:highlight w:val="none"/>
        </w:rPr>
        <w:t>A</w:t>
      </w:r>
      <w:r>
        <w:rPr>
          <w:rFonts w:hint="eastAsia"/>
          <w:highlight w:val="none"/>
        </w:rPr>
        <w:t>/250A；</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额定分户出线电流：</w:t>
      </w:r>
      <w:r>
        <w:rPr>
          <w:highlight w:val="none"/>
        </w:rPr>
        <w:t xml:space="preserve"> 80A/100A</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表位数：</w:t>
      </w:r>
      <w:r>
        <w:rPr>
          <w:highlight w:val="none"/>
        </w:rPr>
        <w:t xml:space="preserve"> </w:t>
      </w:r>
    </w:p>
    <w:p>
      <w:pPr>
        <w:spacing w:line="360" w:lineRule="auto"/>
        <w:ind w:firstLine="735" w:firstLineChars="350"/>
        <w:rPr>
          <w:highlight w:val="none"/>
        </w:rPr>
      </w:pPr>
      <w:r>
        <w:rPr>
          <w:rFonts w:hint="eastAsia"/>
          <w:highlight w:val="none"/>
        </w:rPr>
        <w:t>a</w:t>
      </w:r>
      <w:r>
        <w:rPr>
          <w:highlight w:val="none"/>
        </w:rPr>
        <w:t xml:space="preserve">) </w:t>
      </w:r>
      <w:r>
        <w:rPr>
          <w:rFonts w:hint="eastAsia"/>
          <w:highlight w:val="none"/>
        </w:rPr>
        <w:t>单相：</w:t>
      </w:r>
      <w:r>
        <w:rPr>
          <w:highlight w:val="none"/>
        </w:rPr>
        <w:t>1</w:t>
      </w:r>
      <w:r>
        <w:rPr>
          <w:rFonts w:hint="eastAsia"/>
          <w:highlight w:val="none"/>
        </w:rPr>
        <w:t>，</w:t>
      </w:r>
      <w:r>
        <w:rPr>
          <w:highlight w:val="none"/>
        </w:rPr>
        <w:t>2</w:t>
      </w:r>
      <w:r>
        <w:rPr>
          <w:rFonts w:hint="eastAsia"/>
          <w:highlight w:val="none"/>
        </w:rPr>
        <w:t>，</w:t>
      </w:r>
      <w:r>
        <w:rPr>
          <w:highlight w:val="none"/>
        </w:rPr>
        <w:t>4</w:t>
      </w:r>
      <w:r>
        <w:rPr>
          <w:rFonts w:hint="eastAsia"/>
          <w:highlight w:val="none"/>
        </w:rPr>
        <w:t>，6，12；</w:t>
      </w:r>
      <w:r>
        <w:rPr>
          <w:highlight w:val="none"/>
        </w:rPr>
        <w:t xml:space="preserve"> </w:t>
      </w:r>
    </w:p>
    <w:p>
      <w:pPr>
        <w:spacing w:line="360" w:lineRule="auto"/>
        <w:ind w:firstLine="735" w:firstLineChars="350"/>
        <w:rPr>
          <w:highlight w:val="none"/>
        </w:rPr>
      </w:pPr>
      <w:r>
        <w:rPr>
          <w:rFonts w:hint="eastAsia"/>
          <w:highlight w:val="none"/>
        </w:rPr>
        <w:t>b</w:t>
      </w:r>
      <w:r>
        <w:rPr>
          <w:highlight w:val="none"/>
        </w:rPr>
        <w:t xml:space="preserve">) </w:t>
      </w:r>
      <w:r>
        <w:rPr>
          <w:rFonts w:hint="eastAsia"/>
          <w:highlight w:val="none"/>
        </w:rPr>
        <w:t>三相：</w:t>
      </w:r>
      <w:r>
        <w:rPr>
          <w:highlight w:val="none"/>
        </w:rPr>
        <w:t>1</w:t>
      </w:r>
      <w:r>
        <w:rPr>
          <w:rFonts w:hint="eastAsia"/>
          <w:highlight w:val="none"/>
        </w:rPr>
        <w:t>，</w:t>
      </w:r>
      <w:r>
        <w:rPr>
          <w:highlight w:val="none"/>
        </w:rPr>
        <w:t>2</w:t>
      </w:r>
      <w:r>
        <w:rPr>
          <w:rFonts w:hint="eastAsia"/>
          <w:highlight w:val="none"/>
        </w:rPr>
        <w:t>，4。</w:t>
      </w:r>
      <w:r>
        <w:rPr>
          <w:highlight w:val="none"/>
        </w:rPr>
        <w:t xml:space="preserve"> </w:t>
      </w:r>
    </w:p>
    <w:p>
      <w:pPr>
        <w:pStyle w:val="3"/>
        <w:numPr>
          <w:ilvl w:val="3"/>
          <w:numId w:val="25"/>
        </w:numPr>
        <w:topLinePunct/>
        <w:adjustRightInd w:val="0"/>
        <w:spacing w:before="0" w:after="0" w:line="360" w:lineRule="auto"/>
        <w:rPr>
          <w:rFonts w:ascii="宋体" w:hAnsi="宋体" w:eastAsia="宋体"/>
          <w:kern w:val="44"/>
          <w:sz w:val="21"/>
          <w:szCs w:val="21"/>
          <w:highlight w:val="none"/>
          <w:shd w:val="clear" w:color="auto" w:fill="FFFFFF"/>
        </w:rPr>
      </w:pPr>
      <w:bookmarkStart w:id="118" w:name="_Toc2978"/>
      <w:r>
        <w:rPr>
          <w:rFonts w:hint="eastAsia" w:ascii="宋体" w:hAnsi="宋体" w:eastAsia="宋体"/>
          <w:kern w:val="44"/>
          <w:sz w:val="21"/>
          <w:szCs w:val="21"/>
          <w:highlight w:val="none"/>
          <w:shd w:val="clear" w:color="auto" w:fill="FFFFFF"/>
        </w:rPr>
        <w:t>经互感器接入式计量表箱</w:t>
      </w:r>
      <w:bookmarkEnd w:id="118"/>
      <w:r>
        <w:rPr>
          <w:rFonts w:ascii="宋体" w:hAnsi="宋体" w:eastAsia="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经互感器接入式计量表箱规格包括：</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额定电压：</w:t>
      </w:r>
      <w:r>
        <w:rPr>
          <w:highlight w:val="none"/>
        </w:rPr>
        <w:t>AC 380V</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额定（一次）电流：</w:t>
      </w:r>
      <w:r>
        <w:rPr>
          <w:highlight w:val="none"/>
        </w:rPr>
        <w:t xml:space="preserve"> </w:t>
      </w:r>
      <w:r>
        <w:rPr>
          <w:rFonts w:hint="eastAsia"/>
          <w:highlight w:val="none"/>
          <w:lang w:val="en-US" w:eastAsia="zh-CN"/>
        </w:rPr>
        <w:t>250</w:t>
      </w:r>
      <w:r>
        <w:rPr>
          <w:highlight w:val="none"/>
        </w:rPr>
        <w:t>A</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电能表、互感器数：</w:t>
      </w:r>
      <w:r>
        <w:rPr>
          <w:highlight w:val="none"/>
        </w:rPr>
        <w:t xml:space="preserve"> </w:t>
      </w:r>
    </w:p>
    <w:p>
      <w:pPr>
        <w:spacing w:line="360" w:lineRule="auto"/>
        <w:ind w:firstLine="735" w:firstLineChars="350"/>
        <w:rPr>
          <w:highlight w:val="none"/>
        </w:rPr>
      </w:pPr>
      <w:r>
        <w:rPr>
          <w:rFonts w:hint="eastAsia"/>
          <w:highlight w:val="none"/>
        </w:rPr>
        <w:t>a</w:t>
      </w:r>
      <w:r>
        <w:rPr>
          <w:highlight w:val="none"/>
        </w:rPr>
        <w:t xml:space="preserve">) </w:t>
      </w:r>
      <w:r>
        <w:rPr>
          <w:rFonts w:hint="eastAsia"/>
          <w:highlight w:val="none"/>
        </w:rPr>
        <w:t>电能表：</w:t>
      </w:r>
      <w:r>
        <w:rPr>
          <w:highlight w:val="none"/>
        </w:rPr>
        <w:t>1</w:t>
      </w:r>
      <w:r>
        <w:rPr>
          <w:rFonts w:hint="eastAsia"/>
          <w:highlight w:val="none"/>
        </w:rPr>
        <w:t>；</w:t>
      </w:r>
      <w:r>
        <w:rPr>
          <w:highlight w:val="none"/>
        </w:rPr>
        <w:t xml:space="preserve"> </w:t>
      </w:r>
    </w:p>
    <w:p>
      <w:pPr>
        <w:spacing w:line="360" w:lineRule="auto"/>
        <w:ind w:firstLine="735" w:firstLineChars="350"/>
        <w:rPr>
          <w:szCs w:val="21"/>
          <w:highlight w:val="none"/>
        </w:rPr>
      </w:pPr>
      <w:r>
        <w:rPr>
          <w:rFonts w:hint="eastAsia"/>
          <w:highlight w:val="none"/>
        </w:rPr>
        <w:t>b</w:t>
      </w:r>
      <w:r>
        <w:rPr>
          <w:highlight w:val="none"/>
        </w:rPr>
        <w:t>) LMZD</w:t>
      </w:r>
      <w:r>
        <w:rPr>
          <w:rFonts w:hint="eastAsia"/>
          <w:highlight w:val="none"/>
        </w:rPr>
        <w:t>型互感器，一组</w:t>
      </w:r>
      <w:r>
        <w:rPr>
          <w:highlight w:val="none"/>
        </w:rPr>
        <w:t>3</w:t>
      </w:r>
      <w:r>
        <w:rPr>
          <w:rFonts w:hint="eastAsia"/>
          <w:highlight w:val="none"/>
        </w:rPr>
        <w:t>只。</w:t>
      </w:r>
      <w:r>
        <w:rPr>
          <w:szCs w:val="21"/>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19" w:name="_Toc11409"/>
      <w:r>
        <w:rPr>
          <w:rFonts w:hint="eastAsia" w:ascii="宋体" w:hAnsi="宋体"/>
          <w:kern w:val="44"/>
          <w:sz w:val="21"/>
          <w:szCs w:val="21"/>
          <w:highlight w:val="none"/>
          <w:shd w:val="clear" w:color="auto" w:fill="FFFFFF"/>
        </w:rPr>
        <w:t>计量表箱电气结构</w:t>
      </w:r>
      <w:bookmarkEnd w:id="119"/>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计量表箱电气结构包括进线配电单元、计量单元、电气保护与控制单元、防窃电单元（可选），依据相应功能进行相应成套配置：</w:t>
      </w:r>
      <w:r>
        <w:rPr>
          <w:highlight w:val="none"/>
        </w:rPr>
        <w:t xml:space="preserve"> </w:t>
      </w:r>
    </w:p>
    <w:p>
      <w:pPr>
        <w:spacing w:line="380" w:lineRule="exact"/>
        <w:ind w:firstLine="420"/>
        <w:rPr>
          <w:highlight w:val="none"/>
        </w:rPr>
      </w:pPr>
      <w:r>
        <w:rPr>
          <w:rFonts w:hint="eastAsia"/>
          <w:highlight w:val="none"/>
        </w:rPr>
        <w:t>1</w:t>
      </w:r>
      <w:r>
        <w:rPr>
          <w:highlight w:val="none"/>
        </w:rPr>
        <w:t xml:space="preserve">) </w:t>
      </w:r>
      <w:r>
        <w:rPr>
          <w:rFonts w:hint="eastAsia"/>
          <w:highlight w:val="none"/>
        </w:rPr>
        <w:t>计量表箱电源接入方式：单相电源接入为单相</w:t>
      </w:r>
      <w:r>
        <w:rPr>
          <w:rFonts w:hint="eastAsia"/>
          <w:highlight w:val="none"/>
          <w:lang w:val="en-US" w:eastAsia="zh-CN"/>
        </w:rPr>
        <w:t>二</w:t>
      </w:r>
      <w:r>
        <w:rPr>
          <w:rFonts w:hint="eastAsia"/>
          <w:highlight w:val="none"/>
        </w:rPr>
        <w:t>线制；三相电源接入为三相</w:t>
      </w:r>
      <w:r>
        <w:rPr>
          <w:rFonts w:hint="eastAsia"/>
          <w:highlight w:val="none"/>
          <w:lang w:val="en-US" w:eastAsia="zh-CN"/>
        </w:rPr>
        <w:t>四</w:t>
      </w:r>
      <w:r>
        <w:rPr>
          <w:rFonts w:hint="eastAsia"/>
          <w:highlight w:val="none"/>
        </w:rPr>
        <w:t>线制，电源导线与端子相别按相序左、中、右（上、中、下）排列；</w:t>
      </w:r>
    </w:p>
    <w:p>
      <w:pPr>
        <w:spacing w:line="380" w:lineRule="exact"/>
        <w:ind w:firstLine="420"/>
        <w:rPr>
          <w:highlight w:val="none"/>
        </w:rPr>
      </w:pPr>
      <w:r>
        <w:rPr>
          <w:rFonts w:hint="eastAsia"/>
          <w:highlight w:val="none"/>
        </w:rPr>
        <w:t>2</w:t>
      </w:r>
      <w:r>
        <w:rPr>
          <w:highlight w:val="none"/>
        </w:rPr>
        <w:t xml:space="preserve">) </w:t>
      </w:r>
      <w:r>
        <w:rPr>
          <w:rFonts w:hint="eastAsia"/>
          <w:highlight w:val="none"/>
        </w:rPr>
        <w:t>直接接入式单表位计量表箱一般由进线隔离开关（可选）、采集器（可选）、出线断路器及电气连接系统组成；</w:t>
      </w:r>
      <w:r>
        <w:rPr>
          <w:highlight w:val="none"/>
        </w:rPr>
        <w:t xml:space="preserve"> </w:t>
      </w:r>
    </w:p>
    <w:p>
      <w:pPr>
        <w:spacing w:line="380" w:lineRule="exact"/>
        <w:ind w:firstLine="420"/>
        <w:rPr>
          <w:highlight w:val="none"/>
        </w:rPr>
      </w:pPr>
      <w:r>
        <w:rPr>
          <w:rFonts w:hint="eastAsia"/>
          <w:highlight w:val="none"/>
        </w:rPr>
        <w:t>3</w:t>
      </w:r>
      <w:r>
        <w:rPr>
          <w:highlight w:val="none"/>
        </w:rPr>
        <w:t xml:space="preserve">) </w:t>
      </w:r>
      <w:r>
        <w:rPr>
          <w:rFonts w:hint="eastAsia"/>
          <w:highlight w:val="none"/>
        </w:rPr>
        <w:t>直接接入式多表位计量表箱一般由塑壳断路器、母排、端子排、采集器（可选）、出线断路器组等组成；</w:t>
      </w:r>
      <w:r>
        <w:rPr>
          <w:highlight w:val="none"/>
        </w:rPr>
        <w:t xml:space="preserve"> </w:t>
      </w:r>
    </w:p>
    <w:p>
      <w:pPr>
        <w:spacing w:line="380" w:lineRule="exact"/>
        <w:ind w:firstLine="630" w:firstLineChars="300"/>
        <w:rPr>
          <w:highlight w:val="none"/>
        </w:rPr>
      </w:pPr>
      <w:r>
        <w:rPr>
          <w:rFonts w:hint="eastAsia"/>
          <w:highlight w:val="none"/>
        </w:rPr>
        <w:t>a) 进线室、配电（分线）箱应分别设置N接线端子排，配有采集器时还应设置电缆屏蔽层压接排（或金属抱箍）；N接线端子排应有与进线开关相同规格的连接螺栓；进线总开关下桩头应连接分线端子排或总线母排；所有端子排应预留备用接线孔；进线总开关上桩头根据用户需求配备过渡连接铜排；外露母排、端子排应进行表面防锈工艺处理并有相应的绝缘保护；</w:t>
      </w:r>
      <w:r>
        <w:rPr>
          <w:highlight w:val="none"/>
        </w:rPr>
        <w:t xml:space="preserve"> </w:t>
      </w:r>
    </w:p>
    <w:p>
      <w:pPr>
        <w:spacing w:line="380" w:lineRule="exact"/>
        <w:ind w:firstLine="630" w:firstLineChars="300"/>
        <w:rPr>
          <w:highlight w:val="none"/>
        </w:rPr>
      </w:pPr>
      <w:r>
        <w:rPr>
          <w:rFonts w:hint="eastAsia"/>
          <w:highlight w:val="none"/>
        </w:rPr>
        <w:t>b) 出户接线方式应为单相二线制或三相四线制；出线方式为下出，下出线时接线端（出线室）在计量室下方；</w:t>
      </w:r>
      <w:r>
        <w:rPr>
          <w:highlight w:val="none"/>
        </w:rPr>
        <w:t xml:space="preserve"> </w:t>
      </w:r>
    </w:p>
    <w:p>
      <w:pPr>
        <w:spacing w:line="380" w:lineRule="exact"/>
        <w:ind w:firstLine="630" w:firstLineChars="300"/>
        <w:rPr>
          <w:highlight w:val="none"/>
        </w:rPr>
      </w:pPr>
      <w:r>
        <w:rPr>
          <w:highlight w:val="none"/>
        </w:rPr>
        <w:t xml:space="preserve">c) </w:t>
      </w:r>
      <w:r>
        <w:rPr>
          <w:rFonts w:hint="eastAsia"/>
          <w:highlight w:val="none"/>
        </w:rPr>
        <w:t>线槽型式应为强弱电分隔式线槽，线槽内分设布电线、</w:t>
      </w:r>
      <w:r>
        <w:rPr>
          <w:highlight w:val="none"/>
        </w:rPr>
        <w:t>RS485</w:t>
      </w:r>
      <w:r>
        <w:rPr>
          <w:rFonts w:hint="eastAsia"/>
          <w:highlight w:val="none"/>
        </w:rPr>
        <w:t>线、外置费控开关控制线，且分隔明晰，线槽盖板应有防脱落措施；</w:t>
      </w:r>
      <w:r>
        <w:rPr>
          <w:highlight w:val="none"/>
        </w:rPr>
        <w:t xml:space="preserve"> </w:t>
      </w:r>
    </w:p>
    <w:p>
      <w:pPr>
        <w:spacing w:line="380" w:lineRule="exact"/>
        <w:ind w:firstLine="630" w:firstLineChars="300"/>
        <w:rPr>
          <w:highlight w:val="none"/>
        </w:rPr>
      </w:pPr>
      <w:r>
        <w:rPr>
          <w:highlight w:val="none"/>
        </w:rPr>
        <w:t>d) RS485</w:t>
      </w:r>
      <w:r>
        <w:rPr>
          <w:rFonts w:hint="eastAsia"/>
          <w:highlight w:val="none"/>
        </w:rPr>
        <w:t>导线连接点采用冷压端子引出，插件与相应</w:t>
      </w:r>
      <w:r>
        <w:rPr>
          <w:highlight w:val="none"/>
        </w:rPr>
        <w:t>RS485</w:t>
      </w:r>
      <w:r>
        <w:rPr>
          <w:rFonts w:hint="eastAsia"/>
          <w:highlight w:val="none"/>
        </w:rPr>
        <w:t>插座兼容，链接末端与</w:t>
      </w:r>
      <w:r>
        <w:rPr>
          <w:highlight w:val="none"/>
        </w:rPr>
        <w:t>RS485</w:t>
      </w:r>
      <w:r>
        <w:rPr>
          <w:rFonts w:hint="eastAsia"/>
          <w:highlight w:val="none"/>
        </w:rPr>
        <w:t>总线连接装置相连。</w:t>
      </w:r>
      <w:r>
        <w:rPr>
          <w:highlight w:val="none"/>
        </w:rPr>
        <w:t xml:space="preserve"> </w:t>
      </w:r>
    </w:p>
    <w:p>
      <w:pPr>
        <w:spacing w:line="380" w:lineRule="exact"/>
        <w:ind w:firstLine="420"/>
        <w:rPr>
          <w:highlight w:val="none"/>
        </w:rPr>
      </w:pPr>
      <w:r>
        <w:rPr>
          <w:rFonts w:hint="eastAsia"/>
          <w:highlight w:val="none"/>
        </w:rPr>
        <w:t>4</w:t>
      </w:r>
      <w:r>
        <w:rPr>
          <w:highlight w:val="none"/>
        </w:rPr>
        <w:t xml:space="preserve">) </w:t>
      </w:r>
      <w:r>
        <w:rPr>
          <w:rFonts w:hint="eastAsia"/>
          <w:highlight w:val="none"/>
        </w:rPr>
        <w:t>经互感器接入式计量表箱一般由进线开关、互感器安装结构件、试验接线盒、出线塑壳断路器、一次及二次导线等组成，试验接线盒电压引入线应单独从进线开关出线端接入；</w:t>
      </w:r>
      <w:r>
        <w:rPr>
          <w:highlight w:val="none"/>
        </w:rPr>
        <w:t xml:space="preserve"> </w:t>
      </w:r>
    </w:p>
    <w:p>
      <w:pPr>
        <w:spacing w:line="380" w:lineRule="exact"/>
        <w:ind w:firstLine="420"/>
        <w:rPr>
          <w:highlight w:val="none"/>
        </w:rPr>
      </w:pPr>
      <w:r>
        <w:rPr>
          <w:rFonts w:hint="eastAsia"/>
          <w:highlight w:val="none"/>
        </w:rPr>
        <w:t>5</w:t>
      </w:r>
      <w:r>
        <w:rPr>
          <w:highlight w:val="none"/>
        </w:rPr>
        <w:t xml:space="preserve">) </w:t>
      </w:r>
      <w:r>
        <w:rPr>
          <w:rFonts w:hint="eastAsia"/>
          <w:highlight w:val="none"/>
        </w:rPr>
        <w:t>开关接线按说明书要求正确接线；进线开关手柄和出线开关手柄外露。</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20" w:name="_Toc5360"/>
      <w:r>
        <w:rPr>
          <w:rFonts w:hint="eastAsia" w:ascii="宋体" w:hAnsi="宋体"/>
          <w:kern w:val="44"/>
          <w:sz w:val="21"/>
          <w:szCs w:val="21"/>
          <w:highlight w:val="none"/>
          <w:shd w:val="clear" w:color="auto" w:fill="FFFFFF"/>
        </w:rPr>
        <w:t>计量表箱电气配置</w:t>
      </w:r>
      <w:bookmarkEnd w:id="120"/>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计量表箱电气配置及参数选择应符合表5规定。</w:t>
      </w:r>
    </w:p>
    <w:p>
      <w:pPr>
        <w:pStyle w:val="156"/>
        <w:numPr>
          <w:ilvl w:val="0"/>
          <w:numId w:val="26"/>
        </w:numPr>
        <w:spacing w:before="120" w:beforeLines="50" w:after="240" w:afterLines="100"/>
        <w:ind w:left="357" w:hanging="357"/>
        <w:jc w:val="center"/>
        <w:rPr>
          <w:rFonts w:ascii="黑体" w:hAnsi="黑体" w:eastAsia="黑体"/>
          <w:b/>
          <w:color w:val="auto"/>
          <w:sz w:val="21"/>
          <w:szCs w:val="21"/>
          <w:highlight w:val="none"/>
        </w:rPr>
      </w:pPr>
      <w:r>
        <w:rPr>
          <w:rFonts w:hint="eastAsia" w:ascii="黑体" w:hAnsi="黑体" w:eastAsia="黑体"/>
          <w:b/>
          <w:color w:val="auto"/>
          <w:sz w:val="21"/>
          <w:szCs w:val="21"/>
          <w:highlight w:val="none"/>
        </w:rPr>
        <w:t>表5</w:t>
      </w:r>
      <w:r>
        <w:rPr>
          <w:rFonts w:ascii="黑体" w:hAnsi="黑体" w:eastAsia="黑体"/>
          <w:b/>
          <w:color w:val="auto"/>
          <w:sz w:val="21"/>
          <w:szCs w:val="21"/>
          <w:highlight w:val="none"/>
        </w:rPr>
        <w:t xml:space="preserve"> </w:t>
      </w:r>
      <w:r>
        <w:rPr>
          <w:rFonts w:hint="eastAsia" w:ascii="黑体" w:hAnsi="黑体" w:eastAsia="黑体"/>
          <w:b/>
          <w:color w:val="auto"/>
          <w:sz w:val="21"/>
          <w:szCs w:val="21"/>
          <w:highlight w:val="none"/>
        </w:rPr>
        <w:t>计量表箱电气配置</w:t>
      </w:r>
    </w:p>
    <w:tbl>
      <w:tblPr>
        <w:tblStyle w:val="4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7"/>
        <w:gridCol w:w="1415"/>
        <w:gridCol w:w="1278"/>
        <w:gridCol w:w="1278"/>
        <w:gridCol w:w="2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179" w:type="dxa"/>
            <w:gridSpan w:val="5"/>
            <w:noWrap w:val="0"/>
            <w:vAlign w:val="center"/>
          </w:tcPr>
          <w:p>
            <w:pPr>
              <w:pStyle w:val="156"/>
              <w:jc w:val="center"/>
              <w:rPr>
                <w:rFonts w:ascii="Times New Roman"/>
                <w:b/>
                <w:color w:val="auto"/>
                <w:sz w:val="21"/>
                <w:szCs w:val="21"/>
                <w:highlight w:val="none"/>
              </w:rPr>
            </w:pPr>
            <w:r>
              <w:rPr>
                <w:rFonts w:ascii="Times New Roman" w:hAnsi="宋体"/>
                <w:b/>
                <w:color w:val="auto"/>
                <w:sz w:val="21"/>
                <w:szCs w:val="21"/>
                <w:highlight w:val="none"/>
              </w:rPr>
              <w:t>一、单相（电能表）计量</w:t>
            </w:r>
            <w:r>
              <w:rPr>
                <w:rFonts w:hint="eastAsia" w:ascii="Times New Roman" w:hAnsi="宋体"/>
                <w:b/>
                <w:color w:val="auto"/>
                <w:sz w:val="21"/>
                <w:szCs w:val="21"/>
                <w:highlight w:val="none"/>
              </w:rPr>
              <w:t>表</w:t>
            </w:r>
            <w:r>
              <w:rPr>
                <w:rFonts w:ascii="Times New Roman" w:hAnsi="宋体"/>
                <w:b/>
                <w:color w:val="auto"/>
                <w:sz w:val="21"/>
                <w:szCs w:val="21"/>
                <w:highlight w:val="none"/>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规格</w:t>
            </w:r>
          </w:p>
        </w:tc>
        <w:tc>
          <w:tcPr>
            <w:tcW w:w="2601" w:type="dxa"/>
            <w:noWrap w:val="0"/>
            <w:vAlign w:val="center"/>
          </w:tcPr>
          <w:p>
            <w:pPr>
              <w:pStyle w:val="156"/>
              <w:jc w:val="center"/>
              <w:rPr>
                <w:rFonts w:ascii="Times New Roman"/>
                <w:color w:val="auto"/>
                <w:sz w:val="21"/>
                <w:szCs w:val="21"/>
                <w:highlight w:val="none"/>
              </w:rPr>
            </w:pPr>
            <w:r>
              <w:rPr>
                <w:rFonts w:ascii="Times New Roman"/>
                <w:bCs/>
                <w:color w:val="auto"/>
                <w:sz w:val="21"/>
                <w:szCs w:val="21"/>
                <w:highlight w:val="none"/>
              </w:rPr>
              <w:t>80A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布线导线</w:t>
            </w:r>
            <w:r>
              <w:rPr>
                <w:rFonts w:hint="eastAsia" w:ascii="Times New Roman" w:hAnsi="宋体"/>
                <w:color w:val="auto"/>
                <w:sz w:val="21"/>
                <w:szCs w:val="21"/>
                <w:highlight w:val="none"/>
              </w:rPr>
              <w:t>（BV）</w:t>
            </w:r>
            <w:r>
              <w:rPr>
                <w:rFonts w:ascii="Times New Roman" w:hAnsi="宋体"/>
                <w:color w:val="auto"/>
                <w:sz w:val="21"/>
                <w:szCs w:val="21"/>
                <w:highlight w:val="none"/>
              </w:rPr>
              <w:t>截面积</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25</w:t>
            </w:r>
            <w:r>
              <w:rPr>
                <w:rFonts w:ascii="Times New Roman"/>
                <w:color w:val="auto"/>
                <w:sz w:val="21"/>
                <w:szCs w:val="21"/>
                <w:highlight w:val="none"/>
              </w:rPr>
              <w:t>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PE</w:t>
            </w:r>
            <w:r>
              <w:rPr>
                <w:rFonts w:ascii="Times New Roman" w:hAnsi="宋体"/>
                <w:color w:val="auto"/>
                <w:sz w:val="21"/>
                <w:szCs w:val="21"/>
                <w:highlight w:val="none"/>
              </w:rPr>
              <w:t>线</w:t>
            </w:r>
            <w:r>
              <w:rPr>
                <w:rFonts w:hint="eastAsia" w:ascii="Times New Roman" w:hAnsi="宋体"/>
                <w:color w:val="auto"/>
                <w:sz w:val="21"/>
                <w:szCs w:val="21"/>
                <w:highlight w:val="none"/>
              </w:rPr>
              <w:t>（BV）</w:t>
            </w:r>
            <w:r>
              <w:rPr>
                <w:rFonts w:ascii="Times New Roman" w:hAnsi="宋体"/>
                <w:color w:val="auto"/>
                <w:sz w:val="21"/>
                <w:szCs w:val="21"/>
                <w:highlight w:val="none"/>
              </w:rPr>
              <w:t>截面积</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25</w:t>
            </w:r>
            <w:r>
              <w:rPr>
                <w:rFonts w:ascii="Times New Roman"/>
                <w:color w:val="auto"/>
                <w:sz w:val="21"/>
                <w:szCs w:val="21"/>
                <w:highlight w:val="none"/>
              </w:rPr>
              <w:t>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RS485</w:t>
            </w:r>
            <w:r>
              <w:rPr>
                <w:rFonts w:ascii="Times New Roman" w:hAnsi="宋体"/>
                <w:color w:val="auto"/>
                <w:sz w:val="21"/>
                <w:szCs w:val="21"/>
                <w:highlight w:val="none"/>
              </w:rPr>
              <w:t>导线</w:t>
            </w:r>
            <w:r>
              <w:rPr>
                <w:rFonts w:ascii="Times New Roman"/>
                <w:color w:val="auto"/>
                <w:sz w:val="21"/>
                <w:szCs w:val="21"/>
                <w:highlight w:val="none"/>
              </w:rPr>
              <w:t>/</w:t>
            </w:r>
            <w:r>
              <w:rPr>
                <w:rFonts w:ascii="Times New Roman" w:hAnsi="宋体"/>
                <w:color w:val="auto"/>
                <w:sz w:val="21"/>
                <w:szCs w:val="21"/>
                <w:highlight w:val="none"/>
              </w:rPr>
              <w:t>控制线截面积</w:t>
            </w:r>
          </w:p>
        </w:tc>
        <w:tc>
          <w:tcPr>
            <w:tcW w:w="2601" w:type="dxa"/>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2×0.4mm</w:t>
            </w:r>
            <w:r>
              <w:rPr>
                <w:rFonts w:ascii="Times New Roman"/>
                <w:color w:val="auto"/>
                <w:sz w:val="21"/>
                <w:szCs w:val="21"/>
                <w:highlight w:val="none"/>
                <w:vertAlign w:val="superscript"/>
              </w:rPr>
              <w:t>2</w:t>
            </w:r>
            <w:r>
              <w:rPr>
                <w:rFonts w:ascii="Times New Roman"/>
                <w:color w:val="auto"/>
                <w:sz w:val="21"/>
                <w:szCs w:val="21"/>
                <w:highlight w:val="none"/>
              </w:rPr>
              <w:t>/2×0.75mm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单相电能表规格</w:t>
            </w:r>
          </w:p>
        </w:tc>
        <w:tc>
          <w:tcPr>
            <w:tcW w:w="2601" w:type="dxa"/>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5</w:t>
            </w:r>
            <w:r>
              <w:rPr>
                <w:rFonts w:ascii="Times New Roman" w:hAnsi="宋体"/>
                <w:color w:val="auto"/>
                <w:sz w:val="21"/>
                <w:szCs w:val="21"/>
                <w:highlight w:val="none"/>
              </w:rPr>
              <w:t>（</w:t>
            </w:r>
            <w:r>
              <w:rPr>
                <w:rFonts w:ascii="Times New Roman"/>
                <w:color w:val="auto"/>
                <w:sz w:val="21"/>
                <w:szCs w:val="21"/>
                <w:highlight w:val="none"/>
              </w:rPr>
              <w:t>80</w:t>
            </w:r>
            <w:r>
              <w:rPr>
                <w:rFonts w:ascii="Times New Roman" w:hAnsi="宋体"/>
                <w:color w:val="auto"/>
                <w:sz w:val="21"/>
                <w:szCs w:val="21"/>
                <w:highlight w:val="none"/>
              </w:rPr>
              <w:t>）</w:t>
            </w:r>
            <w:r>
              <w:rPr>
                <w:rFonts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出线</w:t>
            </w:r>
            <w:r>
              <w:rPr>
                <w:rFonts w:hint="eastAsia" w:ascii="Times New Roman" w:hAnsi="宋体"/>
                <w:color w:val="auto"/>
                <w:sz w:val="21"/>
                <w:szCs w:val="21"/>
                <w:highlight w:val="none"/>
              </w:rPr>
              <w:t>费</w:t>
            </w:r>
            <w:r>
              <w:rPr>
                <w:rFonts w:ascii="Times New Roman" w:hAnsi="宋体"/>
                <w:color w:val="auto"/>
                <w:sz w:val="21"/>
                <w:szCs w:val="21"/>
                <w:highlight w:val="none"/>
              </w:rPr>
              <w:t>控断路器</w:t>
            </w:r>
          </w:p>
        </w:tc>
        <w:tc>
          <w:tcPr>
            <w:tcW w:w="3971" w:type="dxa"/>
            <w:gridSpan w:val="3"/>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额定电流</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100</w:t>
            </w:r>
            <w:r>
              <w:rPr>
                <w:rFonts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3971" w:type="dxa"/>
            <w:gridSpan w:val="3"/>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型式、主要参数要求</w:t>
            </w:r>
          </w:p>
        </w:tc>
        <w:tc>
          <w:tcPr>
            <w:tcW w:w="2601" w:type="dxa"/>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C</w:t>
            </w:r>
            <w:r>
              <w:rPr>
                <w:rFonts w:ascii="Times New Roman" w:hAnsi="宋体"/>
                <w:color w:val="auto"/>
                <w:sz w:val="21"/>
                <w:szCs w:val="21"/>
                <w:highlight w:val="none"/>
              </w:rPr>
              <w:t>型，</w:t>
            </w:r>
            <w:r>
              <w:rPr>
                <w:rFonts w:ascii="Times New Roman"/>
                <w:color w:val="auto"/>
                <w:sz w:val="21"/>
                <w:szCs w:val="21"/>
                <w:highlight w:val="none"/>
              </w:rPr>
              <w:t>2P</w:t>
            </w:r>
            <w:r>
              <w:rPr>
                <w:rFonts w:ascii="Times New Roman" w:hAnsi="宋体"/>
                <w:color w:val="auto"/>
                <w:sz w:val="21"/>
                <w:szCs w:val="21"/>
                <w:highlight w:val="none"/>
              </w:rPr>
              <w:t>，</w:t>
            </w:r>
            <w:r>
              <w:rPr>
                <w:rFonts w:ascii="Times New Roman"/>
                <w:color w:val="auto"/>
                <w:sz w:val="21"/>
                <w:szCs w:val="21"/>
                <w:highlight w:val="none"/>
              </w:rPr>
              <w:t>6kA</w:t>
            </w:r>
            <w:r>
              <w:rPr>
                <w:rFonts w:hint="eastAsia" w:ascii="Times New Roman"/>
                <w:color w:val="auto"/>
                <w:sz w:val="21"/>
                <w:szCs w:val="21"/>
                <w:highlight w:val="none"/>
              </w:rPr>
              <w:t>（额定分断</w:t>
            </w:r>
            <w:r>
              <w:rPr>
                <w:rFonts w:ascii="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进线</w:t>
            </w:r>
            <w:r>
              <w:rPr>
                <w:rFonts w:ascii="Times New Roman"/>
                <w:color w:val="auto"/>
                <w:sz w:val="21"/>
                <w:szCs w:val="21"/>
                <w:highlight w:val="none"/>
              </w:rPr>
              <w:t>(</w:t>
            </w:r>
            <w:r>
              <w:rPr>
                <w:rFonts w:ascii="Times New Roman" w:hAnsi="宋体"/>
                <w:color w:val="auto"/>
                <w:sz w:val="21"/>
                <w:szCs w:val="21"/>
                <w:highlight w:val="none"/>
              </w:rPr>
              <w:t>总</w:t>
            </w:r>
            <w:r>
              <w:rPr>
                <w:rFonts w:ascii="Times New Roman"/>
                <w:color w:val="auto"/>
                <w:sz w:val="21"/>
                <w:szCs w:val="21"/>
                <w:highlight w:val="none"/>
              </w:rPr>
              <w:t>)</w:t>
            </w:r>
            <w:r>
              <w:rPr>
                <w:rFonts w:ascii="Times New Roman" w:hAnsi="宋体"/>
                <w:color w:val="auto"/>
                <w:sz w:val="21"/>
                <w:szCs w:val="21"/>
                <w:highlight w:val="none"/>
              </w:rPr>
              <w:t>开关</w:t>
            </w:r>
          </w:p>
        </w:tc>
        <w:tc>
          <w:tcPr>
            <w:tcW w:w="1415"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额定电流</w:t>
            </w:r>
          </w:p>
        </w:tc>
        <w:tc>
          <w:tcPr>
            <w:tcW w:w="2556" w:type="dxa"/>
            <w:gridSpan w:val="2"/>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单表位</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100</w:t>
            </w:r>
            <w:r>
              <w:rPr>
                <w:rFonts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color w:val="auto"/>
                <w:sz w:val="21"/>
                <w:szCs w:val="21"/>
                <w:highlight w:val="none"/>
              </w:rPr>
            </w:pPr>
          </w:p>
        </w:tc>
        <w:tc>
          <w:tcPr>
            <w:tcW w:w="1278" w:type="dxa"/>
            <w:vMerge w:val="restart"/>
            <w:noWrap w:val="0"/>
            <w:vAlign w:val="center"/>
          </w:tcPr>
          <w:p>
            <w:pPr>
              <w:pStyle w:val="156"/>
              <w:jc w:val="both"/>
              <w:rPr>
                <w:rFonts w:ascii="Times New Roman"/>
                <w:color w:val="auto"/>
                <w:sz w:val="21"/>
                <w:szCs w:val="21"/>
                <w:highlight w:val="none"/>
              </w:rPr>
            </w:pPr>
            <w:r>
              <w:rPr>
                <w:rFonts w:hint="eastAsia" w:ascii="Times New Roman"/>
                <w:color w:val="auto"/>
                <w:sz w:val="21"/>
                <w:szCs w:val="21"/>
                <w:highlight w:val="none"/>
              </w:rPr>
              <w:t>2排—3排</w:t>
            </w:r>
          </w:p>
        </w:tc>
        <w:tc>
          <w:tcPr>
            <w:tcW w:w="1278" w:type="dxa"/>
            <w:noWrap w:val="0"/>
            <w:vAlign w:val="center"/>
          </w:tcPr>
          <w:p>
            <w:pPr>
              <w:pStyle w:val="156"/>
              <w:jc w:val="both"/>
              <w:rPr>
                <w:rFonts w:ascii="Times New Roman"/>
                <w:color w:val="auto"/>
                <w:sz w:val="21"/>
                <w:szCs w:val="21"/>
                <w:highlight w:val="none"/>
              </w:rPr>
            </w:pPr>
            <w:bookmarkStart w:id="121" w:name="OLE_LINK106"/>
            <w:bookmarkStart w:id="122" w:name="OLE_LINK107"/>
            <w:r>
              <w:rPr>
                <w:rFonts w:ascii="Times New Roman"/>
                <w:color w:val="auto"/>
                <w:sz w:val="21"/>
                <w:szCs w:val="21"/>
                <w:highlight w:val="none"/>
              </w:rPr>
              <w:t>2</w:t>
            </w:r>
            <w:r>
              <w:rPr>
                <w:rFonts w:ascii="Times New Roman" w:hAnsi="宋体"/>
                <w:color w:val="auto"/>
                <w:sz w:val="21"/>
                <w:szCs w:val="21"/>
                <w:highlight w:val="none"/>
              </w:rPr>
              <w:t>表位</w:t>
            </w:r>
            <w:bookmarkEnd w:id="121"/>
            <w:bookmarkEnd w:id="122"/>
          </w:p>
        </w:tc>
        <w:tc>
          <w:tcPr>
            <w:tcW w:w="2601" w:type="dxa"/>
            <w:noWrap w:val="0"/>
            <w:vAlign w:val="center"/>
          </w:tcPr>
          <w:p>
            <w:pPr>
              <w:pStyle w:val="156"/>
              <w:jc w:val="center"/>
              <w:rPr>
                <w:rFonts w:ascii="Times New Roman"/>
                <w:color w:val="auto"/>
                <w:kern w:val="2"/>
                <w:sz w:val="21"/>
                <w:szCs w:val="21"/>
                <w:highlight w:val="none"/>
              </w:rPr>
            </w:pPr>
            <w:r>
              <w:rPr>
                <w:rFonts w:ascii="Times New Roman"/>
                <w:color w:val="auto"/>
                <w:sz w:val="21"/>
                <w:szCs w:val="21"/>
                <w:highlight w:val="none"/>
              </w:rPr>
              <w:t>160A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color w:val="auto"/>
                <w:sz w:val="21"/>
                <w:szCs w:val="21"/>
                <w:highlight w:val="none"/>
              </w:rPr>
            </w:pPr>
          </w:p>
        </w:tc>
        <w:tc>
          <w:tcPr>
            <w:tcW w:w="1278" w:type="dxa"/>
            <w:vMerge w:val="continue"/>
            <w:noWrap w:val="0"/>
            <w:vAlign w:val="center"/>
          </w:tcPr>
          <w:p>
            <w:pPr>
              <w:pStyle w:val="156"/>
              <w:jc w:val="both"/>
              <w:rPr>
                <w:rFonts w:ascii="Times New Roman"/>
                <w:color w:val="auto"/>
                <w:sz w:val="21"/>
                <w:szCs w:val="21"/>
                <w:highlight w:val="none"/>
              </w:rPr>
            </w:pPr>
          </w:p>
        </w:tc>
        <w:tc>
          <w:tcPr>
            <w:tcW w:w="1278" w:type="dxa"/>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4</w:t>
            </w:r>
            <w:r>
              <w:rPr>
                <w:rFonts w:ascii="Times New Roman" w:hAnsi="宋体"/>
                <w:color w:val="auto"/>
                <w:sz w:val="21"/>
                <w:szCs w:val="21"/>
                <w:highlight w:val="none"/>
              </w:rPr>
              <w:t>表位</w:t>
            </w:r>
          </w:p>
        </w:tc>
        <w:tc>
          <w:tcPr>
            <w:tcW w:w="2601" w:type="dxa"/>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160A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color w:val="auto"/>
                <w:sz w:val="21"/>
                <w:szCs w:val="21"/>
                <w:highlight w:val="none"/>
              </w:rPr>
            </w:pPr>
          </w:p>
        </w:tc>
        <w:tc>
          <w:tcPr>
            <w:tcW w:w="1278" w:type="dxa"/>
            <w:vMerge w:val="continue"/>
            <w:noWrap w:val="0"/>
            <w:vAlign w:val="center"/>
          </w:tcPr>
          <w:p>
            <w:pPr>
              <w:pStyle w:val="156"/>
              <w:jc w:val="both"/>
              <w:rPr>
                <w:rFonts w:ascii="Times New Roman"/>
                <w:color w:val="auto"/>
                <w:sz w:val="21"/>
                <w:szCs w:val="21"/>
                <w:highlight w:val="none"/>
              </w:rPr>
            </w:pPr>
          </w:p>
        </w:tc>
        <w:tc>
          <w:tcPr>
            <w:tcW w:w="1278" w:type="dxa"/>
            <w:noWrap w:val="0"/>
            <w:vAlign w:val="center"/>
          </w:tcPr>
          <w:p>
            <w:pPr>
              <w:pStyle w:val="156"/>
              <w:jc w:val="both"/>
              <w:rPr>
                <w:rFonts w:ascii="Times New Roman"/>
                <w:color w:val="auto"/>
                <w:sz w:val="21"/>
                <w:szCs w:val="21"/>
                <w:highlight w:val="none"/>
              </w:rPr>
            </w:pPr>
            <w:r>
              <w:rPr>
                <w:rFonts w:hint="eastAsia" w:ascii="Times New Roman"/>
                <w:color w:val="auto"/>
                <w:sz w:val="21"/>
                <w:szCs w:val="21"/>
                <w:highlight w:val="none"/>
              </w:rPr>
              <w:t>6表位</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160A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color w:val="auto"/>
                <w:sz w:val="21"/>
                <w:szCs w:val="21"/>
                <w:highlight w:val="none"/>
              </w:rPr>
            </w:pPr>
          </w:p>
        </w:tc>
        <w:tc>
          <w:tcPr>
            <w:tcW w:w="1278" w:type="dxa"/>
            <w:vMerge w:val="continue"/>
            <w:noWrap w:val="0"/>
            <w:vAlign w:val="center"/>
          </w:tcPr>
          <w:p>
            <w:pPr>
              <w:pStyle w:val="156"/>
              <w:jc w:val="both"/>
              <w:rPr>
                <w:rFonts w:ascii="Times New Roman"/>
                <w:color w:val="auto"/>
                <w:sz w:val="21"/>
                <w:szCs w:val="21"/>
                <w:highlight w:val="none"/>
              </w:rPr>
            </w:pPr>
          </w:p>
        </w:tc>
        <w:tc>
          <w:tcPr>
            <w:tcW w:w="1278" w:type="dxa"/>
            <w:noWrap w:val="0"/>
            <w:vAlign w:val="center"/>
          </w:tcPr>
          <w:p>
            <w:pPr>
              <w:pStyle w:val="156"/>
              <w:jc w:val="both"/>
              <w:rPr>
                <w:rFonts w:ascii="Times New Roman"/>
                <w:color w:val="auto"/>
                <w:sz w:val="21"/>
                <w:szCs w:val="21"/>
                <w:highlight w:val="none"/>
              </w:rPr>
            </w:pPr>
            <w:r>
              <w:rPr>
                <w:rFonts w:hint="eastAsia" w:ascii="Times New Roman"/>
                <w:color w:val="auto"/>
                <w:sz w:val="21"/>
                <w:szCs w:val="21"/>
                <w:highlight w:val="none"/>
              </w:rPr>
              <w:t>12表位</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250A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型式、主要参数要求</w:t>
            </w:r>
          </w:p>
        </w:tc>
        <w:tc>
          <w:tcPr>
            <w:tcW w:w="1278"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单表位</w:t>
            </w:r>
          </w:p>
        </w:tc>
        <w:tc>
          <w:tcPr>
            <w:tcW w:w="1278"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隔离开关</w:t>
            </w:r>
          </w:p>
        </w:tc>
        <w:tc>
          <w:tcPr>
            <w:tcW w:w="2601" w:type="dxa"/>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2P</w:t>
            </w:r>
            <w:r>
              <w:rPr>
                <w:rFonts w:ascii="Times New Roman" w:hAnsi="宋体"/>
                <w:color w:val="auto"/>
                <w:sz w:val="21"/>
                <w:szCs w:val="21"/>
                <w:highlight w:val="none"/>
              </w:rPr>
              <w:t>，</w:t>
            </w:r>
            <w:r>
              <w:rPr>
                <w:rFonts w:ascii="Times New Roman"/>
                <w:color w:val="auto"/>
                <w:sz w:val="21"/>
                <w:szCs w:val="21"/>
                <w:highlight w:val="none"/>
              </w:rPr>
              <w:t>AC-21B</w:t>
            </w:r>
            <w:r>
              <w:rPr>
                <w:rFonts w:ascii="Times New Roman" w:hAnsi="宋体"/>
                <w:color w:val="auto"/>
                <w:sz w:val="21"/>
                <w:szCs w:val="21"/>
                <w:highlight w:val="none"/>
              </w:rPr>
              <w:t>；</w:t>
            </w:r>
            <w:r>
              <w:rPr>
                <w:rFonts w:ascii="Times New Roman"/>
                <w:color w:val="auto"/>
                <w:sz w:val="21"/>
                <w:szCs w:val="21"/>
                <w:highlight w:val="none"/>
              </w:rPr>
              <w:t>12Ie</w:t>
            </w:r>
            <w:r>
              <w:rPr>
                <w:rFonts w:ascii="Times New Roman" w:hAnsi="宋体"/>
                <w:color w:val="auto"/>
                <w:sz w:val="21"/>
                <w:szCs w:val="21"/>
                <w:highlight w:val="none"/>
              </w:rPr>
              <w:t>通电时间</w:t>
            </w:r>
            <w:r>
              <w:rPr>
                <w:rFonts w:ascii="Times New Roman"/>
                <w:color w:val="auto"/>
                <w:sz w:val="21"/>
                <w:szCs w:val="21"/>
                <w:highlight w:val="none"/>
              </w:rPr>
              <w:t>1s</w:t>
            </w:r>
            <w:r>
              <w:rPr>
                <w:rFonts w:ascii="Times New Roman" w:hAnsi="宋体"/>
                <w:color w:val="auto"/>
                <w:sz w:val="21"/>
                <w:szCs w:val="21"/>
                <w:highlight w:val="none"/>
              </w:rPr>
              <w:t>；</w:t>
            </w:r>
            <w:r>
              <w:rPr>
                <w:rFonts w:ascii="Times New Roman"/>
                <w:color w:val="auto"/>
                <w:sz w:val="21"/>
                <w:szCs w:val="21"/>
                <w:highlight w:val="none"/>
              </w:rPr>
              <w:t>20Ie</w:t>
            </w:r>
            <w:r>
              <w:rPr>
                <w:rFonts w:ascii="Times New Roman" w:hAnsi="宋体"/>
                <w:color w:val="auto"/>
                <w:sz w:val="21"/>
                <w:szCs w:val="21"/>
                <w:highlight w:val="none"/>
              </w:rPr>
              <w:t>通电时间</w:t>
            </w:r>
            <w:r>
              <w:rPr>
                <w:rFonts w:ascii="Times New Roman"/>
                <w:color w:val="auto"/>
                <w:sz w:val="21"/>
                <w:szCs w:val="21"/>
                <w:highlight w:val="none"/>
              </w:rPr>
              <w:t>0.1s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hAnsi="宋体"/>
                <w:color w:val="auto"/>
                <w:sz w:val="21"/>
                <w:szCs w:val="21"/>
                <w:highlight w:val="none"/>
              </w:rPr>
            </w:pPr>
          </w:p>
        </w:tc>
        <w:tc>
          <w:tcPr>
            <w:tcW w:w="1278" w:type="dxa"/>
            <w:noWrap w:val="0"/>
            <w:vAlign w:val="center"/>
          </w:tcPr>
          <w:p>
            <w:pPr>
              <w:pStyle w:val="156"/>
              <w:jc w:val="both"/>
              <w:rPr>
                <w:rFonts w:ascii="Times New Roman" w:hAnsi="宋体"/>
                <w:color w:val="auto"/>
                <w:sz w:val="21"/>
                <w:szCs w:val="21"/>
                <w:highlight w:val="none"/>
              </w:rPr>
            </w:pPr>
            <w:r>
              <w:rPr>
                <w:rFonts w:hint="eastAsia" w:ascii="Times New Roman" w:hAnsi="宋体"/>
                <w:color w:val="auto"/>
                <w:sz w:val="21"/>
                <w:szCs w:val="21"/>
                <w:highlight w:val="none"/>
              </w:rPr>
              <w:t>2排2表</w:t>
            </w:r>
            <w:r>
              <w:rPr>
                <w:rFonts w:ascii="Times New Roman" w:hAnsi="宋体"/>
                <w:color w:val="auto"/>
                <w:sz w:val="21"/>
                <w:szCs w:val="21"/>
                <w:highlight w:val="none"/>
              </w:rPr>
              <w:t>位</w:t>
            </w:r>
          </w:p>
        </w:tc>
        <w:tc>
          <w:tcPr>
            <w:tcW w:w="1278" w:type="dxa"/>
            <w:noWrap w:val="0"/>
            <w:vAlign w:val="center"/>
          </w:tcPr>
          <w:p>
            <w:pPr>
              <w:pStyle w:val="156"/>
              <w:jc w:val="both"/>
              <w:rPr>
                <w:rFonts w:ascii="Times New Roman" w:hAnsi="宋体"/>
                <w:color w:val="auto"/>
                <w:sz w:val="21"/>
                <w:szCs w:val="21"/>
                <w:highlight w:val="none"/>
              </w:rPr>
            </w:pPr>
            <w:r>
              <w:rPr>
                <w:rFonts w:ascii="Times New Roman" w:hAnsi="宋体"/>
                <w:color w:val="auto"/>
                <w:sz w:val="21"/>
                <w:szCs w:val="21"/>
                <w:highlight w:val="none"/>
              </w:rPr>
              <w:t>塑壳断路器</w:t>
            </w:r>
          </w:p>
        </w:tc>
        <w:tc>
          <w:tcPr>
            <w:tcW w:w="2601" w:type="dxa"/>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配电型，</w:t>
            </w:r>
            <w:r>
              <w:rPr>
                <w:rFonts w:ascii="Times New Roman"/>
                <w:color w:val="auto"/>
                <w:sz w:val="21"/>
                <w:szCs w:val="21"/>
                <w:highlight w:val="none"/>
              </w:rPr>
              <w:t>2P</w:t>
            </w:r>
            <w:r>
              <w:rPr>
                <w:rFonts w:ascii="Times New Roman" w:hAnsi="宋体"/>
                <w:color w:val="auto"/>
                <w:sz w:val="21"/>
                <w:szCs w:val="21"/>
                <w:highlight w:val="none"/>
              </w:rPr>
              <w:t>，</w:t>
            </w:r>
            <w:r>
              <w:rPr>
                <w:rFonts w:ascii="Times New Roman"/>
                <w:color w:val="auto"/>
                <w:sz w:val="21"/>
                <w:szCs w:val="21"/>
                <w:highlight w:val="none"/>
              </w:rPr>
              <w:t>25kA</w:t>
            </w:r>
            <w:r>
              <w:rPr>
                <w:rFonts w:hint="eastAsia" w:ascii="Times New Roman"/>
                <w:color w:val="auto"/>
                <w:sz w:val="21"/>
                <w:szCs w:val="21"/>
                <w:highlight w:val="none"/>
              </w:rPr>
              <w:t>（</w:t>
            </w:r>
            <w:r>
              <w:rPr>
                <w:rFonts w:ascii="Times New Roman"/>
                <w:color w:val="auto"/>
                <w:sz w:val="21"/>
                <w:szCs w:val="21"/>
                <w:highlight w:val="none"/>
              </w:rPr>
              <w:t>额定</w:t>
            </w:r>
            <w:r>
              <w:rPr>
                <w:rFonts w:hint="eastAsia" w:ascii="Times New Roman"/>
                <w:color w:val="auto"/>
                <w:sz w:val="21"/>
                <w:szCs w:val="21"/>
                <w:highlight w:val="none"/>
              </w:rPr>
              <w:t>分断）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color w:val="auto"/>
                <w:sz w:val="21"/>
                <w:szCs w:val="21"/>
                <w:highlight w:val="none"/>
              </w:rPr>
            </w:pPr>
          </w:p>
        </w:tc>
        <w:tc>
          <w:tcPr>
            <w:tcW w:w="1278" w:type="dxa"/>
            <w:noWrap w:val="0"/>
            <w:vAlign w:val="center"/>
          </w:tcPr>
          <w:p>
            <w:pPr>
              <w:pStyle w:val="156"/>
              <w:jc w:val="both"/>
              <w:rPr>
                <w:rFonts w:ascii="Times New Roman"/>
                <w:color w:val="auto"/>
                <w:sz w:val="21"/>
                <w:szCs w:val="21"/>
                <w:highlight w:val="none"/>
              </w:rPr>
            </w:pPr>
            <w:r>
              <w:rPr>
                <w:rFonts w:hint="eastAsia" w:ascii="Times New Roman"/>
                <w:color w:val="auto"/>
                <w:sz w:val="21"/>
                <w:szCs w:val="21"/>
                <w:highlight w:val="none"/>
              </w:rPr>
              <w:t>2排—3排多</w:t>
            </w:r>
            <w:r>
              <w:rPr>
                <w:rFonts w:ascii="Times New Roman" w:hAnsi="宋体"/>
                <w:color w:val="auto"/>
                <w:sz w:val="21"/>
                <w:szCs w:val="21"/>
                <w:highlight w:val="none"/>
              </w:rPr>
              <w:t>表位</w:t>
            </w:r>
          </w:p>
        </w:tc>
        <w:tc>
          <w:tcPr>
            <w:tcW w:w="1278"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塑壳断路器</w:t>
            </w:r>
          </w:p>
        </w:tc>
        <w:tc>
          <w:tcPr>
            <w:tcW w:w="2601" w:type="dxa"/>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配电型，</w:t>
            </w:r>
            <w:r>
              <w:rPr>
                <w:rFonts w:ascii="Times New Roman"/>
                <w:color w:val="auto"/>
                <w:sz w:val="21"/>
                <w:szCs w:val="21"/>
                <w:highlight w:val="none"/>
              </w:rPr>
              <w:t>3P</w:t>
            </w:r>
            <w:r>
              <w:rPr>
                <w:rFonts w:ascii="Times New Roman" w:hAnsi="宋体"/>
                <w:color w:val="auto"/>
                <w:sz w:val="21"/>
                <w:szCs w:val="21"/>
                <w:highlight w:val="none"/>
              </w:rPr>
              <w:t>，</w:t>
            </w:r>
            <w:r>
              <w:rPr>
                <w:rFonts w:ascii="Times New Roman"/>
                <w:color w:val="auto"/>
                <w:sz w:val="21"/>
                <w:szCs w:val="21"/>
                <w:highlight w:val="none"/>
              </w:rPr>
              <w:t>25kA</w:t>
            </w:r>
            <w:r>
              <w:rPr>
                <w:rFonts w:hint="eastAsia" w:ascii="Times New Roman"/>
                <w:color w:val="auto"/>
                <w:sz w:val="21"/>
                <w:szCs w:val="21"/>
                <w:highlight w:val="none"/>
              </w:rPr>
              <w:t>（</w:t>
            </w:r>
            <w:r>
              <w:rPr>
                <w:rFonts w:ascii="Times New Roman"/>
                <w:color w:val="auto"/>
                <w:sz w:val="21"/>
                <w:szCs w:val="21"/>
                <w:highlight w:val="none"/>
              </w:rPr>
              <w:t>额定</w:t>
            </w:r>
            <w:r>
              <w:rPr>
                <w:rFonts w:hint="eastAsia" w:ascii="Times New Roman"/>
                <w:color w:val="auto"/>
                <w:sz w:val="21"/>
                <w:szCs w:val="21"/>
                <w:highlight w:val="none"/>
              </w:rPr>
              <w:t>分断</w:t>
            </w:r>
            <w:r>
              <w:rPr>
                <w:rFonts w:ascii="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分线端子排（盒）</w:t>
            </w:r>
          </w:p>
        </w:tc>
        <w:tc>
          <w:tcPr>
            <w:tcW w:w="1415"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额定电流</w:t>
            </w:r>
          </w:p>
        </w:tc>
        <w:tc>
          <w:tcPr>
            <w:tcW w:w="5157" w:type="dxa"/>
            <w:gridSpan w:val="3"/>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同进线（总）开关电流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型</w:t>
            </w:r>
            <w:r>
              <w:rPr>
                <w:rFonts w:ascii="Times New Roman"/>
                <w:color w:val="auto"/>
                <w:sz w:val="21"/>
                <w:szCs w:val="21"/>
                <w:highlight w:val="none"/>
              </w:rPr>
              <w:t xml:space="preserve"> </w:t>
            </w:r>
            <w:r>
              <w:rPr>
                <w:rFonts w:ascii="Times New Roman" w:hAnsi="宋体"/>
                <w:color w:val="auto"/>
                <w:sz w:val="21"/>
                <w:szCs w:val="21"/>
                <w:highlight w:val="none"/>
              </w:rPr>
              <w:t>式</w:t>
            </w:r>
          </w:p>
        </w:tc>
        <w:tc>
          <w:tcPr>
            <w:tcW w:w="5157" w:type="dxa"/>
            <w:gridSpan w:val="3"/>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开关紧配连接式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79" w:type="dxa"/>
            <w:gridSpan w:val="5"/>
            <w:noWrap w:val="0"/>
            <w:vAlign w:val="center"/>
          </w:tcPr>
          <w:p>
            <w:pPr>
              <w:pStyle w:val="156"/>
              <w:jc w:val="center"/>
              <w:rPr>
                <w:rFonts w:ascii="Times New Roman"/>
                <w:color w:val="auto"/>
                <w:sz w:val="21"/>
                <w:szCs w:val="21"/>
                <w:highlight w:val="none"/>
              </w:rPr>
            </w:pPr>
            <w:r>
              <w:rPr>
                <w:rFonts w:hint="eastAsia" w:ascii="Times New Roman" w:hAnsi="宋体"/>
                <w:b/>
                <w:color w:val="auto"/>
                <w:sz w:val="21"/>
                <w:szCs w:val="21"/>
                <w:highlight w:val="none"/>
              </w:rPr>
              <w:t>二</w:t>
            </w:r>
            <w:r>
              <w:rPr>
                <w:rFonts w:ascii="Times New Roman" w:hAnsi="宋体"/>
                <w:b/>
                <w:color w:val="auto"/>
                <w:sz w:val="21"/>
                <w:szCs w:val="21"/>
                <w:highlight w:val="none"/>
              </w:rPr>
              <w:t>、</w:t>
            </w:r>
            <w:r>
              <w:rPr>
                <w:rFonts w:hint="eastAsia" w:ascii="Times New Roman" w:hAnsi="宋体"/>
                <w:b/>
                <w:color w:val="auto"/>
                <w:sz w:val="21"/>
                <w:szCs w:val="21"/>
                <w:highlight w:val="none"/>
              </w:rPr>
              <w:t>直接接入式三</w:t>
            </w:r>
            <w:r>
              <w:rPr>
                <w:rFonts w:ascii="Times New Roman" w:hAnsi="宋体"/>
                <w:b/>
                <w:color w:val="auto"/>
                <w:sz w:val="21"/>
                <w:szCs w:val="21"/>
                <w:highlight w:val="none"/>
              </w:rPr>
              <w:t>相（电能表）计量</w:t>
            </w:r>
            <w:r>
              <w:rPr>
                <w:rFonts w:hint="eastAsia" w:ascii="Times New Roman" w:hAnsi="宋体"/>
                <w:b/>
                <w:color w:val="auto"/>
                <w:sz w:val="21"/>
                <w:szCs w:val="21"/>
                <w:highlight w:val="none"/>
              </w:rPr>
              <w:t>表</w:t>
            </w:r>
            <w:r>
              <w:rPr>
                <w:rFonts w:ascii="Times New Roman" w:hAnsi="宋体"/>
                <w:b/>
                <w:color w:val="auto"/>
                <w:sz w:val="21"/>
                <w:szCs w:val="21"/>
                <w:highlight w:val="none"/>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规格</w:t>
            </w:r>
          </w:p>
        </w:tc>
        <w:tc>
          <w:tcPr>
            <w:tcW w:w="2601" w:type="dxa"/>
            <w:noWrap w:val="0"/>
            <w:vAlign w:val="center"/>
          </w:tcPr>
          <w:p>
            <w:pPr>
              <w:pStyle w:val="156"/>
              <w:jc w:val="center"/>
              <w:rPr>
                <w:rFonts w:ascii="Times New Roman"/>
                <w:color w:val="auto"/>
                <w:sz w:val="21"/>
                <w:szCs w:val="21"/>
                <w:highlight w:val="none"/>
              </w:rPr>
            </w:pPr>
            <w:bookmarkStart w:id="123" w:name="OLE_LINK98"/>
            <w:bookmarkStart w:id="124" w:name="OLE_LINK97"/>
            <w:r>
              <w:rPr>
                <w:rFonts w:hint="eastAsia" w:ascii="Times New Roman"/>
                <w:color w:val="auto"/>
                <w:sz w:val="21"/>
                <w:szCs w:val="21"/>
                <w:highlight w:val="none"/>
              </w:rPr>
              <w:t>80A</w:t>
            </w:r>
            <w:bookmarkEnd w:id="123"/>
            <w:bookmarkEnd w:id="1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布线导线</w:t>
            </w:r>
            <w:r>
              <w:rPr>
                <w:rFonts w:hint="eastAsia" w:ascii="Times New Roman" w:hAnsi="宋体"/>
                <w:color w:val="auto"/>
                <w:sz w:val="21"/>
                <w:szCs w:val="21"/>
                <w:highlight w:val="none"/>
              </w:rPr>
              <w:t>（BV）</w:t>
            </w:r>
            <w:r>
              <w:rPr>
                <w:rFonts w:ascii="Times New Roman" w:hAnsi="宋体"/>
                <w:color w:val="auto"/>
                <w:sz w:val="21"/>
                <w:szCs w:val="21"/>
                <w:highlight w:val="none"/>
              </w:rPr>
              <w:t>截面积</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25</w:t>
            </w:r>
            <w:r>
              <w:rPr>
                <w:rFonts w:ascii="Times New Roman"/>
                <w:color w:val="auto"/>
                <w:sz w:val="21"/>
                <w:szCs w:val="21"/>
                <w:highlight w:val="none"/>
              </w:rPr>
              <w:t>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PE</w:t>
            </w:r>
            <w:r>
              <w:rPr>
                <w:rFonts w:ascii="Times New Roman" w:hAnsi="宋体"/>
                <w:color w:val="auto"/>
                <w:sz w:val="21"/>
                <w:szCs w:val="21"/>
                <w:highlight w:val="none"/>
              </w:rPr>
              <w:t>线</w:t>
            </w:r>
            <w:r>
              <w:rPr>
                <w:rFonts w:hint="eastAsia" w:ascii="Times New Roman" w:hAnsi="宋体"/>
                <w:color w:val="auto"/>
                <w:sz w:val="21"/>
                <w:szCs w:val="21"/>
                <w:highlight w:val="none"/>
              </w:rPr>
              <w:t>（BV）</w:t>
            </w:r>
            <w:r>
              <w:rPr>
                <w:rFonts w:ascii="Times New Roman" w:hAnsi="宋体"/>
                <w:color w:val="auto"/>
                <w:sz w:val="21"/>
                <w:szCs w:val="21"/>
                <w:highlight w:val="none"/>
              </w:rPr>
              <w:t>截面积</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25</w:t>
            </w:r>
            <w:r>
              <w:rPr>
                <w:rFonts w:ascii="Times New Roman"/>
                <w:color w:val="auto"/>
                <w:sz w:val="21"/>
                <w:szCs w:val="21"/>
                <w:highlight w:val="none"/>
              </w:rPr>
              <w:t>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RS485</w:t>
            </w:r>
            <w:r>
              <w:rPr>
                <w:rFonts w:ascii="Times New Roman" w:hAnsi="宋体"/>
                <w:color w:val="auto"/>
                <w:sz w:val="21"/>
                <w:szCs w:val="21"/>
                <w:highlight w:val="none"/>
              </w:rPr>
              <w:t>导线</w:t>
            </w:r>
            <w:r>
              <w:rPr>
                <w:rFonts w:ascii="Times New Roman"/>
                <w:color w:val="auto"/>
                <w:sz w:val="21"/>
                <w:szCs w:val="21"/>
                <w:highlight w:val="none"/>
              </w:rPr>
              <w:t>/</w:t>
            </w:r>
            <w:r>
              <w:rPr>
                <w:rFonts w:ascii="Times New Roman" w:hAnsi="宋体"/>
                <w:color w:val="auto"/>
                <w:sz w:val="21"/>
                <w:szCs w:val="21"/>
                <w:highlight w:val="none"/>
              </w:rPr>
              <w:t>控制线截面积</w:t>
            </w:r>
          </w:p>
        </w:tc>
        <w:tc>
          <w:tcPr>
            <w:tcW w:w="2601" w:type="dxa"/>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2×0.4mm</w:t>
            </w:r>
            <w:r>
              <w:rPr>
                <w:rFonts w:ascii="Times New Roman"/>
                <w:color w:val="auto"/>
                <w:sz w:val="21"/>
                <w:szCs w:val="21"/>
                <w:highlight w:val="none"/>
                <w:vertAlign w:val="superscript"/>
              </w:rPr>
              <w:t>2</w:t>
            </w:r>
            <w:r>
              <w:rPr>
                <w:rFonts w:ascii="Times New Roman"/>
                <w:color w:val="auto"/>
                <w:sz w:val="21"/>
                <w:szCs w:val="21"/>
                <w:highlight w:val="none"/>
              </w:rPr>
              <w:t>/2×0.75mm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8" w:type="dxa"/>
            <w:gridSpan w:val="4"/>
            <w:noWrap w:val="0"/>
            <w:vAlign w:val="center"/>
          </w:tcPr>
          <w:p>
            <w:pPr>
              <w:pStyle w:val="156"/>
              <w:jc w:val="both"/>
              <w:rPr>
                <w:rFonts w:ascii="Times New Roman"/>
                <w:color w:val="auto"/>
                <w:sz w:val="21"/>
                <w:szCs w:val="21"/>
                <w:highlight w:val="none"/>
              </w:rPr>
            </w:pPr>
            <w:r>
              <w:rPr>
                <w:rFonts w:hint="eastAsia" w:ascii="Times New Roman" w:hAnsi="宋体"/>
                <w:color w:val="auto"/>
                <w:sz w:val="21"/>
                <w:szCs w:val="21"/>
                <w:highlight w:val="none"/>
              </w:rPr>
              <w:t>三</w:t>
            </w:r>
            <w:r>
              <w:rPr>
                <w:rFonts w:ascii="Times New Roman" w:hAnsi="宋体"/>
                <w:color w:val="auto"/>
                <w:sz w:val="21"/>
                <w:szCs w:val="21"/>
                <w:highlight w:val="none"/>
              </w:rPr>
              <w:t>相电能表规格</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3</w:t>
            </w:r>
            <w:r>
              <w:rPr>
                <w:rFonts w:ascii="Times New Roman"/>
                <w:color w:val="auto"/>
                <w:sz w:val="21"/>
                <w:szCs w:val="21"/>
                <w:highlight w:val="none"/>
              </w:rPr>
              <w:t>×5</w:t>
            </w:r>
            <w:r>
              <w:rPr>
                <w:rFonts w:ascii="Times New Roman" w:hAnsi="宋体"/>
                <w:color w:val="auto"/>
                <w:sz w:val="21"/>
                <w:szCs w:val="21"/>
                <w:highlight w:val="none"/>
              </w:rPr>
              <w:t>（</w:t>
            </w:r>
            <w:r>
              <w:rPr>
                <w:rFonts w:ascii="Times New Roman"/>
                <w:color w:val="auto"/>
                <w:sz w:val="21"/>
                <w:szCs w:val="21"/>
                <w:highlight w:val="none"/>
              </w:rPr>
              <w:t>80</w:t>
            </w:r>
            <w:r>
              <w:rPr>
                <w:rFonts w:ascii="Times New Roman" w:hAnsi="宋体"/>
                <w:color w:val="auto"/>
                <w:sz w:val="21"/>
                <w:szCs w:val="21"/>
                <w:highlight w:val="none"/>
              </w:rPr>
              <w:t>）</w:t>
            </w:r>
            <w:r>
              <w:rPr>
                <w:rFonts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出线</w:t>
            </w:r>
            <w:r>
              <w:rPr>
                <w:rFonts w:hint="eastAsia" w:ascii="Times New Roman" w:hAnsi="宋体"/>
                <w:color w:val="auto"/>
                <w:sz w:val="21"/>
                <w:szCs w:val="21"/>
                <w:highlight w:val="none"/>
              </w:rPr>
              <w:t>费</w:t>
            </w:r>
            <w:r>
              <w:rPr>
                <w:rFonts w:ascii="Times New Roman" w:hAnsi="宋体"/>
                <w:color w:val="auto"/>
                <w:sz w:val="21"/>
                <w:szCs w:val="21"/>
                <w:highlight w:val="none"/>
              </w:rPr>
              <w:t>控断路器</w:t>
            </w:r>
          </w:p>
        </w:tc>
        <w:tc>
          <w:tcPr>
            <w:tcW w:w="3971" w:type="dxa"/>
            <w:gridSpan w:val="3"/>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额定电流</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100</w:t>
            </w:r>
            <w:r>
              <w:rPr>
                <w:rFonts w:hint="eastAsia"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3971" w:type="dxa"/>
            <w:gridSpan w:val="3"/>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型式、主要参数要求</w:t>
            </w:r>
          </w:p>
        </w:tc>
        <w:tc>
          <w:tcPr>
            <w:tcW w:w="2601" w:type="dxa"/>
            <w:noWrap w:val="0"/>
            <w:vAlign w:val="center"/>
          </w:tcPr>
          <w:p>
            <w:pPr>
              <w:pStyle w:val="156"/>
              <w:jc w:val="both"/>
              <w:rPr>
                <w:rFonts w:ascii="Times New Roman"/>
                <w:color w:val="auto"/>
                <w:sz w:val="21"/>
                <w:szCs w:val="21"/>
                <w:highlight w:val="none"/>
              </w:rPr>
            </w:pPr>
            <w:bookmarkStart w:id="125" w:name="OLE_LINK105"/>
            <w:bookmarkStart w:id="126" w:name="OLE_LINK103"/>
            <w:bookmarkStart w:id="127" w:name="OLE_LINK104"/>
            <w:r>
              <w:rPr>
                <w:rFonts w:hint="eastAsia" w:ascii="Times New Roman"/>
                <w:color w:val="auto"/>
                <w:sz w:val="21"/>
                <w:szCs w:val="21"/>
                <w:highlight w:val="none"/>
              </w:rPr>
              <w:t>费控断路器</w:t>
            </w:r>
            <w:r>
              <w:rPr>
                <w:rFonts w:ascii="Times New Roman"/>
                <w:color w:val="auto"/>
                <w:sz w:val="21"/>
                <w:szCs w:val="21"/>
                <w:highlight w:val="none"/>
              </w:rPr>
              <w:t>C</w:t>
            </w:r>
            <w:r>
              <w:rPr>
                <w:rFonts w:hint="eastAsia" w:ascii="Times New Roman"/>
                <w:color w:val="auto"/>
                <w:sz w:val="21"/>
                <w:szCs w:val="21"/>
                <w:highlight w:val="none"/>
              </w:rPr>
              <w:t>型，</w:t>
            </w:r>
            <w:r>
              <w:rPr>
                <w:rFonts w:ascii="Times New Roman"/>
                <w:color w:val="auto"/>
                <w:sz w:val="21"/>
                <w:szCs w:val="21"/>
                <w:highlight w:val="none"/>
              </w:rPr>
              <w:t>4P</w:t>
            </w:r>
            <w:r>
              <w:rPr>
                <w:rFonts w:hint="eastAsia" w:ascii="Times New Roman"/>
                <w:color w:val="auto"/>
                <w:sz w:val="21"/>
                <w:szCs w:val="21"/>
                <w:highlight w:val="none"/>
              </w:rPr>
              <w:t>，</w:t>
            </w:r>
            <w:r>
              <w:rPr>
                <w:rFonts w:ascii="Times New Roman"/>
                <w:color w:val="auto"/>
                <w:sz w:val="21"/>
                <w:szCs w:val="21"/>
                <w:highlight w:val="none"/>
              </w:rPr>
              <w:t>6kA</w:t>
            </w:r>
            <w:bookmarkStart w:id="128" w:name="OLE_LINK30"/>
            <w:bookmarkStart w:id="129" w:name="OLE_LINK29"/>
            <w:r>
              <w:rPr>
                <w:rFonts w:hint="eastAsia" w:ascii="Times New Roman"/>
                <w:color w:val="auto"/>
                <w:sz w:val="21"/>
                <w:szCs w:val="21"/>
                <w:highlight w:val="none"/>
              </w:rPr>
              <w:t>（额定分断</w:t>
            </w:r>
            <w:r>
              <w:rPr>
                <w:rFonts w:ascii="Times New Roman"/>
                <w:color w:val="auto"/>
                <w:sz w:val="21"/>
                <w:szCs w:val="21"/>
                <w:highlight w:val="none"/>
              </w:rPr>
              <w:t>）</w:t>
            </w:r>
            <w:bookmarkEnd w:id="125"/>
            <w:bookmarkEnd w:id="126"/>
            <w:bookmarkEnd w:id="127"/>
            <w:bookmarkEnd w:id="128"/>
            <w:bookmarkEnd w:id="1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进线</w:t>
            </w:r>
            <w:r>
              <w:rPr>
                <w:rFonts w:ascii="Times New Roman"/>
                <w:color w:val="auto"/>
                <w:sz w:val="21"/>
                <w:szCs w:val="21"/>
                <w:highlight w:val="none"/>
              </w:rPr>
              <w:t>(</w:t>
            </w:r>
            <w:r>
              <w:rPr>
                <w:rFonts w:ascii="Times New Roman" w:hAnsi="宋体"/>
                <w:color w:val="auto"/>
                <w:sz w:val="21"/>
                <w:szCs w:val="21"/>
                <w:highlight w:val="none"/>
              </w:rPr>
              <w:t>总</w:t>
            </w:r>
            <w:r>
              <w:rPr>
                <w:rFonts w:ascii="Times New Roman"/>
                <w:color w:val="auto"/>
                <w:sz w:val="21"/>
                <w:szCs w:val="21"/>
                <w:highlight w:val="none"/>
              </w:rPr>
              <w:t>)</w:t>
            </w:r>
            <w:r>
              <w:rPr>
                <w:rFonts w:ascii="Times New Roman" w:hAnsi="宋体"/>
                <w:color w:val="auto"/>
                <w:sz w:val="21"/>
                <w:szCs w:val="21"/>
                <w:highlight w:val="none"/>
              </w:rPr>
              <w:t>开关</w:t>
            </w:r>
          </w:p>
        </w:tc>
        <w:tc>
          <w:tcPr>
            <w:tcW w:w="1415"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额定电流</w:t>
            </w:r>
          </w:p>
        </w:tc>
        <w:tc>
          <w:tcPr>
            <w:tcW w:w="2556" w:type="dxa"/>
            <w:gridSpan w:val="2"/>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单表位</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100 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color w:val="auto"/>
                <w:sz w:val="21"/>
                <w:szCs w:val="21"/>
                <w:highlight w:val="none"/>
              </w:rPr>
            </w:pPr>
          </w:p>
        </w:tc>
        <w:tc>
          <w:tcPr>
            <w:tcW w:w="2556" w:type="dxa"/>
            <w:gridSpan w:val="2"/>
            <w:noWrap w:val="0"/>
            <w:vAlign w:val="center"/>
          </w:tcPr>
          <w:p>
            <w:pPr>
              <w:pStyle w:val="156"/>
              <w:jc w:val="both"/>
              <w:rPr>
                <w:rFonts w:ascii="Times New Roman"/>
                <w:color w:val="auto"/>
                <w:sz w:val="21"/>
                <w:szCs w:val="21"/>
                <w:highlight w:val="none"/>
              </w:rPr>
            </w:pPr>
            <w:r>
              <w:rPr>
                <w:rFonts w:hint="eastAsia" w:ascii="Times New Roman"/>
                <w:color w:val="auto"/>
                <w:sz w:val="21"/>
                <w:szCs w:val="21"/>
                <w:highlight w:val="none"/>
              </w:rPr>
              <w:t>2</w:t>
            </w:r>
            <w:r>
              <w:rPr>
                <w:rFonts w:ascii="Times New Roman" w:hAnsi="宋体"/>
                <w:color w:val="auto"/>
                <w:sz w:val="21"/>
                <w:szCs w:val="21"/>
                <w:highlight w:val="none"/>
              </w:rPr>
              <w:t>排</w:t>
            </w:r>
            <w:r>
              <w:rPr>
                <w:rFonts w:hint="eastAsia" w:ascii="Times New Roman"/>
                <w:color w:val="auto"/>
                <w:sz w:val="21"/>
                <w:szCs w:val="21"/>
                <w:highlight w:val="none"/>
              </w:rPr>
              <w:t>2</w:t>
            </w:r>
            <w:r>
              <w:rPr>
                <w:rFonts w:ascii="Times New Roman" w:hAnsi="宋体"/>
                <w:color w:val="auto"/>
                <w:sz w:val="21"/>
                <w:szCs w:val="21"/>
                <w:highlight w:val="none"/>
              </w:rPr>
              <w:t>表位</w:t>
            </w:r>
          </w:p>
        </w:tc>
        <w:tc>
          <w:tcPr>
            <w:tcW w:w="2601" w:type="dxa"/>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1</w:t>
            </w:r>
            <w:r>
              <w:rPr>
                <w:rFonts w:hint="eastAsia" w:ascii="Times New Roman"/>
                <w:color w:val="auto"/>
                <w:sz w:val="21"/>
                <w:szCs w:val="21"/>
                <w:highlight w:val="none"/>
              </w:rPr>
              <w:t>6</w:t>
            </w:r>
            <w:r>
              <w:rPr>
                <w:rFonts w:ascii="Times New Roman"/>
                <w:color w:val="auto"/>
                <w:sz w:val="21"/>
                <w:szCs w:val="21"/>
                <w:highlight w:val="none"/>
              </w:rPr>
              <w:t>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color w:val="auto"/>
                <w:sz w:val="21"/>
                <w:szCs w:val="21"/>
                <w:highlight w:val="none"/>
              </w:rPr>
            </w:pPr>
          </w:p>
        </w:tc>
        <w:tc>
          <w:tcPr>
            <w:tcW w:w="2556" w:type="dxa"/>
            <w:gridSpan w:val="2"/>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2</w:t>
            </w:r>
            <w:r>
              <w:rPr>
                <w:rFonts w:ascii="Times New Roman" w:hAnsi="宋体"/>
                <w:color w:val="auto"/>
                <w:sz w:val="21"/>
                <w:szCs w:val="21"/>
                <w:highlight w:val="none"/>
              </w:rPr>
              <w:t>排</w:t>
            </w:r>
            <w:r>
              <w:rPr>
                <w:rFonts w:hint="eastAsia" w:ascii="Times New Roman"/>
                <w:color w:val="auto"/>
                <w:sz w:val="21"/>
                <w:szCs w:val="21"/>
                <w:highlight w:val="none"/>
              </w:rPr>
              <w:t>4</w:t>
            </w:r>
            <w:r>
              <w:rPr>
                <w:rFonts w:ascii="Times New Roman" w:hAnsi="宋体"/>
                <w:color w:val="auto"/>
                <w:sz w:val="21"/>
                <w:szCs w:val="21"/>
                <w:highlight w:val="none"/>
              </w:rPr>
              <w:t>表位</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250A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型式、主要参数要求</w:t>
            </w:r>
          </w:p>
        </w:tc>
        <w:tc>
          <w:tcPr>
            <w:tcW w:w="1278"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单表位</w:t>
            </w:r>
          </w:p>
        </w:tc>
        <w:tc>
          <w:tcPr>
            <w:tcW w:w="1278"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隔离开关</w:t>
            </w:r>
          </w:p>
        </w:tc>
        <w:tc>
          <w:tcPr>
            <w:tcW w:w="2601" w:type="dxa"/>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3P</w:t>
            </w:r>
            <w:r>
              <w:rPr>
                <w:rFonts w:hint="eastAsia" w:ascii="Times New Roman"/>
                <w:color w:val="auto"/>
                <w:sz w:val="21"/>
                <w:szCs w:val="21"/>
                <w:highlight w:val="none"/>
              </w:rPr>
              <w:t>，</w:t>
            </w:r>
            <w:r>
              <w:rPr>
                <w:rFonts w:ascii="Times New Roman"/>
                <w:color w:val="auto"/>
                <w:sz w:val="21"/>
                <w:szCs w:val="21"/>
                <w:highlight w:val="none"/>
              </w:rPr>
              <w:t>AC-21B</w:t>
            </w:r>
            <w:r>
              <w:rPr>
                <w:rFonts w:hint="eastAsia" w:ascii="Times New Roman"/>
                <w:color w:val="auto"/>
                <w:sz w:val="21"/>
                <w:szCs w:val="21"/>
                <w:highlight w:val="none"/>
              </w:rPr>
              <w:t>；</w:t>
            </w:r>
            <w:r>
              <w:rPr>
                <w:rFonts w:ascii="Times New Roman"/>
                <w:color w:val="auto"/>
                <w:sz w:val="21"/>
                <w:szCs w:val="21"/>
                <w:highlight w:val="none"/>
              </w:rPr>
              <w:t>12Ie</w:t>
            </w:r>
            <w:r>
              <w:rPr>
                <w:rFonts w:hint="eastAsia" w:ascii="Times New Roman"/>
                <w:color w:val="auto"/>
                <w:sz w:val="21"/>
                <w:szCs w:val="21"/>
                <w:highlight w:val="none"/>
              </w:rPr>
              <w:t>通电时间</w:t>
            </w:r>
            <w:r>
              <w:rPr>
                <w:rFonts w:ascii="Times New Roman"/>
                <w:color w:val="auto"/>
                <w:sz w:val="21"/>
                <w:szCs w:val="21"/>
                <w:highlight w:val="none"/>
              </w:rPr>
              <w:t>1s</w:t>
            </w:r>
            <w:r>
              <w:rPr>
                <w:rFonts w:hint="eastAsia" w:ascii="Times New Roman"/>
                <w:color w:val="auto"/>
                <w:sz w:val="21"/>
                <w:szCs w:val="21"/>
                <w:highlight w:val="none"/>
              </w:rPr>
              <w:t>；</w:t>
            </w:r>
            <w:r>
              <w:rPr>
                <w:rFonts w:ascii="Times New Roman"/>
                <w:color w:val="auto"/>
                <w:sz w:val="21"/>
                <w:szCs w:val="21"/>
                <w:highlight w:val="none"/>
              </w:rPr>
              <w:t>20Ie</w:t>
            </w:r>
            <w:r>
              <w:rPr>
                <w:rFonts w:hint="eastAsia" w:ascii="Times New Roman"/>
                <w:color w:val="auto"/>
                <w:sz w:val="21"/>
                <w:szCs w:val="21"/>
                <w:highlight w:val="none"/>
              </w:rPr>
              <w:t>通电时间</w:t>
            </w:r>
            <w:r>
              <w:rPr>
                <w:rFonts w:ascii="Times New Roman"/>
                <w:color w:val="auto"/>
                <w:sz w:val="21"/>
                <w:szCs w:val="21"/>
                <w:highlight w:val="none"/>
              </w:rPr>
              <w:t>0.1s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hAnsi="宋体"/>
                <w:color w:val="auto"/>
                <w:sz w:val="21"/>
                <w:szCs w:val="21"/>
                <w:highlight w:val="none"/>
              </w:rPr>
            </w:pPr>
          </w:p>
        </w:tc>
        <w:tc>
          <w:tcPr>
            <w:tcW w:w="1278" w:type="dxa"/>
            <w:noWrap w:val="0"/>
            <w:vAlign w:val="center"/>
          </w:tcPr>
          <w:p>
            <w:pPr>
              <w:pStyle w:val="156"/>
              <w:jc w:val="both"/>
              <w:rPr>
                <w:rFonts w:ascii="Times New Roman" w:hAnsi="宋体"/>
                <w:color w:val="auto"/>
                <w:sz w:val="21"/>
                <w:szCs w:val="21"/>
                <w:highlight w:val="none"/>
              </w:rPr>
            </w:pPr>
            <w:r>
              <w:rPr>
                <w:rFonts w:hint="eastAsia" w:ascii="Times New Roman"/>
                <w:color w:val="auto"/>
                <w:sz w:val="21"/>
                <w:szCs w:val="21"/>
                <w:highlight w:val="none"/>
              </w:rPr>
              <w:t>2</w:t>
            </w:r>
            <w:r>
              <w:rPr>
                <w:rFonts w:ascii="Times New Roman" w:hAnsi="宋体"/>
                <w:color w:val="auto"/>
                <w:sz w:val="21"/>
                <w:szCs w:val="21"/>
                <w:highlight w:val="none"/>
              </w:rPr>
              <w:t>排</w:t>
            </w:r>
            <w:r>
              <w:rPr>
                <w:rFonts w:hint="eastAsia" w:ascii="Times New Roman"/>
                <w:color w:val="auto"/>
                <w:sz w:val="21"/>
                <w:szCs w:val="21"/>
                <w:highlight w:val="none"/>
              </w:rPr>
              <w:t>2</w:t>
            </w:r>
            <w:r>
              <w:rPr>
                <w:rFonts w:ascii="Times New Roman" w:hAnsi="宋体"/>
                <w:color w:val="auto"/>
                <w:sz w:val="21"/>
                <w:szCs w:val="21"/>
                <w:highlight w:val="none"/>
              </w:rPr>
              <w:t>表位</w:t>
            </w:r>
          </w:p>
        </w:tc>
        <w:tc>
          <w:tcPr>
            <w:tcW w:w="1278" w:type="dxa"/>
            <w:noWrap w:val="0"/>
            <w:vAlign w:val="center"/>
          </w:tcPr>
          <w:p>
            <w:pPr>
              <w:pStyle w:val="156"/>
              <w:jc w:val="both"/>
              <w:rPr>
                <w:rFonts w:ascii="Times New Roman" w:hAnsi="宋体"/>
                <w:color w:val="auto"/>
                <w:sz w:val="21"/>
                <w:szCs w:val="21"/>
                <w:highlight w:val="none"/>
              </w:rPr>
            </w:pPr>
            <w:r>
              <w:rPr>
                <w:rFonts w:ascii="Times New Roman" w:hAnsi="宋体"/>
                <w:color w:val="auto"/>
                <w:sz w:val="21"/>
                <w:szCs w:val="21"/>
                <w:highlight w:val="none"/>
              </w:rPr>
              <w:t>塑壳断路器</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hAnsi="宋体"/>
                <w:color w:val="auto"/>
                <w:sz w:val="21"/>
                <w:szCs w:val="21"/>
                <w:highlight w:val="none"/>
              </w:rPr>
              <w:t>配电型，</w:t>
            </w:r>
            <w:r>
              <w:rPr>
                <w:rFonts w:ascii="Times New Roman" w:hAnsi="宋体"/>
                <w:color w:val="auto"/>
                <w:sz w:val="21"/>
                <w:szCs w:val="21"/>
                <w:highlight w:val="none"/>
              </w:rPr>
              <w:t>3P</w:t>
            </w:r>
            <w:r>
              <w:rPr>
                <w:rFonts w:hint="eastAsia" w:ascii="Times New Roman" w:hAnsi="宋体"/>
                <w:color w:val="auto"/>
                <w:sz w:val="21"/>
                <w:szCs w:val="21"/>
                <w:highlight w:val="none"/>
              </w:rPr>
              <w:t>，</w:t>
            </w:r>
            <w:r>
              <w:rPr>
                <w:rFonts w:ascii="Times New Roman" w:hAnsi="宋体"/>
                <w:color w:val="auto"/>
                <w:sz w:val="21"/>
                <w:szCs w:val="21"/>
                <w:highlight w:val="none"/>
              </w:rPr>
              <w:t>25kA</w:t>
            </w:r>
            <w:r>
              <w:rPr>
                <w:rFonts w:hint="eastAsia" w:ascii="Times New Roman"/>
                <w:color w:val="auto"/>
                <w:sz w:val="21"/>
                <w:szCs w:val="21"/>
                <w:highlight w:val="none"/>
              </w:rPr>
              <w:t>（额定分断</w:t>
            </w:r>
            <w:r>
              <w:rPr>
                <w:rFonts w:ascii="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vMerge w:val="continue"/>
            <w:noWrap w:val="0"/>
            <w:vAlign w:val="center"/>
          </w:tcPr>
          <w:p>
            <w:pPr>
              <w:pStyle w:val="156"/>
              <w:jc w:val="both"/>
              <w:rPr>
                <w:rFonts w:ascii="Times New Roman"/>
                <w:color w:val="auto"/>
                <w:sz w:val="21"/>
                <w:szCs w:val="21"/>
                <w:highlight w:val="none"/>
              </w:rPr>
            </w:pPr>
          </w:p>
        </w:tc>
        <w:tc>
          <w:tcPr>
            <w:tcW w:w="1278" w:type="dxa"/>
            <w:noWrap w:val="0"/>
            <w:vAlign w:val="center"/>
          </w:tcPr>
          <w:p>
            <w:pPr>
              <w:pStyle w:val="156"/>
              <w:jc w:val="both"/>
              <w:rPr>
                <w:rFonts w:ascii="Times New Roman"/>
                <w:color w:val="auto"/>
                <w:sz w:val="21"/>
                <w:szCs w:val="21"/>
                <w:highlight w:val="none"/>
              </w:rPr>
            </w:pPr>
            <w:r>
              <w:rPr>
                <w:rFonts w:ascii="Times New Roman"/>
                <w:color w:val="auto"/>
                <w:sz w:val="21"/>
                <w:szCs w:val="21"/>
                <w:highlight w:val="none"/>
              </w:rPr>
              <w:t>2</w:t>
            </w:r>
            <w:r>
              <w:rPr>
                <w:rFonts w:ascii="Times New Roman" w:hAnsi="宋体"/>
                <w:color w:val="auto"/>
                <w:sz w:val="21"/>
                <w:szCs w:val="21"/>
                <w:highlight w:val="none"/>
              </w:rPr>
              <w:t>排</w:t>
            </w:r>
            <w:r>
              <w:rPr>
                <w:rFonts w:hint="eastAsia" w:ascii="Times New Roman" w:hAnsi="宋体"/>
                <w:color w:val="auto"/>
                <w:sz w:val="21"/>
                <w:szCs w:val="21"/>
                <w:highlight w:val="none"/>
                <w:lang w:val="en-US" w:eastAsia="zh-CN"/>
              </w:rPr>
              <w:t>4</w:t>
            </w:r>
            <w:r>
              <w:rPr>
                <w:rFonts w:ascii="Times New Roman" w:hAnsi="宋体"/>
                <w:color w:val="auto"/>
                <w:sz w:val="21"/>
                <w:szCs w:val="21"/>
                <w:highlight w:val="none"/>
              </w:rPr>
              <w:t>表位</w:t>
            </w:r>
          </w:p>
        </w:tc>
        <w:tc>
          <w:tcPr>
            <w:tcW w:w="1278"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塑壳断路器</w:t>
            </w:r>
          </w:p>
        </w:tc>
        <w:tc>
          <w:tcPr>
            <w:tcW w:w="2601" w:type="dxa"/>
            <w:noWrap w:val="0"/>
            <w:vAlign w:val="center"/>
          </w:tcPr>
          <w:p>
            <w:pPr>
              <w:pStyle w:val="156"/>
              <w:jc w:val="center"/>
              <w:rPr>
                <w:rFonts w:ascii="Times New Roman"/>
                <w:color w:val="auto"/>
                <w:sz w:val="21"/>
                <w:szCs w:val="21"/>
                <w:highlight w:val="none"/>
              </w:rPr>
            </w:pPr>
            <w:r>
              <w:rPr>
                <w:rFonts w:hint="eastAsia" w:ascii="Times New Roman" w:hAnsi="宋体"/>
                <w:color w:val="auto"/>
                <w:sz w:val="21"/>
                <w:szCs w:val="21"/>
                <w:highlight w:val="none"/>
              </w:rPr>
              <w:t>配电型，</w:t>
            </w:r>
            <w:r>
              <w:rPr>
                <w:rFonts w:ascii="Times New Roman" w:hAnsi="宋体"/>
                <w:color w:val="auto"/>
                <w:sz w:val="21"/>
                <w:szCs w:val="21"/>
                <w:highlight w:val="none"/>
              </w:rPr>
              <w:t>3P</w:t>
            </w:r>
            <w:r>
              <w:rPr>
                <w:rFonts w:hint="eastAsia" w:ascii="Times New Roman" w:hAnsi="宋体"/>
                <w:color w:val="auto"/>
                <w:sz w:val="21"/>
                <w:szCs w:val="21"/>
                <w:highlight w:val="none"/>
              </w:rPr>
              <w:t>，</w:t>
            </w:r>
            <w:r>
              <w:rPr>
                <w:rFonts w:ascii="Times New Roman" w:hAnsi="宋体"/>
                <w:color w:val="auto"/>
                <w:sz w:val="21"/>
                <w:szCs w:val="21"/>
                <w:highlight w:val="none"/>
              </w:rPr>
              <w:t>25kA</w:t>
            </w:r>
            <w:r>
              <w:rPr>
                <w:rFonts w:hint="eastAsia" w:ascii="Times New Roman"/>
                <w:color w:val="auto"/>
                <w:sz w:val="21"/>
                <w:szCs w:val="21"/>
                <w:highlight w:val="none"/>
              </w:rPr>
              <w:t>（额定分断</w:t>
            </w:r>
            <w:r>
              <w:rPr>
                <w:rFonts w:ascii="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分线端子排（盒）</w:t>
            </w:r>
          </w:p>
        </w:tc>
        <w:tc>
          <w:tcPr>
            <w:tcW w:w="1415"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额定电流</w:t>
            </w:r>
          </w:p>
        </w:tc>
        <w:tc>
          <w:tcPr>
            <w:tcW w:w="5157" w:type="dxa"/>
            <w:gridSpan w:val="3"/>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同进线（总）开关电流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color w:val="auto"/>
                <w:sz w:val="21"/>
                <w:szCs w:val="21"/>
                <w:highlight w:val="none"/>
              </w:rPr>
            </w:pPr>
          </w:p>
        </w:tc>
        <w:tc>
          <w:tcPr>
            <w:tcW w:w="1415" w:type="dxa"/>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型</w:t>
            </w:r>
            <w:r>
              <w:rPr>
                <w:rFonts w:ascii="Times New Roman"/>
                <w:color w:val="auto"/>
                <w:sz w:val="21"/>
                <w:szCs w:val="21"/>
                <w:highlight w:val="none"/>
              </w:rPr>
              <w:t xml:space="preserve"> </w:t>
            </w:r>
            <w:r>
              <w:rPr>
                <w:rFonts w:ascii="Times New Roman" w:hAnsi="宋体"/>
                <w:color w:val="auto"/>
                <w:sz w:val="21"/>
                <w:szCs w:val="21"/>
                <w:highlight w:val="none"/>
              </w:rPr>
              <w:t>式</w:t>
            </w:r>
          </w:p>
        </w:tc>
        <w:tc>
          <w:tcPr>
            <w:tcW w:w="5157" w:type="dxa"/>
            <w:gridSpan w:val="3"/>
            <w:noWrap w:val="0"/>
            <w:vAlign w:val="center"/>
          </w:tcPr>
          <w:p>
            <w:pPr>
              <w:pStyle w:val="156"/>
              <w:jc w:val="both"/>
              <w:rPr>
                <w:rFonts w:ascii="Times New Roman"/>
                <w:color w:val="auto"/>
                <w:sz w:val="21"/>
                <w:szCs w:val="21"/>
                <w:highlight w:val="none"/>
              </w:rPr>
            </w:pPr>
            <w:r>
              <w:rPr>
                <w:rFonts w:ascii="Times New Roman" w:hAnsi="宋体"/>
                <w:color w:val="auto"/>
                <w:sz w:val="21"/>
                <w:szCs w:val="21"/>
                <w:highlight w:val="none"/>
              </w:rPr>
              <w:t>开关紧配连接式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79" w:type="dxa"/>
            <w:gridSpan w:val="5"/>
            <w:noWrap w:val="0"/>
            <w:vAlign w:val="center"/>
          </w:tcPr>
          <w:p>
            <w:pPr>
              <w:pStyle w:val="156"/>
              <w:jc w:val="center"/>
              <w:rPr>
                <w:rFonts w:ascii="Times New Roman"/>
                <w:color w:val="auto"/>
                <w:sz w:val="21"/>
                <w:szCs w:val="21"/>
                <w:highlight w:val="none"/>
              </w:rPr>
            </w:pPr>
            <w:bookmarkStart w:id="130" w:name="OLE_LINK86"/>
            <w:bookmarkStart w:id="131" w:name="OLE_LINK87"/>
            <w:bookmarkStart w:id="132" w:name="OLE_LINK85"/>
            <w:r>
              <w:rPr>
                <w:rFonts w:hint="eastAsia" w:ascii="Times New Roman" w:hAnsi="宋体"/>
                <w:b/>
                <w:color w:val="auto"/>
                <w:sz w:val="21"/>
                <w:szCs w:val="21"/>
                <w:highlight w:val="none"/>
              </w:rPr>
              <w:t>三</w:t>
            </w:r>
            <w:r>
              <w:rPr>
                <w:rFonts w:ascii="Times New Roman" w:hAnsi="宋体"/>
                <w:b/>
                <w:color w:val="auto"/>
                <w:sz w:val="21"/>
                <w:szCs w:val="21"/>
                <w:highlight w:val="none"/>
              </w:rPr>
              <w:t>、</w:t>
            </w:r>
            <w:r>
              <w:rPr>
                <w:rFonts w:hint="eastAsia" w:ascii="Times New Roman" w:hAnsi="宋体"/>
                <w:b/>
                <w:color w:val="auto"/>
                <w:sz w:val="21"/>
                <w:szCs w:val="21"/>
                <w:highlight w:val="none"/>
              </w:rPr>
              <w:t>经互感器接入式三</w:t>
            </w:r>
            <w:r>
              <w:rPr>
                <w:rFonts w:ascii="Times New Roman" w:hAnsi="宋体"/>
                <w:b/>
                <w:color w:val="auto"/>
                <w:sz w:val="21"/>
                <w:szCs w:val="21"/>
                <w:highlight w:val="none"/>
              </w:rPr>
              <w:t>相（电能表）计量</w:t>
            </w:r>
            <w:r>
              <w:rPr>
                <w:rFonts w:hint="eastAsia" w:ascii="Times New Roman" w:hAnsi="宋体"/>
                <w:b/>
                <w:color w:val="auto"/>
                <w:sz w:val="21"/>
                <w:szCs w:val="21"/>
                <w:highlight w:val="none"/>
              </w:rPr>
              <w:t>表</w:t>
            </w:r>
            <w:r>
              <w:rPr>
                <w:rFonts w:ascii="Times New Roman" w:hAnsi="宋体"/>
                <w:b/>
                <w:color w:val="auto"/>
                <w:sz w:val="21"/>
                <w:szCs w:val="21"/>
                <w:highlight w:val="none"/>
              </w:rPr>
              <w:t>箱</w:t>
            </w:r>
            <w:r>
              <w:rPr>
                <w:rFonts w:hint="eastAsia" w:ascii="Times New Roman" w:hAnsi="宋体"/>
                <w:b/>
                <w:color w:val="auto"/>
                <w:sz w:val="21"/>
                <w:szCs w:val="21"/>
                <w:highlight w:val="none"/>
              </w:rPr>
              <w:t>（</w:t>
            </w:r>
            <w:r>
              <w:rPr>
                <w:rFonts w:ascii="Times New Roman" w:hAnsi="宋体"/>
                <w:b/>
                <w:color w:val="auto"/>
                <w:sz w:val="21"/>
                <w:szCs w:val="21"/>
                <w:highlight w:val="none"/>
              </w:rPr>
              <w:t>1</w:t>
            </w:r>
            <w:r>
              <w:rPr>
                <w:rFonts w:hint="eastAsia" w:ascii="Times New Roman" w:hAnsi="宋体"/>
                <w:b/>
                <w:color w:val="auto"/>
                <w:sz w:val="21"/>
                <w:szCs w:val="21"/>
                <w:highlight w:val="none"/>
              </w:rPr>
              <w:t>表位）</w:t>
            </w:r>
            <w:bookmarkEnd w:id="130"/>
            <w:bookmarkEnd w:id="131"/>
            <w:bookmarkEnd w:id="1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bookmarkStart w:id="133" w:name="OLE_LINK88"/>
            <w:bookmarkStart w:id="134" w:name="OLE_LINK89"/>
            <w:r>
              <w:rPr>
                <w:rFonts w:ascii="Times New Roman" w:hAnsi="宋体"/>
                <w:color w:val="auto"/>
                <w:sz w:val="21"/>
                <w:szCs w:val="21"/>
                <w:highlight w:val="none"/>
              </w:rPr>
              <w:t>规格</w:t>
            </w:r>
            <w:bookmarkEnd w:id="133"/>
            <w:bookmarkEnd w:id="134"/>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250</w:t>
            </w:r>
            <w:r>
              <w:rPr>
                <w:rFonts w:hint="eastAsia"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互感器型号、规格</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250/5A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三相电能表规格</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3</w:t>
            </w:r>
            <w:r>
              <w:rPr>
                <w:rFonts w:ascii="Times New Roman"/>
                <w:color w:val="auto"/>
                <w:sz w:val="21"/>
                <w:szCs w:val="21"/>
                <w:highlight w:val="none"/>
              </w:rPr>
              <w:t>×</w:t>
            </w:r>
            <w:r>
              <w:rPr>
                <w:rFonts w:hint="eastAsia" w:ascii="Times New Roman"/>
                <w:color w:val="auto"/>
                <w:sz w:val="21"/>
                <w:szCs w:val="21"/>
                <w:highlight w:val="none"/>
              </w:rPr>
              <w:t>1</w:t>
            </w:r>
            <w:r>
              <w:rPr>
                <w:rFonts w:ascii="Times New Roman" w:hAnsi="宋体"/>
                <w:color w:val="auto"/>
                <w:sz w:val="21"/>
                <w:szCs w:val="21"/>
                <w:highlight w:val="none"/>
              </w:rPr>
              <w:t>（</w:t>
            </w:r>
            <w:r>
              <w:rPr>
                <w:rFonts w:hint="eastAsia" w:ascii="Times New Roman"/>
                <w:color w:val="auto"/>
                <w:sz w:val="21"/>
                <w:szCs w:val="21"/>
                <w:highlight w:val="none"/>
              </w:rPr>
              <w:t>1</w:t>
            </w:r>
            <w:r>
              <w:rPr>
                <w:rFonts w:ascii="Times New Roman"/>
                <w:color w:val="auto"/>
                <w:sz w:val="21"/>
                <w:szCs w:val="21"/>
                <w:highlight w:val="none"/>
              </w:rPr>
              <w:t>0</w:t>
            </w:r>
            <w:r>
              <w:rPr>
                <w:rFonts w:ascii="Times New Roman" w:hAnsi="宋体"/>
                <w:color w:val="auto"/>
                <w:sz w:val="21"/>
                <w:szCs w:val="21"/>
                <w:highlight w:val="none"/>
              </w:rPr>
              <w:t>）</w:t>
            </w:r>
            <w:r>
              <w:rPr>
                <w:rFonts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bookmarkStart w:id="135" w:name="OLE_LINK91"/>
            <w:bookmarkStart w:id="136" w:name="OLE_LINK90"/>
            <w:r>
              <w:rPr>
                <w:rFonts w:ascii="Times New Roman" w:hAnsi="宋体"/>
                <w:color w:val="auto"/>
                <w:sz w:val="21"/>
                <w:szCs w:val="21"/>
                <w:highlight w:val="none"/>
              </w:rPr>
              <w:t>一次导线截面积</w:t>
            </w:r>
            <w:bookmarkEnd w:id="135"/>
            <w:bookmarkEnd w:id="136"/>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95</w:t>
            </w:r>
            <w:r>
              <w:rPr>
                <w:rFonts w:ascii="Times New Roman"/>
                <w:color w:val="auto"/>
                <w:sz w:val="21"/>
                <w:szCs w:val="21"/>
                <w:highlight w:val="none"/>
              </w:rPr>
              <w:t>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一次铜排</w:t>
            </w:r>
            <w:r>
              <w:rPr>
                <w:rFonts w:ascii="Times New Roman"/>
                <w:color w:val="auto"/>
                <w:sz w:val="21"/>
                <w:szCs w:val="21"/>
                <w:highlight w:val="none"/>
              </w:rPr>
              <w:t>/</w:t>
            </w:r>
            <w:r>
              <w:rPr>
                <w:rFonts w:ascii="Times New Roman" w:hAnsi="宋体"/>
                <w:color w:val="auto"/>
                <w:sz w:val="21"/>
                <w:szCs w:val="21"/>
                <w:highlight w:val="none"/>
              </w:rPr>
              <w:t>导线截面积</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b w:val="0"/>
                <w:bCs w:val="0"/>
                <w:color w:val="auto"/>
                <w:sz w:val="21"/>
                <w:szCs w:val="21"/>
                <w:highlight w:val="none"/>
                <w:lang w:val="en-US" w:eastAsia="zh-CN"/>
              </w:rPr>
              <w:t>5</w:t>
            </w:r>
            <w:r>
              <w:rPr>
                <w:rFonts w:ascii="Times New Roman"/>
                <w:b w:val="0"/>
                <w:bCs w:val="0"/>
                <w:color w:val="auto"/>
                <w:sz w:val="21"/>
                <w:szCs w:val="21"/>
                <w:highlight w:val="none"/>
              </w:rPr>
              <w:t>mm ×</w:t>
            </w:r>
            <w:r>
              <w:rPr>
                <w:rFonts w:hint="eastAsia" w:ascii="Times New Roman"/>
                <w:b w:val="0"/>
                <w:bCs w:val="0"/>
                <w:color w:val="auto"/>
                <w:sz w:val="21"/>
                <w:szCs w:val="21"/>
                <w:highlight w:val="none"/>
                <w:lang w:val="en-US" w:eastAsia="zh-CN"/>
              </w:rPr>
              <w:t>2</w:t>
            </w:r>
            <w:r>
              <w:rPr>
                <w:rFonts w:ascii="Times New Roman"/>
                <w:b w:val="0"/>
                <w:bCs w:val="0"/>
                <w:color w:val="auto"/>
                <w:sz w:val="21"/>
                <w:szCs w:val="21"/>
                <w:highlight w:val="none"/>
              </w:rPr>
              <w:t>0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hAnsi="宋体"/>
                <w:color w:val="auto"/>
                <w:sz w:val="21"/>
                <w:szCs w:val="21"/>
                <w:highlight w:val="none"/>
              </w:rPr>
            </w:pPr>
            <w:bookmarkStart w:id="137" w:name="OLE_LINK66"/>
            <w:bookmarkStart w:id="138" w:name="OLE_LINK64"/>
            <w:bookmarkStart w:id="139" w:name="OLE_LINK65"/>
            <w:bookmarkStart w:id="140" w:name="_Hlk493342994"/>
            <w:r>
              <w:rPr>
                <w:rFonts w:ascii="Times New Roman" w:hAnsi="宋体"/>
                <w:color w:val="auto"/>
                <w:sz w:val="21"/>
                <w:szCs w:val="21"/>
                <w:highlight w:val="none"/>
              </w:rPr>
              <w:t>二次导线截面积</w:t>
            </w:r>
            <w:bookmarkEnd w:id="137"/>
            <w:bookmarkEnd w:id="138"/>
            <w:bookmarkEnd w:id="139"/>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电压</w:t>
            </w:r>
          </w:p>
        </w:tc>
        <w:tc>
          <w:tcPr>
            <w:tcW w:w="3879" w:type="dxa"/>
            <w:gridSpan w:val="2"/>
            <w:noWrap w:val="0"/>
            <w:vAlign w:val="center"/>
          </w:tcPr>
          <w:p>
            <w:pPr>
              <w:pStyle w:val="156"/>
              <w:jc w:val="center"/>
              <w:rPr>
                <w:rFonts w:ascii="Times New Roman"/>
                <w:color w:val="auto"/>
                <w:sz w:val="21"/>
                <w:szCs w:val="21"/>
                <w:highlight w:val="none"/>
              </w:rPr>
            </w:pPr>
            <w:bookmarkStart w:id="141" w:name="OLE_LINK99"/>
            <w:bookmarkStart w:id="142" w:name="OLE_LINK100"/>
            <w:r>
              <w:rPr>
                <w:rFonts w:ascii="Times New Roman"/>
                <w:color w:val="auto"/>
                <w:sz w:val="21"/>
                <w:szCs w:val="21"/>
                <w:highlight w:val="none"/>
              </w:rPr>
              <w:t>2.5mm</w:t>
            </w:r>
            <w:r>
              <w:rPr>
                <w:rFonts w:ascii="Times New Roman"/>
                <w:color w:val="auto"/>
                <w:sz w:val="21"/>
                <w:szCs w:val="21"/>
                <w:highlight w:val="none"/>
                <w:vertAlign w:val="superscript"/>
              </w:rPr>
              <w:t>2</w:t>
            </w:r>
            <w:bookmarkEnd w:id="141"/>
            <w:bookmarkEnd w:id="142"/>
          </w:p>
        </w:tc>
      </w:tr>
      <w:bookmarkEnd w:id="14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hAnsi="宋体"/>
                <w:color w:val="auto"/>
                <w:sz w:val="21"/>
                <w:szCs w:val="21"/>
                <w:highlight w:val="none"/>
              </w:rPr>
            </w:pPr>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电流</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4mm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PE</w:t>
            </w:r>
            <w:r>
              <w:rPr>
                <w:rFonts w:ascii="Times New Roman" w:hAnsi="宋体"/>
                <w:color w:val="auto"/>
                <w:sz w:val="21"/>
                <w:szCs w:val="21"/>
                <w:highlight w:val="none"/>
              </w:rPr>
              <w:t>线</w:t>
            </w:r>
            <w:r>
              <w:rPr>
                <w:rFonts w:hint="eastAsia" w:ascii="Times New Roman" w:hAnsi="宋体"/>
                <w:color w:val="auto"/>
                <w:sz w:val="21"/>
                <w:szCs w:val="21"/>
                <w:highlight w:val="none"/>
              </w:rPr>
              <w:t>（BV）</w:t>
            </w:r>
            <w:r>
              <w:rPr>
                <w:rFonts w:ascii="Times New Roman" w:hAnsi="宋体"/>
                <w:color w:val="auto"/>
                <w:sz w:val="21"/>
                <w:szCs w:val="21"/>
                <w:highlight w:val="none"/>
              </w:rPr>
              <w:t>截面积</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50</w:t>
            </w:r>
            <w:r>
              <w:rPr>
                <w:rFonts w:ascii="Times New Roman"/>
                <w:color w:val="auto"/>
                <w:sz w:val="21"/>
                <w:szCs w:val="21"/>
                <w:highlight w:val="none"/>
              </w:rPr>
              <w:t>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RS485</w:t>
            </w:r>
            <w:r>
              <w:rPr>
                <w:rFonts w:ascii="Times New Roman" w:hAnsi="宋体"/>
                <w:color w:val="auto"/>
                <w:sz w:val="21"/>
                <w:szCs w:val="21"/>
                <w:highlight w:val="none"/>
              </w:rPr>
              <w:t>导线</w:t>
            </w:r>
            <w:r>
              <w:rPr>
                <w:rFonts w:ascii="Times New Roman"/>
                <w:color w:val="auto"/>
                <w:sz w:val="21"/>
                <w:szCs w:val="21"/>
                <w:highlight w:val="none"/>
              </w:rPr>
              <w:t>/</w:t>
            </w:r>
            <w:r>
              <w:rPr>
                <w:rFonts w:ascii="Times New Roman" w:hAnsi="宋体"/>
                <w:color w:val="auto"/>
                <w:sz w:val="21"/>
                <w:szCs w:val="21"/>
                <w:highlight w:val="none"/>
              </w:rPr>
              <w:t>控制线截面积</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2×0.4mm</w:t>
            </w:r>
            <w:r>
              <w:rPr>
                <w:rFonts w:ascii="Times New Roman"/>
                <w:color w:val="auto"/>
                <w:sz w:val="21"/>
                <w:szCs w:val="21"/>
                <w:highlight w:val="none"/>
                <w:vertAlign w:val="superscript"/>
              </w:rPr>
              <w:t>2</w:t>
            </w:r>
            <w:r>
              <w:rPr>
                <w:rFonts w:ascii="Times New Roman"/>
                <w:color w:val="auto"/>
                <w:sz w:val="21"/>
                <w:szCs w:val="21"/>
                <w:highlight w:val="none"/>
              </w:rPr>
              <w:t>/2×0.75mm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试验接线盒型式</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三相四线</w:t>
            </w:r>
            <w:r>
              <w:rPr>
                <w:rFonts w:hint="eastAsia" w:ascii="Times New Roman" w:hAnsi="宋体"/>
                <w:color w:val="auto"/>
                <w:sz w:val="21"/>
                <w:szCs w:val="21"/>
                <w:highlight w:val="none"/>
              </w:rPr>
              <w:t>，电压端一进二出，带测试接插端子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hAnsi="宋体"/>
                <w:color w:val="auto"/>
                <w:sz w:val="21"/>
                <w:szCs w:val="21"/>
                <w:highlight w:val="none"/>
              </w:rPr>
            </w:pPr>
            <w:bookmarkStart w:id="143" w:name="OLE_LINK95"/>
            <w:bookmarkStart w:id="144" w:name="OLE_LINK94"/>
            <w:bookmarkStart w:id="145" w:name="_Hlk493343964"/>
            <w:bookmarkStart w:id="146" w:name="_Hlk493344332"/>
            <w:r>
              <w:rPr>
                <w:rFonts w:ascii="Times New Roman" w:hAnsi="宋体"/>
                <w:color w:val="auto"/>
                <w:sz w:val="21"/>
                <w:szCs w:val="21"/>
                <w:highlight w:val="none"/>
              </w:rPr>
              <w:t>出线断路器</w:t>
            </w:r>
            <w:bookmarkEnd w:id="143"/>
            <w:bookmarkEnd w:id="144"/>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额定电流</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250</w:t>
            </w:r>
            <w:r>
              <w:rPr>
                <w:rFonts w:hint="eastAsia"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hAnsi="宋体"/>
                <w:color w:val="auto"/>
                <w:sz w:val="21"/>
                <w:szCs w:val="21"/>
                <w:highlight w:val="none"/>
              </w:rPr>
            </w:pPr>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型式、分断能力</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塑壳断路器，配电型，</w:t>
            </w:r>
            <w:r>
              <w:rPr>
                <w:rFonts w:ascii="Times New Roman"/>
                <w:color w:val="auto"/>
                <w:sz w:val="21"/>
                <w:szCs w:val="21"/>
                <w:highlight w:val="none"/>
              </w:rPr>
              <w:t>3P</w:t>
            </w:r>
            <w:r>
              <w:rPr>
                <w:rFonts w:ascii="Times New Roman" w:hAnsi="宋体"/>
                <w:color w:val="auto"/>
                <w:sz w:val="21"/>
                <w:szCs w:val="21"/>
                <w:highlight w:val="none"/>
              </w:rPr>
              <w:t>，</w:t>
            </w:r>
            <w:r>
              <w:rPr>
                <w:rFonts w:ascii="Times New Roman"/>
                <w:color w:val="auto"/>
                <w:sz w:val="21"/>
                <w:szCs w:val="21"/>
                <w:highlight w:val="none"/>
              </w:rPr>
              <w:t>25kA</w:t>
            </w:r>
            <w:bookmarkStart w:id="147" w:name="OLE_LINK84"/>
            <w:bookmarkStart w:id="148" w:name="OLE_LINK83"/>
            <w:r>
              <w:rPr>
                <w:rFonts w:hint="eastAsia" w:ascii="Times New Roman"/>
                <w:color w:val="auto"/>
                <w:sz w:val="21"/>
                <w:szCs w:val="21"/>
                <w:highlight w:val="none"/>
              </w:rPr>
              <w:t>（额定分断）</w:t>
            </w:r>
            <w:bookmarkEnd w:id="147"/>
            <w:bookmark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hAnsi="宋体"/>
                <w:color w:val="auto"/>
                <w:sz w:val="21"/>
                <w:szCs w:val="21"/>
                <w:highlight w:val="none"/>
              </w:rPr>
            </w:pPr>
            <w:bookmarkStart w:id="149" w:name="OLE_LINK96"/>
            <w:r>
              <w:rPr>
                <w:rFonts w:ascii="Times New Roman" w:hAnsi="宋体"/>
                <w:color w:val="auto"/>
                <w:sz w:val="21"/>
                <w:szCs w:val="21"/>
                <w:highlight w:val="none"/>
              </w:rPr>
              <w:t>进线开关</w:t>
            </w:r>
            <w:bookmarkEnd w:id="149"/>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额定电流</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250</w:t>
            </w:r>
            <w:r>
              <w:rPr>
                <w:rFonts w:hint="eastAsia" w:ascii="Times New Roman"/>
                <w:color w:val="auto"/>
                <w:sz w:val="21"/>
                <w:szCs w:val="21"/>
                <w:highlight w:val="none"/>
              </w:rPr>
              <w:t>A</w:t>
            </w:r>
          </w:p>
        </w:tc>
      </w:tr>
      <w:bookmarkEnd w:id="14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hAnsi="宋体"/>
                <w:color w:val="auto"/>
                <w:sz w:val="21"/>
                <w:szCs w:val="21"/>
                <w:highlight w:val="none"/>
              </w:rPr>
            </w:pPr>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型式、分断能力</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塑壳断路器，配电型，</w:t>
            </w:r>
            <w:r>
              <w:rPr>
                <w:rFonts w:ascii="Times New Roman"/>
                <w:color w:val="auto"/>
                <w:sz w:val="21"/>
                <w:szCs w:val="21"/>
                <w:highlight w:val="none"/>
              </w:rPr>
              <w:t>3P</w:t>
            </w:r>
            <w:r>
              <w:rPr>
                <w:rFonts w:ascii="Times New Roman" w:hAnsi="宋体"/>
                <w:color w:val="auto"/>
                <w:sz w:val="21"/>
                <w:szCs w:val="21"/>
                <w:highlight w:val="none"/>
              </w:rPr>
              <w:t>，</w:t>
            </w:r>
            <w:r>
              <w:rPr>
                <w:rFonts w:ascii="Times New Roman"/>
                <w:color w:val="auto"/>
                <w:sz w:val="21"/>
                <w:szCs w:val="21"/>
                <w:highlight w:val="none"/>
              </w:rPr>
              <w:t>25kA</w:t>
            </w:r>
            <w:r>
              <w:rPr>
                <w:rFonts w:hint="eastAsia" w:ascii="Times New Roman"/>
                <w:color w:val="auto"/>
                <w:sz w:val="21"/>
                <w:szCs w:val="21"/>
                <w:highlight w:val="none"/>
              </w:rPr>
              <w:t>（额定分断）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noWrap w:val="0"/>
            <w:vAlign w:val="center"/>
          </w:tcPr>
          <w:p>
            <w:pPr>
              <w:pStyle w:val="156"/>
              <w:jc w:val="both"/>
              <w:rPr>
                <w:rFonts w:ascii="Times New Roman" w:hAnsi="宋体"/>
                <w:color w:val="auto"/>
                <w:sz w:val="21"/>
                <w:szCs w:val="21"/>
                <w:highlight w:val="none"/>
              </w:rPr>
            </w:pPr>
          </w:p>
        </w:tc>
        <w:tc>
          <w:tcPr>
            <w:tcW w:w="2693" w:type="dxa"/>
            <w:gridSpan w:val="2"/>
            <w:noWrap w:val="0"/>
            <w:vAlign w:val="center"/>
          </w:tcPr>
          <w:p>
            <w:pPr>
              <w:pStyle w:val="156"/>
              <w:jc w:val="center"/>
              <w:rPr>
                <w:rFonts w:ascii="Times New Roman" w:hAnsi="宋体"/>
                <w:color w:val="auto"/>
                <w:sz w:val="21"/>
                <w:szCs w:val="21"/>
                <w:highlight w:val="none"/>
              </w:rPr>
            </w:pPr>
          </w:p>
        </w:tc>
        <w:tc>
          <w:tcPr>
            <w:tcW w:w="3879" w:type="dxa"/>
            <w:gridSpan w:val="2"/>
            <w:noWrap w:val="0"/>
            <w:vAlign w:val="center"/>
          </w:tcPr>
          <w:p>
            <w:pPr>
              <w:pStyle w:val="156"/>
              <w:jc w:val="center"/>
              <w:rPr>
                <w:rFonts w:ascii="Times New Roman" w:hAnsi="宋体"/>
                <w:color w:val="auto"/>
                <w:sz w:val="21"/>
                <w:szCs w:val="21"/>
                <w:highlight w:val="none"/>
              </w:rPr>
            </w:pPr>
          </w:p>
        </w:tc>
      </w:tr>
      <w:bookmarkEnd w:id="14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79" w:type="dxa"/>
            <w:gridSpan w:val="5"/>
            <w:noWrap w:val="0"/>
            <w:vAlign w:val="center"/>
          </w:tcPr>
          <w:p>
            <w:pPr>
              <w:pStyle w:val="156"/>
              <w:jc w:val="center"/>
              <w:rPr>
                <w:rFonts w:ascii="Times New Roman"/>
                <w:color w:val="auto"/>
                <w:sz w:val="21"/>
                <w:szCs w:val="21"/>
                <w:highlight w:val="none"/>
              </w:rPr>
            </w:pPr>
            <w:r>
              <w:rPr>
                <w:rFonts w:hint="eastAsia" w:ascii="Times New Roman" w:hAnsi="宋体"/>
                <w:b/>
                <w:color w:val="auto"/>
                <w:sz w:val="21"/>
                <w:szCs w:val="21"/>
                <w:highlight w:val="none"/>
              </w:rPr>
              <w:t>四</w:t>
            </w:r>
            <w:r>
              <w:rPr>
                <w:rFonts w:ascii="Times New Roman" w:hAnsi="宋体"/>
                <w:b/>
                <w:color w:val="auto"/>
                <w:sz w:val="21"/>
                <w:szCs w:val="21"/>
                <w:highlight w:val="none"/>
              </w:rPr>
              <w:t>、</w:t>
            </w:r>
            <w:r>
              <w:rPr>
                <w:rFonts w:hint="eastAsia" w:ascii="Times New Roman" w:hAnsi="宋体"/>
                <w:b/>
                <w:color w:val="auto"/>
                <w:sz w:val="21"/>
                <w:szCs w:val="21"/>
                <w:highlight w:val="none"/>
              </w:rPr>
              <w:t>A1-D动力型三</w:t>
            </w:r>
            <w:r>
              <w:rPr>
                <w:rFonts w:ascii="Times New Roman" w:hAnsi="宋体"/>
                <w:b/>
                <w:color w:val="auto"/>
                <w:sz w:val="21"/>
                <w:szCs w:val="21"/>
                <w:highlight w:val="none"/>
              </w:rPr>
              <w:t>相（电能表）计量</w:t>
            </w:r>
            <w:r>
              <w:rPr>
                <w:rFonts w:hint="eastAsia" w:ascii="Times New Roman" w:hAnsi="宋体"/>
                <w:b/>
                <w:color w:val="auto"/>
                <w:sz w:val="21"/>
                <w:szCs w:val="21"/>
                <w:highlight w:val="none"/>
              </w:rPr>
              <w:t>表</w:t>
            </w:r>
            <w:r>
              <w:rPr>
                <w:rFonts w:ascii="Times New Roman" w:hAnsi="宋体"/>
                <w:b/>
                <w:color w:val="auto"/>
                <w:sz w:val="21"/>
                <w:szCs w:val="21"/>
                <w:highlight w:val="none"/>
              </w:rPr>
              <w:t>箱</w:t>
            </w:r>
            <w:r>
              <w:rPr>
                <w:rFonts w:hint="eastAsia" w:ascii="Times New Roman" w:hAnsi="宋体"/>
                <w:b/>
                <w:color w:val="auto"/>
                <w:sz w:val="21"/>
                <w:szCs w:val="21"/>
                <w:highlight w:val="none"/>
              </w:rPr>
              <w:t>（</w:t>
            </w:r>
            <w:r>
              <w:rPr>
                <w:rFonts w:ascii="Times New Roman" w:hAnsi="宋体"/>
                <w:b/>
                <w:color w:val="auto"/>
                <w:sz w:val="21"/>
                <w:szCs w:val="21"/>
                <w:highlight w:val="none"/>
              </w:rPr>
              <w:t>1</w:t>
            </w:r>
            <w:r>
              <w:rPr>
                <w:rFonts w:hint="eastAsia" w:ascii="Times New Roman" w:hAnsi="宋体"/>
                <w:b/>
                <w:color w:val="auto"/>
                <w:sz w:val="21"/>
                <w:szCs w:val="21"/>
                <w:highlight w:val="none"/>
              </w:rPr>
              <w:t>表位）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规格</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80A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一次导线截面积</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color w:val="auto"/>
                <w:sz w:val="21"/>
                <w:szCs w:val="21"/>
                <w:highlight w:val="none"/>
              </w:rPr>
              <w:t>25mm</w:t>
            </w:r>
            <w:r>
              <w:rPr>
                <w:rFonts w:ascii="Times New Roman"/>
                <w:color w:val="auto"/>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00" w:type="dxa"/>
            <w:gridSpan w:val="3"/>
            <w:noWrap w:val="0"/>
            <w:vAlign w:val="center"/>
          </w:tcPr>
          <w:p>
            <w:pPr>
              <w:pStyle w:val="156"/>
              <w:jc w:val="center"/>
              <w:rPr>
                <w:rFonts w:ascii="Times New Roman" w:hAnsi="宋体"/>
                <w:color w:val="auto"/>
                <w:sz w:val="21"/>
                <w:szCs w:val="21"/>
                <w:highlight w:val="none"/>
              </w:rPr>
            </w:pPr>
            <w:r>
              <w:rPr>
                <w:rFonts w:hint="eastAsia" w:ascii="Times New Roman" w:hAnsi="宋体"/>
                <w:color w:val="auto"/>
                <w:sz w:val="21"/>
                <w:szCs w:val="21"/>
                <w:highlight w:val="none"/>
              </w:rPr>
              <w:t>三</w:t>
            </w:r>
            <w:r>
              <w:rPr>
                <w:rFonts w:ascii="Times New Roman" w:hAnsi="宋体"/>
                <w:color w:val="auto"/>
                <w:sz w:val="21"/>
                <w:szCs w:val="21"/>
                <w:highlight w:val="none"/>
              </w:rPr>
              <w:t>相电能表规格</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3</w:t>
            </w:r>
            <w:r>
              <w:rPr>
                <w:rFonts w:ascii="Times New Roman"/>
                <w:color w:val="auto"/>
                <w:sz w:val="21"/>
                <w:szCs w:val="21"/>
                <w:highlight w:val="none"/>
              </w:rPr>
              <w:t>×5</w:t>
            </w:r>
            <w:r>
              <w:rPr>
                <w:rFonts w:ascii="Times New Roman" w:hAnsi="宋体"/>
                <w:color w:val="auto"/>
                <w:sz w:val="21"/>
                <w:szCs w:val="21"/>
                <w:highlight w:val="none"/>
              </w:rPr>
              <w:t>（</w:t>
            </w:r>
            <w:r>
              <w:rPr>
                <w:rFonts w:ascii="Times New Roman"/>
                <w:color w:val="auto"/>
                <w:sz w:val="21"/>
                <w:szCs w:val="21"/>
                <w:highlight w:val="none"/>
              </w:rPr>
              <w:t>80</w:t>
            </w:r>
            <w:r>
              <w:rPr>
                <w:rFonts w:ascii="Times New Roman" w:hAnsi="宋体"/>
                <w:color w:val="auto"/>
                <w:sz w:val="21"/>
                <w:szCs w:val="21"/>
                <w:highlight w:val="none"/>
              </w:rPr>
              <w:t>）</w:t>
            </w:r>
            <w:r>
              <w:rPr>
                <w:rFonts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hAnsi="宋体"/>
                <w:color w:val="auto"/>
                <w:sz w:val="21"/>
                <w:szCs w:val="21"/>
                <w:highlight w:val="none"/>
              </w:rPr>
            </w:pPr>
            <w:r>
              <w:rPr>
                <w:rFonts w:ascii="Times New Roman" w:hAnsi="宋体"/>
                <w:color w:val="auto"/>
                <w:sz w:val="21"/>
                <w:szCs w:val="21"/>
                <w:highlight w:val="none"/>
              </w:rPr>
              <w:t>出线</w:t>
            </w:r>
            <w:r>
              <w:rPr>
                <w:rFonts w:hint="eastAsia" w:ascii="Times New Roman" w:hAnsi="宋体"/>
                <w:color w:val="auto"/>
                <w:sz w:val="21"/>
                <w:szCs w:val="21"/>
                <w:highlight w:val="none"/>
              </w:rPr>
              <w:t>费控</w:t>
            </w:r>
            <w:r>
              <w:rPr>
                <w:rFonts w:ascii="Times New Roman" w:hAnsi="宋体"/>
                <w:color w:val="auto"/>
                <w:sz w:val="21"/>
                <w:szCs w:val="21"/>
                <w:highlight w:val="none"/>
              </w:rPr>
              <w:t>断路器</w:t>
            </w:r>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额定电流</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lang w:val="en-US" w:eastAsia="zh-CN"/>
              </w:rPr>
              <w:t>100</w:t>
            </w:r>
            <w:r>
              <w:rPr>
                <w:rFonts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hAnsi="宋体"/>
                <w:color w:val="auto"/>
                <w:sz w:val="21"/>
                <w:szCs w:val="21"/>
                <w:highlight w:val="none"/>
              </w:rPr>
            </w:pPr>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型式、分断能力</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费控断路器</w:t>
            </w:r>
            <w:r>
              <w:rPr>
                <w:rFonts w:ascii="Times New Roman"/>
                <w:color w:val="auto"/>
                <w:sz w:val="21"/>
                <w:szCs w:val="21"/>
                <w:highlight w:val="none"/>
              </w:rPr>
              <w:t>C</w:t>
            </w:r>
            <w:r>
              <w:rPr>
                <w:rFonts w:hint="eastAsia" w:ascii="Times New Roman"/>
                <w:color w:val="auto"/>
                <w:sz w:val="21"/>
                <w:szCs w:val="21"/>
                <w:highlight w:val="none"/>
              </w:rPr>
              <w:t>型，</w:t>
            </w:r>
            <w:r>
              <w:rPr>
                <w:rFonts w:ascii="Times New Roman"/>
                <w:color w:val="auto"/>
                <w:sz w:val="21"/>
                <w:szCs w:val="21"/>
                <w:highlight w:val="none"/>
              </w:rPr>
              <w:t>4P</w:t>
            </w:r>
            <w:r>
              <w:rPr>
                <w:rFonts w:hint="eastAsia" w:ascii="Times New Roman"/>
                <w:color w:val="auto"/>
                <w:sz w:val="21"/>
                <w:szCs w:val="21"/>
                <w:highlight w:val="none"/>
              </w:rPr>
              <w:t>，</w:t>
            </w:r>
            <w:r>
              <w:rPr>
                <w:rFonts w:ascii="Times New Roman"/>
                <w:color w:val="auto"/>
                <w:sz w:val="21"/>
                <w:szCs w:val="21"/>
                <w:highlight w:val="none"/>
              </w:rPr>
              <w:t>6kA</w:t>
            </w:r>
            <w:r>
              <w:rPr>
                <w:rFonts w:hint="eastAsia" w:ascii="Times New Roman"/>
                <w:color w:val="auto"/>
                <w:sz w:val="21"/>
                <w:szCs w:val="21"/>
                <w:highlight w:val="none"/>
              </w:rPr>
              <w:t>（额定分断</w:t>
            </w:r>
            <w:r>
              <w:rPr>
                <w:rFonts w:ascii="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restart"/>
            <w:noWrap w:val="0"/>
            <w:vAlign w:val="center"/>
          </w:tcPr>
          <w:p>
            <w:pPr>
              <w:pStyle w:val="156"/>
              <w:jc w:val="both"/>
              <w:rPr>
                <w:rFonts w:ascii="Times New Roman" w:hAnsi="宋体"/>
                <w:color w:val="auto"/>
                <w:sz w:val="21"/>
                <w:szCs w:val="21"/>
                <w:highlight w:val="none"/>
              </w:rPr>
            </w:pPr>
            <w:r>
              <w:rPr>
                <w:rFonts w:ascii="Times New Roman" w:hAnsi="宋体"/>
                <w:color w:val="auto"/>
                <w:sz w:val="21"/>
                <w:szCs w:val="21"/>
                <w:highlight w:val="none"/>
              </w:rPr>
              <w:t>进线开关</w:t>
            </w:r>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额定电流</w:t>
            </w:r>
          </w:p>
        </w:tc>
        <w:tc>
          <w:tcPr>
            <w:tcW w:w="3879" w:type="dxa"/>
            <w:gridSpan w:val="2"/>
            <w:noWrap w:val="0"/>
            <w:vAlign w:val="center"/>
          </w:tcPr>
          <w:p>
            <w:pPr>
              <w:pStyle w:val="156"/>
              <w:jc w:val="center"/>
              <w:rPr>
                <w:rFonts w:ascii="Times New Roman"/>
                <w:color w:val="auto"/>
                <w:sz w:val="21"/>
                <w:szCs w:val="21"/>
                <w:highlight w:val="none"/>
              </w:rPr>
            </w:pPr>
            <w:r>
              <w:rPr>
                <w:rFonts w:hint="eastAsia" w:ascii="Times New Roman"/>
                <w:color w:val="auto"/>
                <w:sz w:val="21"/>
                <w:szCs w:val="21"/>
                <w:highlight w:val="none"/>
              </w:rPr>
              <w:t>1</w:t>
            </w:r>
            <w:r>
              <w:rPr>
                <w:rFonts w:hint="eastAsia" w:ascii="Times New Roman"/>
                <w:color w:val="auto"/>
                <w:sz w:val="21"/>
                <w:szCs w:val="21"/>
                <w:highlight w:val="none"/>
                <w:lang w:val="en-US" w:eastAsia="zh-CN"/>
              </w:rPr>
              <w:t>00</w:t>
            </w:r>
            <w:r>
              <w:rPr>
                <w:rFonts w:hint="eastAsia" w:ascii="Times New Roman"/>
                <w:color w:val="auto"/>
                <w:sz w:val="21"/>
                <w:szCs w:val="21"/>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07" w:type="dxa"/>
            <w:vMerge w:val="continue"/>
            <w:noWrap w:val="0"/>
            <w:vAlign w:val="center"/>
          </w:tcPr>
          <w:p>
            <w:pPr>
              <w:pStyle w:val="156"/>
              <w:jc w:val="both"/>
              <w:rPr>
                <w:rFonts w:ascii="Times New Roman" w:hAnsi="宋体"/>
                <w:color w:val="auto"/>
                <w:sz w:val="21"/>
                <w:szCs w:val="21"/>
                <w:highlight w:val="none"/>
              </w:rPr>
            </w:pPr>
          </w:p>
        </w:tc>
        <w:tc>
          <w:tcPr>
            <w:tcW w:w="2693"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型式、分断能力</w:t>
            </w:r>
          </w:p>
        </w:tc>
        <w:tc>
          <w:tcPr>
            <w:tcW w:w="3879" w:type="dxa"/>
            <w:gridSpan w:val="2"/>
            <w:noWrap w:val="0"/>
            <w:vAlign w:val="center"/>
          </w:tcPr>
          <w:p>
            <w:pPr>
              <w:pStyle w:val="156"/>
              <w:jc w:val="center"/>
              <w:rPr>
                <w:rFonts w:ascii="Times New Roman"/>
                <w:color w:val="auto"/>
                <w:sz w:val="21"/>
                <w:szCs w:val="21"/>
                <w:highlight w:val="none"/>
              </w:rPr>
            </w:pPr>
            <w:r>
              <w:rPr>
                <w:rFonts w:ascii="Times New Roman" w:hAnsi="宋体"/>
                <w:color w:val="auto"/>
                <w:sz w:val="21"/>
                <w:szCs w:val="21"/>
                <w:highlight w:val="none"/>
              </w:rPr>
              <w:t>塑壳断路器，配电型，</w:t>
            </w:r>
            <w:r>
              <w:rPr>
                <w:rFonts w:ascii="Times New Roman"/>
                <w:color w:val="auto"/>
                <w:sz w:val="21"/>
                <w:szCs w:val="21"/>
                <w:highlight w:val="none"/>
              </w:rPr>
              <w:t>3P</w:t>
            </w:r>
            <w:r>
              <w:rPr>
                <w:rFonts w:ascii="Times New Roman" w:hAnsi="宋体"/>
                <w:color w:val="auto"/>
                <w:sz w:val="21"/>
                <w:szCs w:val="21"/>
                <w:highlight w:val="none"/>
              </w:rPr>
              <w:t>，</w:t>
            </w:r>
            <w:r>
              <w:rPr>
                <w:rFonts w:ascii="Times New Roman"/>
                <w:color w:val="auto"/>
                <w:sz w:val="21"/>
                <w:szCs w:val="21"/>
                <w:highlight w:val="none"/>
              </w:rPr>
              <w:t>25kA</w:t>
            </w:r>
            <w:r>
              <w:rPr>
                <w:rFonts w:hint="eastAsia" w:ascii="Times New Roman"/>
                <w:color w:val="auto"/>
                <w:sz w:val="21"/>
                <w:szCs w:val="21"/>
                <w:highlight w:val="none"/>
              </w:rPr>
              <w:t>（额定分断）</w:t>
            </w:r>
          </w:p>
        </w:tc>
      </w:tr>
    </w:tbl>
    <w:p>
      <w:pPr>
        <w:pStyle w:val="4"/>
        <w:numPr>
          <w:ilvl w:val="2"/>
          <w:numId w:val="25"/>
        </w:numPr>
        <w:topLinePunct/>
        <w:adjustRightInd w:val="0"/>
        <w:spacing w:before="240" w:beforeLines="100" w:after="0" w:line="360" w:lineRule="auto"/>
        <w:rPr>
          <w:rFonts w:ascii="宋体" w:hAnsi="宋体"/>
          <w:kern w:val="44"/>
          <w:sz w:val="21"/>
          <w:szCs w:val="21"/>
          <w:highlight w:val="none"/>
          <w:shd w:val="clear" w:color="auto" w:fill="FFFFFF"/>
        </w:rPr>
      </w:pPr>
      <w:bookmarkStart w:id="150" w:name="_Toc15489"/>
      <w:r>
        <w:rPr>
          <w:rFonts w:hint="eastAsia" w:ascii="宋体" w:hAnsi="宋体"/>
          <w:kern w:val="44"/>
          <w:sz w:val="21"/>
          <w:szCs w:val="21"/>
          <w:highlight w:val="none"/>
          <w:shd w:val="clear" w:color="auto" w:fill="FFFFFF"/>
        </w:rPr>
        <w:t>设备布局</w:t>
      </w:r>
      <w:bookmarkEnd w:id="150"/>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计量表箱内电器、部件布局符合以下原则：</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满足</w:t>
      </w:r>
      <w:r>
        <w:rPr>
          <w:highlight w:val="none"/>
        </w:rPr>
        <w:t>6.3</w:t>
      </w:r>
      <w:r>
        <w:rPr>
          <w:rFonts w:hint="eastAsia"/>
          <w:highlight w:val="none"/>
        </w:rPr>
        <w:t>基本功能需求；</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电气布线、开关及断路器安放、电能表排列不应影响电能表计量准确性、稳定性，并满足电能表插拔安装、线槽排布空间需求：</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电能表排布：单相电能表</w:t>
      </w:r>
      <w:r>
        <w:rPr>
          <w:highlight w:val="none"/>
        </w:rPr>
        <w:t>/</w:t>
      </w:r>
      <w:r>
        <w:rPr>
          <w:rFonts w:hint="eastAsia"/>
          <w:highlight w:val="none"/>
        </w:rPr>
        <w:t>采集器互邻侧面间隙及各侧面与开关、线槽间距（隙）不小于</w:t>
      </w:r>
      <w:r>
        <w:rPr>
          <w:highlight w:val="none"/>
        </w:rPr>
        <w:t>30mm</w:t>
      </w:r>
      <w:r>
        <w:rPr>
          <w:rFonts w:hint="eastAsia"/>
          <w:highlight w:val="none"/>
        </w:rPr>
        <w:t>；三相电能表</w:t>
      </w:r>
      <w:r>
        <w:rPr>
          <w:highlight w:val="none"/>
        </w:rPr>
        <w:t>/</w:t>
      </w:r>
      <w:r>
        <w:rPr>
          <w:rFonts w:hint="eastAsia"/>
          <w:highlight w:val="none"/>
        </w:rPr>
        <w:t>采集器互邻侧面间隙及各侧面与开关、线槽间距（隙）不小于</w:t>
      </w:r>
      <w:r>
        <w:rPr>
          <w:highlight w:val="none"/>
        </w:rPr>
        <w:t>40mm</w:t>
      </w:r>
      <w:r>
        <w:rPr>
          <w:rFonts w:hint="eastAsia"/>
          <w:highlight w:val="none"/>
        </w:rPr>
        <w:t>；电能表垂直间距（隙）满足电能表安装空间需求；电能表边缘与相邻箱体壁板间隙（距）满足箱体边框宽度、对称度需求；电能表正面与箱盖或锁芯间隙不小于</w:t>
      </w:r>
      <w:r>
        <w:rPr>
          <w:highlight w:val="none"/>
        </w:rPr>
        <w:t>10mm</w:t>
      </w:r>
      <w:r>
        <w:rPr>
          <w:rFonts w:hint="eastAsia"/>
          <w:highlight w:val="none"/>
        </w:rPr>
        <w:t>且不大于35mm。</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分路布线与电能表接线顺序相一致，同一回路相线、零线应紧邻并排敷设；</w:t>
      </w:r>
      <w:r>
        <w:rPr>
          <w:highlight w:val="none"/>
        </w:rPr>
        <w:t xml:space="preserve"> </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单表位计量表箱内电能表与进、出线开关按</w:t>
      </w:r>
      <w:r>
        <w:rPr>
          <w:highlight w:val="none"/>
        </w:rPr>
        <w:t>“</w:t>
      </w:r>
      <w:r>
        <w:rPr>
          <w:rFonts w:hint="eastAsia"/>
          <w:highlight w:val="none"/>
        </w:rPr>
        <w:t>品</w:t>
      </w:r>
      <w:r>
        <w:rPr>
          <w:highlight w:val="none"/>
        </w:rPr>
        <w:t>”</w:t>
      </w:r>
      <w:r>
        <w:rPr>
          <w:rFonts w:hint="eastAsia"/>
          <w:highlight w:val="none"/>
        </w:rPr>
        <w:t>字形结构排列。</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多表位计量表箱：</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出线开关左右排布顺序与电能表从下至上、从左至右排布顺序相一致，编号依次递增；</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进线室内元器件布局依据电气功能及进出线方式进行合理布局。</w:t>
      </w:r>
      <w:r>
        <w:rPr>
          <w:highlight w:val="none"/>
        </w:rPr>
        <w:t xml:space="preserve"> </w:t>
      </w:r>
    </w:p>
    <w:p>
      <w:pPr>
        <w:spacing w:line="360" w:lineRule="auto"/>
        <w:ind w:firstLine="420"/>
        <w:rPr>
          <w:highlight w:val="none"/>
        </w:rPr>
      </w:pPr>
      <w:r>
        <w:rPr>
          <w:rFonts w:hint="eastAsia"/>
          <w:highlight w:val="none"/>
        </w:rPr>
        <w:t>4</w:t>
      </w:r>
      <w:r>
        <w:rPr>
          <w:highlight w:val="none"/>
        </w:rPr>
        <w:t>)</w:t>
      </w:r>
      <w:r>
        <w:rPr>
          <w:rFonts w:hint="eastAsia"/>
          <w:highlight w:val="none"/>
        </w:rPr>
        <w:t>采集器安装于进线室内专用采集器安装位或计量室内靠进线室侧最下（上）表位处。</w:t>
      </w:r>
      <w:r>
        <w:rPr>
          <w:highlight w:val="none"/>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51" w:name="_Toc7473"/>
      <w:r>
        <w:rPr>
          <w:rFonts w:hint="eastAsia" w:ascii="宋体" w:hAnsi="宋体" w:eastAsia="宋体"/>
          <w:kern w:val="44"/>
          <w:sz w:val="21"/>
          <w:szCs w:val="21"/>
          <w:highlight w:val="none"/>
          <w:shd w:val="clear" w:color="auto" w:fill="FFFFFF"/>
        </w:rPr>
        <w:t>结构要求</w:t>
      </w:r>
      <w:bookmarkEnd w:id="151"/>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r>
        <w:rPr>
          <w:rFonts w:ascii="宋体" w:hAnsi="宋体"/>
          <w:kern w:val="44"/>
          <w:sz w:val="21"/>
          <w:szCs w:val="21"/>
          <w:highlight w:val="none"/>
          <w:shd w:val="clear" w:color="auto" w:fill="FFFFFF"/>
        </w:rPr>
        <w:t xml:space="preserve"> </w:t>
      </w:r>
      <w:bookmarkStart w:id="152" w:name="_Toc18604"/>
      <w:r>
        <w:rPr>
          <w:rFonts w:hint="eastAsia" w:ascii="宋体" w:hAnsi="宋体"/>
          <w:kern w:val="44"/>
          <w:sz w:val="21"/>
          <w:szCs w:val="21"/>
          <w:highlight w:val="none"/>
          <w:shd w:val="clear" w:color="auto" w:fill="FFFFFF"/>
        </w:rPr>
        <w:t>通用要求</w:t>
      </w:r>
      <w:bookmarkEnd w:id="152"/>
    </w:p>
    <w:p>
      <w:pPr>
        <w:spacing w:line="360" w:lineRule="auto"/>
        <w:ind w:firstLine="420"/>
        <w:rPr>
          <w:highlight w:val="none"/>
        </w:rPr>
      </w:pPr>
      <w:r>
        <w:rPr>
          <w:rFonts w:hint="eastAsia"/>
          <w:highlight w:val="none"/>
        </w:rPr>
        <w:t>计量表箱结构、工艺应能满足本标准</w:t>
      </w:r>
      <w:r>
        <w:rPr>
          <w:highlight w:val="none"/>
        </w:rPr>
        <w:t>6.3</w:t>
      </w:r>
      <w:r>
        <w:rPr>
          <w:rFonts w:hint="eastAsia"/>
          <w:highlight w:val="none"/>
        </w:rPr>
        <w:t>基本功能各项需求，并应具备一定的先进性、通用性：</w:t>
      </w:r>
      <w:r>
        <w:rPr>
          <w:highlight w:val="none"/>
        </w:rPr>
        <w:t xml:space="preserve"> </w:t>
      </w:r>
    </w:p>
    <w:p>
      <w:pPr>
        <w:spacing w:line="360" w:lineRule="auto"/>
        <w:ind w:firstLine="420"/>
        <w:rPr>
          <w:highlight w:val="none"/>
        </w:rPr>
      </w:pPr>
      <w:r>
        <w:rPr>
          <w:rFonts w:hint="eastAsia"/>
          <w:highlight w:val="none"/>
        </w:rPr>
        <w:t>1</w:t>
      </w:r>
      <w:r>
        <w:rPr>
          <w:highlight w:val="none"/>
        </w:rPr>
        <w:t>)</w:t>
      </w:r>
      <w:r>
        <w:rPr>
          <w:rFonts w:hint="eastAsia"/>
          <w:highlight w:val="none"/>
        </w:rPr>
        <w:t>计量表箱按结构可分为箱组式计量表箱和独立式计量表箱，箱组式计量表箱组合安装时可配置配电分线箱；</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单表位计量表箱中电能表与进、出线开关按</w:t>
      </w:r>
      <w:r>
        <w:rPr>
          <w:highlight w:val="none"/>
        </w:rPr>
        <w:t>“</w:t>
      </w:r>
      <w:r>
        <w:rPr>
          <w:rFonts w:hint="eastAsia"/>
          <w:highlight w:val="none"/>
        </w:rPr>
        <w:t>品</w:t>
      </w:r>
      <w:r>
        <w:rPr>
          <w:highlight w:val="none"/>
        </w:rPr>
        <w:t>”</w:t>
      </w:r>
      <w:r>
        <w:rPr>
          <w:rFonts w:hint="eastAsia"/>
          <w:highlight w:val="none"/>
        </w:rPr>
        <w:t>字结构组成；</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多表位计量表箱由进线室、计量室、出线室组成：</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进线室为计量表箱的配电室，装设总开关、采集器、</w:t>
      </w:r>
      <w:r>
        <w:rPr>
          <w:highlight w:val="none"/>
        </w:rPr>
        <w:t>UK</w:t>
      </w:r>
      <w:r>
        <w:rPr>
          <w:rFonts w:hint="eastAsia"/>
          <w:highlight w:val="none"/>
        </w:rPr>
        <w:t>接线端子、防窃电装置（可选）、配电设施等，位于计量室、出线室的左侧，并与计量室相隔离；</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出线室为计量表箱的电气控制、保护、接线室，装设保护开关、费控装置等，位于计量室下侧（下出线），并与计量室相隔离；</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多个箱组式计量表箱与进线（配电）箱，经组合方式可实现多电能表集中计量；</w:t>
      </w:r>
      <w:r>
        <w:rPr>
          <w:highlight w:val="none"/>
        </w:rPr>
        <w:t xml:space="preserve"> </w:t>
      </w:r>
    </w:p>
    <w:p>
      <w:pPr>
        <w:spacing w:line="360" w:lineRule="auto"/>
        <w:ind w:firstLine="420"/>
        <w:rPr>
          <w:highlight w:val="none"/>
        </w:rPr>
      </w:pPr>
      <w:r>
        <w:rPr>
          <w:rFonts w:hint="eastAsia"/>
          <w:highlight w:val="none"/>
        </w:rPr>
        <w:t>5</w:t>
      </w:r>
      <w:r>
        <w:rPr>
          <w:highlight w:val="none"/>
        </w:rPr>
        <w:t xml:space="preserve">) </w:t>
      </w:r>
      <w:r>
        <w:rPr>
          <w:rFonts w:hint="eastAsia"/>
          <w:highlight w:val="none"/>
        </w:rPr>
        <w:t>经互感器接入式计量表箱由进线开关室、互感器室、电能表</w:t>
      </w:r>
      <w:r>
        <w:rPr>
          <w:highlight w:val="none"/>
        </w:rPr>
        <w:t>/</w:t>
      </w:r>
      <w:r>
        <w:rPr>
          <w:rFonts w:hint="eastAsia"/>
          <w:highlight w:val="none"/>
        </w:rPr>
        <w:t>采集终端表计室、出线开关室组成，各开关室应与表计室、互感器室相隔离；</w:t>
      </w:r>
      <w:r>
        <w:rPr>
          <w:highlight w:val="none"/>
        </w:rPr>
        <w:t xml:space="preserve"> </w:t>
      </w:r>
    </w:p>
    <w:p>
      <w:pPr>
        <w:spacing w:line="360" w:lineRule="auto"/>
        <w:ind w:firstLine="420"/>
        <w:rPr>
          <w:highlight w:val="none"/>
        </w:rPr>
      </w:pPr>
      <w:r>
        <w:rPr>
          <w:rFonts w:hint="eastAsia"/>
          <w:highlight w:val="none"/>
        </w:rPr>
        <w:t>6</w:t>
      </w:r>
      <w:r>
        <w:rPr>
          <w:highlight w:val="none"/>
        </w:rPr>
        <w:t xml:space="preserve">) </w:t>
      </w:r>
      <w:r>
        <w:rPr>
          <w:rFonts w:hint="eastAsia"/>
          <w:highlight w:val="none"/>
        </w:rPr>
        <w:t>计量表箱安装结构应采用附件（嵌入、杆挂安装件，独立式防雨遮阳罩，箱组线缆连接盒等）形式；</w:t>
      </w:r>
      <w:r>
        <w:rPr>
          <w:highlight w:val="none"/>
        </w:rPr>
        <w:t xml:space="preserve"> </w:t>
      </w:r>
    </w:p>
    <w:p>
      <w:pPr>
        <w:spacing w:line="360" w:lineRule="auto"/>
        <w:ind w:firstLine="420"/>
        <w:rPr>
          <w:highlight w:val="none"/>
        </w:rPr>
      </w:pPr>
      <w:r>
        <w:rPr>
          <w:rFonts w:hint="eastAsia"/>
          <w:highlight w:val="none"/>
        </w:rPr>
        <w:t>7</w:t>
      </w:r>
      <w:r>
        <w:rPr>
          <w:highlight w:val="none"/>
        </w:rPr>
        <w:t xml:space="preserve">) </w:t>
      </w:r>
      <w:r>
        <w:rPr>
          <w:rFonts w:hint="eastAsia"/>
          <w:highlight w:val="none"/>
        </w:rPr>
        <w:t>铰链型式的计量表箱门的门框开合点，宜设置相应的门吸措施；</w:t>
      </w:r>
      <w:r>
        <w:rPr>
          <w:highlight w:val="none"/>
        </w:rPr>
        <w:t xml:space="preserve"> </w:t>
      </w:r>
    </w:p>
    <w:p>
      <w:pPr>
        <w:spacing w:line="360" w:lineRule="auto"/>
        <w:ind w:firstLine="420"/>
        <w:rPr>
          <w:highlight w:val="none"/>
        </w:rPr>
      </w:pPr>
      <w:r>
        <w:rPr>
          <w:rFonts w:hint="eastAsia"/>
          <w:highlight w:val="none"/>
        </w:rPr>
        <w:t>8</w:t>
      </w:r>
      <w:r>
        <w:rPr>
          <w:highlight w:val="none"/>
        </w:rPr>
        <w:t xml:space="preserve">) </w:t>
      </w:r>
      <w:r>
        <w:rPr>
          <w:rFonts w:hint="eastAsia"/>
          <w:highlight w:val="none"/>
        </w:rPr>
        <w:t>计量表箱工艺要求：</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w:t>
      </w:r>
      <w:r>
        <w:rPr>
          <w:rFonts w:hint="eastAsia"/>
          <w:highlight w:val="none"/>
        </w:rPr>
        <w:t>计量表箱外壳应采用一次成型的模压或注塑工艺，并有防变形结构措施；</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计量表箱结构件通过螺纹连接时应采用螺母连接型式（禁止采用攻丝连接）；</w:t>
      </w:r>
      <w:r>
        <w:rPr>
          <w:highlight w:val="none"/>
        </w:rPr>
        <w:t xml:space="preserve"> </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母排边缘应进行打圆、去毛刺处理，端子连接部位应圆滑；</w:t>
      </w:r>
      <w:r>
        <w:rPr>
          <w:highlight w:val="none"/>
        </w:rPr>
        <w:t xml:space="preserve"> </w:t>
      </w:r>
    </w:p>
    <w:p>
      <w:pPr>
        <w:spacing w:line="360" w:lineRule="auto"/>
        <w:ind w:firstLine="630" w:firstLineChars="300"/>
        <w:rPr>
          <w:highlight w:val="none"/>
        </w:rPr>
      </w:pPr>
      <w:r>
        <w:rPr>
          <w:rFonts w:hint="eastAsia"/>
          <w:highlight w:val="none"/>
        </w:rPr>
        <w:t>d</w:t>
      </w:r>
      <w:r>
        <w:rPr>
          <w:highlight w:val="none"/>
        </w:rPr>
        <w:t xml:space="preserve">) </w:t>
      </w:r>
      <w:r>
        <w:rPr>
          <w:rFonts w:hint="eastAsia"/>
          <w:highlight w:val="none"/>
        </w:rPr>
        <w:t>母排、导线安装应工整、横平竖直，导线紧固点无线皮被压现象；</w:t>
      </w:r>
      <w:r>
        <w:rPr>
          <w:highlight w:val="none"/>
        </w:rPr>
        <w:t xml:space="preserve"> </w:t>
      </w:r>
    </w:p>
    <w:p>
      <w:pPr>
        <w:spacing w:line="360" w:lineRule="auto"/>
        <w:ind w:firstLine="630" w:firstLineChars="300"/>
        <w:rPr>
          <w:highlight w:val="none"/>
        </w:rPr>
      </w:pPr>
      <w:r>
        <w:rPr>
          <w:rFonts w:hint="eastAsia"/>
          <w:highlight w:val="none"/>
        </w:rPr>
        <w:t>e</w:t>
      </w:r>
      <w:r>
        <w:rPr>
          <w:highlight w:val="none"/>
        </w:rPr>
        <w:t xml:space="preserve">) </w:t>
      </w:r>
      <w:r>
        <w:rPr>
          <w:rFonts w:hint="eastAsia"/>
          <w:highlight w:val="none"/>
        </w:rPr>
        <w:t>线槽垂直连接处应进行倒角工艺处理。</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53" w:name="_Toc8838"/>
      <w:r>
        <w:rPr>
          <w:rFonts w:hint="eastAsia" w:ascii="宋体" w:hAnsi="宋体"/>
          <w:kern w:val="44"/>
          <w:sz w:val="21"/>
          <w:szCs w:val="21"/>
          <w:highlight w:val="none"/>
          <w:shd w:val="clear" w:color="auto" w:fill="FFFFFF"/>
        </w:rPr>
        <w:t>结构尺寸</w:t>
      </w:r>
      <w:bookmarkEnd w:id="153"/>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计量表箱结构尺寸应满足以下要求：</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保证箱体结构合理、紧凑，满足接线操作空间及散热空间需求；</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箱体尺寸与结构型式相适应并满足元器件排布及外观功能需求；</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应选择合理的模块化组成方案，并通过合理工艺以减少冗余结构尺寸；</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单表位计量表箱：</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高度（</w:t>
      </w:r>
      <w:r>
        <w:rPr>
          <w:highlight w:val="none"/>
        </w:rPr>
        <w:t>H</w:t>
      </w:r>
      <w:r>
        <w:rPr>
          <w:rFonts w:hint="eastAsia"/>
          <w:highlight w:val="none"/>
        </w:rPr>
        <w:t>）满足相应接线空间需求：下进电缆直接接入进线开关上桩头时，其接线垂直空间不小于</w:t>
      </w:r>
      <w:r>
        <w:rPr>
          <w:highlight w:val="none"/>
        </w:rPr>
        <w:t>100mm</w:t>
      </w:r>
      <w:r>
        <w:rPr>
          <w:rFonts w:hint="eastAsia"/>
          <w:highlight w:val="none"/>
        </w:rPr>
        <w:t>；出线接线垂直空间不小于</w:t>
      </w:r>
      <w:r>
        <w:rPr>
          <w:highlight w:val="none"/>
        </w:rPr>
        <w:t>70mm</w:t>
      </w:r>
      <w:r>
        <w:rPr>
          <w:rFonts w:hint="eastAsia"/>
          <w:highlight w:val="none"/>
        </w:rPr>
        <w:t>；</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深度（</w:t>
      </w:r>
      <w:r>
        <w:rPr>
          <w:highlight w:val="none"/>
        </w:rPr>
        <w:t>D</w:t>
      </w:r>
      <w:r>
        <w:rPr>
          <w:rFonts w:hint="eastAsia"/>
          <w:highlight w:val="none"/>
        </w:rPr>
        <w:t>）满足电能表、箱内锁体及铰链、电气开关等安装所需间距及开关跳闸空间需求；</w:t>
      </w:r>
      <w:r>
        <w:rPr>
          <w:highlight w:val="none"/>
        </w:rPr>
        <w:t xml:space="preserve"> </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宽度（</w:t>
      </w:r>
      <w:r>
        <w:rPr>
          <w:highlight w:val="none"/>
        </w:rPr>
        <w:t>W</w:t>
      </w:r>
      <w:r>
        <w:rPr>
          <w:rFonts w:hint="eastAsia"/>
          <w:highlight w:val="none"/>
        </w:rPr>
        <w:t>）满足电缆通道（不小于</w:t>
      </w:r>
      <w:r>
        <w:rPr>
          <w:highlight w:val="none"/>
        </w:rPr>
        <w:t>20mm</w:t>
      </w:r>
      <w:r>
        <w:rPr>
          <w:rFonts w:hint="eastAsia"/>
          <w:highlight w:val="none"/>
        </w:rPr>
        <w:t>）及相应电气配置所需元器件布局及接线要求。</w:t>
      </w:r>
      <w:r>
        <w:rPr>
          <w:highlight w:val="none"/>
        </w:rPr>
        <w:t xml:space="preserve"> </w:t>
      </w:r>
    </w:p>
    <w:p>
      <w:pPr>
        <w:spacing w:line="360" w:lineRule="auto"/>
        <w:ind w:firstLine="420"/>
        <w:rPr>
          <w:highlight w:val="none"/>
        </w:rPr>
      </w:pPr>
      <w:r>
        <w:rPr>
          <w:rFonts w:hint="eastAsia"/>
          <w:highlight w:val="none"/>
        </w:rPr>
        <w:t>5</w:t>
      </w:r>
      <w:r>
        <w:rPr>
          <w:highlight w:val="none"/>
        </w:rPr>
        <w:t xml:space="preserve">) </w:t>
      </w:r>
      <w:r>
        <w:rPr>
          <w:rFonts w:hint="eastAsia"/>
          <w:highlight w:val="none"/>
        </w:rPr>
        <w:t>多表位计量表箱：</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高度（</w:t>
      </w:r>
      <w:r>
        <w:rPr>
          <w:highlight w:val="none"/>
        </w:rPr>
        <w:t>H</w:t>
      </w:r>
      <w:r>
        <w:rPr>
          <w:rFonts w:hint="eastAsia"/>
          <w:highlight w:val="none"/>
        </w:rPr>
        <w:t>）满足接线空间及相应计量表箱结构型式需求：下进电缆直接接入进线开关上桩头时，其接线垂直空间分别不小于</w:t>
      </w:r>
      <w:r>
        <w:rPr>
          <w:highlight w:val="none"/>
        </w:rPr>
        <w:t>300mm</w:t>
      </w:r>
      <w:r>
        <w:rPr>
          <w:rFonts w:hint="eastAsia"/>
          <w:highlight w:val="none"/>
        </w:rPr>
        <w:t>（三排结构）、</w:t>
      </w:r>
      <w:r>
        <w:rPr>
          <w:highlight w:val="none"/>
        </w:rPr>
        <w:t>250mm</w:t>
      </w:r>
      <w:r>
        <w:rPr>
          <w:rFonts w:hint="eastAsia"/>
          <w:highlight w:val="none"/>
        </w:rPr>
        <w:t>（二排结构）；出线室出线接线垂直空间不小于</w:t>
      </w:r>
      <w:r>
        <w:rPr>
          <w:highlight w:val="none"/>
        </w:rPr>
        <w:t>70mm</w:t>
      </w:r>
      <w:r>
        <w:rPr>
          <w:rFonts w:hint="eastAsia"/>
          <w:highlight w:val="none"/>
        </w:rPr>
        <w:t>；</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深度（</w:t>
      </w:r>
      <w:r>
        <w:rPr>
          <w:highlight w:val="none"/>
        </w:rPr>
        <w:t>D</w:t>
      </w:r>
      <w:r>
        <w:rPr>
          <w:rFonts w:hint="eastAsia"/>
          <w:highlight w:val="none"/>
        </w:rPr>
        <w:t>）满足电能表、箱内锁体及铰链、电气开关等安装所需间距及开关跳闸空间需求；</w:t>
      </w:r>
      <w:r>
        <w:rPr>
          <w:highlight w:val="none"/>
        </w:rPr>
        <w:t xml:space="preserve"> </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宽度（</w:t>
      </w:r>
      <w:r>
        <w:rPr>
          <w:highlight w:val="none"/>
        </w:rPr>
        <w:t>W</w:t>
      </w:r>
      <w:r>
        <w:rPr>
          <w:rFonts w:hint="eastAsia"/>
          <w:highlight w:val="none"/>
        </w:rPr>
        <w:t>）：进线室宽度（</w:t>
      </w:r>
      <w:r>
        <w:rPr>
          <w:highlight w:val="none"/>
        </w:rPr>
        <w:t>W1</w:t>
      </w:r>
      <w:r>
        <w:rPr>
          <w:rFonts w:hint="eastAsia"/>
          <w:highlight w:val="none"/>
        </w:rPr>
        <w:t>）满足电缆通道（一般不小于</w:t>
      </w:r>
      <w:r>
        <w:rPr>
          <w:highlight w:val="none"/>
        </w:rPr>
        <w:t>100mm</w:t>
      </w:r>
      <w:r>
        <w:rPr>
          <w:rFonts w:hint="eastAsia"/>
          <w:highlight w:val="none"/>
        </w:rPr>
        <w:t>）及相应电气配置所需元器件布局及接线要求；计量</w:t>
      </w:r>
      <w:r>
        <w:rPr>
          <w:highlight w:val="none"/>
        </w:rPr>
        <w:t>/</w:t>
      </w:r>
      <w:r>
        <w:rPr>
          <w:rFonts w:hint="eastAsia"/>
          <w:highlight w:val="none"/>
        </w:rPr>
        <w:t>出线室宽度（</w:t>
      </w:r>
      <w:r>
        <w:rPr>
          <w:highlight w:val="none"/>
        </w:rPr>
        <w:t>W2</w:t>
      </w:r>
      <w:r>
        <w:rPr>
          <w:rFonts w:hint="eastAsia"/>
          <w:highlight w:val="none"/>
        </w:rPr>
        <w:t>）满足</w:t>
      </w:r>
      <w:r>
        <w:rPr>
          <w:highlight w:val="none"/>
        </w:rPr>
        <w:t>6.6.1.6,b</w:t>
      </w:r>
      <w:r>
        <w:rPr>
          <w:rFonts w:hint="eastAsia"/>
          <w:highlight w:val="none"/>
        </w:rPr>
        <w:t>）中排布要求及相应出线开关排列宽度需求；</w:t>
      </w:r>
      <w:r>
        <w:rPr>
          <w:highlight w:val="none"/>
        </w:rPr>
        <w:t xml:space="preserve"> </w:t>
      </w:r>
    </w:p>
    <w:p>
      <w:pPr>
        <w:spacing w:line="360" w:lineRule="auto"/>
        <w:ind w:firstLine="630" w:firstLineChars="300"/>
        <w:rPr>
          <w:highlight w:val="none"/>
        </w:rPr>
      </w:pPr>
      <w:r>
        <w:rPr>
          <w:rFonts w:hint="eastAsia"/>
          <w:highlight w:val="none"/>
        </w:rPr>
        <w:t>d</w:t>
      </w:r>
      <w:r>
        <w:rPr>
          <w:highlight w:val="none"/>
        </w:rPr>
        <w:t xml:space="preserve">) </w:t>
      </w:r>
      <w:r>
        <w:rPr>
          <w:rFonts w:hint="eastAsia"/>
          <w:highlight w:val="none"/>
        </w:rPr>
        <w:t>水平开启方式的计量表箱门单门宽度不宜大于</w:t>
      </w:r>
      <w:r>
        <w:rPr>
          <w:highlight w:val="none"/>
        </w:rPr>
        <w:t>6</w:t>
      </w:r>
      <w:r>
        <w:rPr>
          <w:rFonts w:hint="eastAsia"/>
          <w:highlight w:val="none"/>
          <w:lang w:val="en-US" w:eastAsia="zh-CN"/>
        </w:rPr>
        <w:t>3</w:t>
      </w:r>
      <w:r>
        <w:rPr>
          <w:highlight w:val="none"/>
        </w:rPr>
        <w:t>0mm</w:t>
      </w:r>
      <w:r>
        <w:rPr>
          <w:rFonts w:hint="eastAsia"/>
          <w:highlight w:val="none"/>
        </w:rPr>
        <w:t>。</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54" w:name="_Toc28999"/>
      <w:r>
        <w:rPr>
          <w:rFonts w:hint="eastAsia" w:ascii="宋体" w:hAnsi="宋体"/>
          <w:kern w:val="44"/>
          <w:sz w:val="21"/>
          <w:szCs w:val="21"/>
          <w:highlight w:val="none"/>
          <w:shd w:val="clear" w:color="auto" w:fill="FFFFFF"/>
        </w:rPr>
        <w:t>外壳结构</w:t>
      </w:r>
      <w:bookmarkEnd w:id="154"/>
    </w:p>
    <w:p>
      <w:pPr>
        <w:spacing w:line="360" w:lineRule="auto"/>
        <w:ind w:firstLine="420"/>
        <w:rPr>
          <w:highlight w:val="none"/>
        </w:rPr>
      </w:pPr>
      <w:r>
        <w:rPr>
          <w:rFonts w:hint="eastAsia"/>
          <w:highlight w:val="none"/>
        </w:rPr>
        <w:t>计量表箱外壳结构应满足以下要求：</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外壳造型及结构满足相应防护等级要求并与安装配件、附件搭配相协调；</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多表位计量表箱箱体采用单元组合结构时，应具备与一体化结构相同的机械性能及整体工艺性；</w:t>
      </w:r>
      <w:r>
        <w:rPr>
          <w:highlight w:val="none"/>
        </w:rPr>
        <w:t xml:space="preserve"> </w:t>
      </w:r>
    </w:p>
    <w:p>
      <w:pPr>
        <w:spacing w:line="360" w:lineRule="auto"/>
        <w:ind w:firstLine="420"/>
        <w:rPr>
          <w:rFonts w:hint="eastAsia" w:eastAsia="宋体"/>
          <w:highlight w:val="none"/>
          <w:lang w:eastAsia="zh-CN"/>
        </w:rPr>
      </w:pPr>
      <w:r>
        <w:rPr>
          <w:rFonts w:hint="eastAsia"/>
          <w:highlight w:val="none"/>
        </w:rPr>
        <w:t>3</w:t>
      </w:r>
      <w:r>
        <w:rPr>
          <w:highlight w:val="none"/>
        </w:rPr>
        <w:t xml:space="preserve">) </w:t>
      </w:r>
      <w:r>
        <w:rPr>
          <w:rFonts w:hint="eastAsia"/>
          <w:highlight w:val="none"/>
        </w:rPr>
        <w:t>单表位计量表箱箱门可采用盒盖式门板或内铰链门板</w:t>
      </w:r>
      <w:r>
        <w:rPr>
          <w:rFonts w:hint="eastAsia"/>
          <w:highlight w:val="none"/>
          <w:lang w:eastAsia="zh-CN"/>
        </w:rPr>
        <w:t>，</w:t>
      </w:r>
      <w:r>
        <w:rPr>
          <w:rFonts w:hint="eastAsia"/>
          <w:highlight w:val="none"/>
        </w:rPr>
        <w:t>需预留操作空间</w:t>
      </w:r>
      <w:r>
        <w:rPr>
          <w:rFonts w:hint="eastAsia"/>
          <w:highlight w:val="none"/>
          <w:lang w:val="en-US" w:eastAsia="zh-CN"/>
        </w:rPr>
        <w:t>用于</w:t>
      </w:r>
      <w:r>
        <w:rPr>
          <w:rFonts w:hint="eastAsia"/>
          <w:highlight w:val="none"/>
        </w:rPr>
        <w:t>接表后线</w:t>
      </w:r>
      <w:r>
        <w:rPr>
          <w:rFonts w:hint="eastAsia"/>
          <w:highlight w:val="none"/>
          <w:lang w:eastAsia="zh-CN"/>
        </w:rPr>
        <w:t>；</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多表位计量箱门应采用内铰链门板：</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门板应具备通用性、互换性</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进线室门应采用单独的门板形式；</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出线室、计量室门采用一个门时，出线室应加设防护罩；</w:t>
      </w:r>
      <w:r>
        <w:rPr>
          <w:highlight w:val="none"/>
        </w:rPr>
        <w:t xml:space="preserve"> </w:t>
      </w:r>
    </w:p>
    <w:p>
      <w:pPr>
        <w:spacing w:line="360" w:lineRule="auto"/>
        <w:ind w:firstLine="630" w:firstLineChars="300"/>
        <w:rPr>
          <w:highlight w:val="none"/>
        </w:rPr>
      </w:pPr>
      <w:r>
        <w:rPr>
          <w:rFonts w:hint="eastAsia"/>
          <w:highlight w:val="none"/>
        </w:rPr>
        <w:t>d</w:t>
      </w:r>
      <w:r>
        <w:rPr>
          <w:highlight w:val="none"/>
        </w:rPr>
        <w:t xml:space="preserve">) </w:t>
      </w:r>
      <w:r>
        <w:rPr>
          <w:rFonts w:hint="eastAsia"/>
          <w:highlight w:val="none"/>
        </w:rPr>
        <w:t>箱门开启角度应大于</w:t>
      </w:r>
      <w:r>
        <w:rPr>
          <w:highlight w:val="none"/>
        </w:rPr>
        <w:t>90</w:t>
      </w:r>
      <w:r>
        <w:rPr>
          <w:rFonts w:hint="eastAsia"/>
          <w:highlight w:val="none"/>
        </w:rPr>
        <w:t>°，边门开启角度宜接近</w:t>
      </w:r>
      <w:r>
        <w:rPr>
          <w:highlight w:val="none"/>
        </w:rPr>
        <w:t>180</w:t>
      </w:r>
      <w:r>
        <w:rPr>
          <w:rFonts w:hint="eastAsia"/>
          <w:highlight w:val="none"/>
        </w:rPr>
        <w:t>°；</w:t>
      </w:r>
      <w:r>
        <w:rPr>
          <w:highlight w:val="none"/>
        </w:rPr>
        <w:t xml:space="preserve"> </w:t>
      </w:r>
    </w:p>
    <w:p>
      <w:pPr>
        <w:spacing w:line="360" w:lineRule="auto"/>
        <w:ind w:firstLine="630" w:firstLineChars="300"/>
        <w:rPr>
          <w:highlight w:val="none"/>
        </w:rPr>
      </w:pPr>
      <w:r>
        <w:rPr>
          <w:rFonts w:hint="eastAsia"/>
          <w:highlight w:val="none"/>
        </w:rPr>
        <w:t>e</w:t>
      </w:r>
      <w:r>
        <w:rPr>
          <w:highlight w:val="none"/>
        </w:rPr>
        <w:t xml:space="preserve">) </w:t>
      </w:r>
      <w:r>
        <w:rPr>
          <w:rFonts w:hint="eastAsia"/>
          <w:highlight w:val="none"/>
        </w:rPr>
        <w:t>箱门门锁安装位置不宜超过箱体高度</w:t>
      </w:r>
      <w:r>
        <w:rPr>
          <w:highlight w:val="none"/>
        </w:rPr>
        <w:t>1/2</w:t>
      </w:r>
      <w:r>
        <w:rPr>
          <w:rFonts w:hint="eastAsia"/>
          <w:highlight w:val="none"/>
        </w:rPr>
        <w:t>；</w:t>
      </w:r>
      <w:r>
        <w:rPr>
          <w:highlight w:val="none"/>
        </w:rPr>
        <w:t xml:space="preserve"> </w:t>
      </w:r>
    </w:p>
    <w:p>
      <w:pPr>
        <w:spacing w:line="360" w:lineRule="auto"/>
        <w:ind w:firstLine="630" w:firstLineChars="300"/>
        <w:rPr>
          <w:highlight w:val="none"/>
        </w:rPr>
      </w:pPr>
      <w:r>
        <w:rPr>
          <w:rFonts w:hint="eastAsia"/>
          <w:highlight w:val="none"/>
        </w:rPr>
        <w:t>f</w:t>
      </w:r>
      <w:r>
        <w:rPr>
          <w:highlight w:val="none"/>
        </w:rPr>
        <w:t xml:space="preserve">) </w:t>
      </w:r>
      <w:r>
        <w:rPr>
          <w:rFonts w:hint="eastAsia"/>
          <w:highlight w:val="none"/>
        </w:rPr>
        <w:t>门框宽度大于</w:t>
      </w:r>
      <w:r>
        <w:rPr>
          <w:highlight w:val="none"/>
        </w:rPr>
        <w:t>6</w:t>
      </w:r>
      <w:r>
        <w:rPr>
          <w:rFonts w:hint="eastAsia"/>
          <w:highlight w:val="none"/>
          <w:lang w:val="en-US" w:eastAsia="zh-CN"/>
        </w:rPr>
        <w:t>3</w:t>
      </w:r>
      <w:r>
        <w:rPr>
          <w:highlight w:val="none"/>
        </w:rPr>
        <w:t>0mm</w:t>
      </w:r>
      <w:r>
        <w:rPr>
          <w:rFonts w:hint="eastAsia"/>
          <w:highlight w:val="none"/>
        </w:rPr>
        <w:t>时应考虑开启空间影响，应采用多门或选用其它开启方式</w:t>
      </w:r>
      <w:r>
        <w:rPr>
          <w:highlight w:val="none"/>
        </w:rPr>
        <w:t>;</w:t>
      </w:r>
      <w:r>
        <w:rPr>
          <w:rFonts w:hint="eastAsia"/>
          <w:highlight w:val="none"/>
        </w:rPr>
        <w:t>当采用多门方式时观察窗边框相对于门缝应对称。</w:t>
      </w:r>
      <w:r>
        <w:rPr>
          <w:highlight w:val="none"/>
        </w:rPr>
        <w:t xml:space="preserve"> </w:t>
      </w:r>
    </w:p>
    <w:p>
      <w:pPr>
        <w:spacing w:line="360" w:lineRule="auto"/>
        <w:ind w:firstLine="420"/>
        <w:rPr>
          <w:highlight w:val="none"/>
        </w:rPr>
      </w:pPr>
      <w:r>
        <w:rPr>
          <w:rFonts w:hint="eastAsia"/>
          <w:highlight w:val="none"/>
        </w:rPr>
        <w:t>5</w:t>
      </w:r>
      <w:r>
        <w:rPr>
          <w:highlight w:val="none"/>
        </w:rPr>
        <w:t xml:space="preserve">) </w:t>
      </w:r>
      <w:r>
        <w:rPr>
          <w:rFonts w:hint="eastAsia"/>
          <w:highlight w:val="none"/>
        </w:rPr>
        <w:t>覆盖进线开关、出线开关的箱门应有相应操作手柄防护盖（门），出线开关的防护盖（门）应有相应户号粘贴槽、模压序号标识（或序号标贴）；</w:t>
      </w:r>
      <w:r>
        <w:rPr>
          <w:highlight w:val="none"/>
        </w:rPr>
        <w:t xml:space="preserve"> </w:t>
      </w:r>
    </w:p>
    <w:p>
      <w:pPr>
        <w:spacing w:line="360" w:lineRule="auto"/>
        <w:ind w:firstLine="420"/>
        <w:rPr>
          <w:rFonts w:hint="eastAsia"/>
          <w:highlight w:val="none"/>
        </w:rPr>
      </w:pPr>
      <w:r>
        <w:rPr>
          <w:rFonts w:hint="eastAsia"/>
          <w:highlight w:val="none"/>
          <w:lang w:val="en-US" w:eastAsia="zh-CN"/>
        </w:rPr>
        <w:t>6</w:t>
      </w:r>
      <w:r>
        <w:rPr>
          <w:highlight w:val="none"/>
        </w:rPr>
        <w:t xml:space="preserve">) </w:t>
      </w:r>
      <w:r>
        <w:rPr>
          <w:rFonts w:hint="eastAsia"/>
          <w:highlight w:val="none"/>
        </w:rPr>
        <w:t>计量表箱箱体</w:t>
      </w:r>
      <w:r>
        <w:rPr>
          <w:rFonts w:hint="eastAsia"/>
          <w:highlight w:val="none"/>
          <w:lang w:val="en-US" w:eastAsia="zh-CN"/>
        </w:rPr>
        <w:t>正面左侧</w:t>
      </w:r>
      <w:r>
        <w:rPr>
          <w:rFonts w:hint="eastAsia"/>
          <w:highlight w:val="none"/>
        </w:rPr>
        <w:t>底端应有铭牌安装槽，并安装不锈钢铭牌，尺寸为45mm×75mm，其字符、条码应采用激光或化学加工工艺；</w:t>
      </w:r>
    </w:p>
    <w:p>
      <w:pPr>
        <w:spacing w:line="360" w:lineRule="auto"/>
        <w:ind w:firstLine="420"/>
        <w:rPr>
          <w:highlight w:val="none"/>
        </w:rPr>
      </w:pPr>
      <w:r>
        <w:rPr>
          <w:rFonts w:hint="eastAsia"/>
          <w:highlight w:val="none"/>
          <w:lang w:val="en-US" w:eastAsia="zh-CN"/>
        </w:rPr>
        <w:t>7</w:t>
      </w:r>
      <w:r>
        <w:rPr>
          <w:highlight w:val="none"/>
        </w:rPr>
        <w:t xml:space="preserve">) </w:t>
      </w:r>
      <w:r>
        <w:rPr>
          <w:rFonts w:hint="eastAsia"/>
          <w:highlight w:val="none"/>
        </w:rPr>
        <w:t>计量表箱封印、资产条码（</w:t>
      </w:r>
      <w:r>
        <w:rPr>
          <w:highlight w:val="none"/>
        </w:rPr>
        <w:t>RFID</w:t>
      </w:r>
      <w:r>
        <w:rPr>
          <w:rFonts w:hint="eastAsia"/>
          <w:highlight w:val="none"/>
        </w:rPr>
        <w:t>）安装区空间应满足常规识读器近距离识读需求；</w:t>
      </w:r>
      <w:r>
        <w:rPr>
          <w:highlight w:val="none"/>
        </w:rPr>
        <w:t xml:space="preserve"> </w:t>
      </w:r>
    </w:p>
    <w:p>
      <w:pPr>
        <w:spacing w:line="360" w:lineRule="auto"/>
        <w:ind w:firstLine="420"/>
        <w:rPr>
          <w:highlight w:val="none"/>
        </w:rPr>
      </w:pPr>
      <w:r>
        <w:rPr>
          <w:rFonts w:hint="eastAsia"/>
          <w:highlight w:val="none"/>
          <w:lang w:val="en-US" w:eastAsia="zh-CN"/>
        </w:rPr>
        <w:t>8</w:t>
      </w:r>
      <w:r>
        <w:rPr>
          <w:highlight w:val="none"/>
        </w:rPr>
        <w:t xml:space="preserve">) </w:t>
      </w:r>
      <w:r>
        <w:rPr>
          <w:rFonts w:hint="eastAsia"/>
          <w:highlight w:val="none"/>
        </w:rPr>
        <w:t>计量表箱门板应印制警示语及相应符号、企标、服务语等标识；其标识符号大小、位置与相应计量表箱外壳相匹配、协调；具体详见附录D 外观标识样式图；</w:t>
      </w:r>
    </w:p>
    <w:p>
      <w:pPr>
        <w:spacing w:line="360" w:lineRule="auto"/>
        <w:ind w:firstLine="420"/>
        <w:rPr>
          <w:highlight w:val="none"/>
        </w:rPr>
      </w:pPr>
      <w:r>
        <w:rPr>
          <w:rFonts w:hint="eastAsia"/>
          <w:highlight w:val="none"/>
          <w:lang w:val="en-US" w:eastAsia="zh-CN"/>
        </w:rPr>
        <w:t>9</w:t>
      </w:r>
      <w:r>
        <w:rPr>
          <w:highlight w:val="none"/>
        </w:rPr>
        <w:t xml:space="preserve">) </w:t>
      </w:r>
      <w:r>
        <w:rPr>
          <w:rFonts w:hint="eastAsia"/>
          <w:highlight w:val="none"/>
        </w:rPr>
        <w:t>计量表箱门锁应采用铝合金、不锈钢材料门锁：</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门锁可采用挂锁、螺钉锁、平面锁、电子锁；</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螺钉锁螺钉、平面锁锁芯应有相应防护盖，其型式为塑料卡扣式封印、锁芯专用遮挡盖：采用锁芯专用遮挡盖时，其上应有直径不小于</w:t>
      </w:r>
      <w:r>
        <w:rPr>
          <w:highlight w:val="none"/>
        </w:rPr>
        <w:t>2mm</w:t>
      </w:r>
      <w:r>
        <w:rPr>
          <w:rFonts w:hint="eastAsia"/>
          <w:highlight w:val="none"/>
        </w:rPr>
        <w:t>的穿线封印加封孔；</w:t>
      </w:r>
      <w:r>
        <w:rPr>
          <w:highlight w:val="none"/>
        </w:rPr>
        <w:t xml:space="preserve"> </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单表位计量表箱宜采用螺钉锁；多表位计量表箱宜采用平面式带锁鼻把手锁；</w:t>
      </w:r>
      <w:r>
        <w:rPr>
          <w:highlight w:val="none"/>
        </w:rPr>
        <w:t xml:space="preserve"> </w:t>
      </w:r>
    </w:p>
    <w:p>
      <w:pPr>
        <w:spacing w:line="360" w:lineRule="auto"/>
        <w:ind w:firstLine="630" w:firstLineChars="300"/>
        <w:rPr>
          <w:highlight w:val="none"/>
        </w:rPr>
      </w:pPr>
      <w:r>
        <w:rPr>
          <w:rFonts w:hint="eastAsia"/>
          <w:highlight w:val="none"/>
        </w:rPr>
        <w:t>d</w:t>
      </w:r>
      <w:r>
        <w:rPr>
          <w:highlight w:val="none"/>
        </w:rPr>
        <w:t xml:space="preserve">) </w:t>
      </w:r>
      <w:r>
        <w:rPr>
          <w:rFonts w:hint="eastAsia"/>
          <w:highlight w:val="none"/>
        </w:rPr>
        <w:t>同一区域宜配置同型号门锁，钥匙具备通用性、互换性。</w:t>
      </w:r>
      <w:r>
        <w:rPr>
          <w:highlight w:val="none"/>
        </w:rPr>
        <w:t xml:space="preserve"> </w:t>
      </w:r>
    </w:p>
    <w:p>
      <w:pPr>
        <w:spacing w:line="360" w:lineRule="auto"/>
        <w:ind w:firstLine="420"/>
        <w:rPr>
          <w:highlight w:val="none"/>
        </w:rPr>
      </w:pPr>
      <w:r>
        <w:rPr>
          <w:rFonts w:hint="eastAsia"/>
          <w:highlight w:val="none"/>
        </w:rPr>
        <w:t>1</w:t>
      </w:r>
      <w:r>
        <w:rPr>
          <w:rFonts w:hint="eastAsia"/>
          <w:highlight w:val="none"/>
          <w:lang w:val="en-US" w:eastAsia="zh-CN"/>
        </w:rPr>
        <w:t>0</w:t>
      </w:r>
      <w:r>
        <w:rPr>
          <w:highlight w:val="none"/>
        </w:rPr>
        <w:t xml:space="preserve">) </w:t>
      </w:r>
      <w:r>
        <w:rPr>
          <w:rFonts w:hint="eastAsia"/>
          <w:highlight w:val="none"/>
        </w:rPr>
        <w:t>计量表箱外壳工艺及造型应美观：</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外壳加工符合相应加工工艺规范；</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外壳材料（质）及颜色见表3、表6；计量表箱门、箱底可分别选用不同材料，但应保持整体及外观的协调一致；</w:t>
      </w:r>
      <w:r>
        <w:rPr>
          <w:highlight w:val="none"/>
        </w:rPr>
        <w:t xml:space="preserve"> </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外壳表面或涂敷层为磨砂、亚光，其色泽、漆膜应均匀，无影响美观及使用的缺陷；同一批次产品无色差；</w:t>
      </w:r>
      <w:r>
        <w:rPr>
          <w:highlight w:val="none"/>
        </w:rPr>
        <w:t xml:space="preserve"> </w:t>
      </w:r>
    </w:p>
    <w:p>
      <w:pPr>
        <w:spacing w:line="360" w:lineRule="auto"/>
        <w:ind w:firstLine="630" w:firstLineChars="300"/>
        <w:rPr>
          <w:highlight w:val="none"/>
        </w:rPr>
      </w:pPr>
      <w:r>
        <w:rPr>
          <w:rFonts w:hint="eastAsia"/>
          <w:highlight w:val="none"/>
        </w:rPr>
        <w:t>d</w:t>
      </w:r>
      <w:r>
        <w:rPr>
          <w:highlight w:val="none"/>
        </w:rPr>
        <w:t xml:space="preserve">) </w:t>
      </w:r>
      <w:r>
        <w:rPr>
          <w:rFonts w:hint="eastAsia"/>
          <w:highlight w:val="none"/>
        </w:rPr>
        <w:t>外观标识印制应清晰、美观；</w:t>
      </w:r>
      <w:r>
        <w:rPr>
          <w:highlight w:val="none"/>
        </w:rPr>
        <w:t xml:space="preserve"> </w:t>
      </w:r>
    </w:p>
    <w:p>
      <w:pPr>
        <w:spacing w:line="360" w:lineRule="auto"/>
        <w:ind w:firstLine="630" w:firstLineChars="300"/>
        <w:rPr>
          <w:highlight w:val="none"/>
        </w:rPr>
      </w:pPr>
      <w:r>
        <w:rPr>
          <w:rFonts w:hint="eastAsia"/>
          <w:highlight w:val="none"/>
        </w:rPr>
        <w:t>e</w:t>
      </w:r>
      <w:r>
        <w:rPr>
          <w:highlight w:val="none"/>
        </w:rPr>
        <w:t xml:space="preserve">) </w:t>
      </w:r>
      <w:r>
        <w:rPr>
          <w:rFonts w:hint="eastAsia"/>
          <w:highlight w:val="none"/>
        </w:rPr>
        <w:t>门边交接结构应满足防护等级要求，缝隙均匀，安装后的门不应有水平及垂直方向晃动、变形现象，同一安装面的计量表箱门在闭合状态下应在同一平面上。</w:t>
      </w:r>
      <w:r>
        <w:rPr>
          <w:highlight w:val="none"/>
        </w:rPr>
        <w:t xml:space="preserve"> </w:t>
      </w:r>
    </w:p>
    <w:p>
      <w:pPr>
        <w:pStyle w:val="156"/>
        <w:numPr>
          <w:ilvl w:val="0"/>
          <w:numId w:val="26"/>
        </w:numPr>
        <w:spacing w:before="120" w:beforeLines="50" w:after="240" w:afterLines="100"/>
        <w:ind w:left="357" w:hanging="357"/>
        <w:jc w:val="center"/>
        <w:rPr>
          <w:rFonts w:ascii="黑体" w:hAnsi="黑体" w:eastAsia="黑体"/>
          <w:b/>
          <w:color w:val="auto"/>
          <w:sz w:val="21"/>
          <w:szCs w:val="21"/>
          <w:highlight w:val="none"/>
        </w:rPr>
      </w:pPr>
      <w:r>
        <w:rPr>
          <w:rFonts w:hint="eastAsia" w:ascii="黑体" w:hAnsi="黑体" w:eastAsia="黑体"/>
          <w:b/>
          <w:color w:val="auto"/>
          <w:sz w:val="21"/>
          <w:szCs w:val="21"/>
          <w:highlight w:val="none"/>
        </w:rPr>
        <w:t>表6 计量表箱外壳颜色配置表</w:t>
      </w:r>
    </w:p>
    <w:tbl>
      <w:tblPr>
        <w:tblStyle w:val="43"/>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559"/>
        <w:gridCol w:w="1737"/>
        <w:gridCol w:w="3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0" w:type="dxa"/>
            <w:gridSpan w:val="2"/>
            <w:noWrap w:val="0"/>
            <w:vAlign w:val="center"/>
          </w:tcPr>
          <w:p>
            <w:pPr>
              <w:spacing w:line="360" w:lineRule="auto"/>
              <w:jc w:val="center"/>
              <w:rPr>
                <w:szCs w:val="21"/>
                <w:highlight w:val="none"/>
              </w:rPr>
            </w:pPr>
            <w:r>
              <w:rPr>
                <w:rFonts w:hint="eastAsia"/>
                <w:szCs w:val="21"/>
                <w:highlight w:val="none"/>
              </w:rPr>
              <w:t>结构件</w:t>
            </w:r>
          </w:p>
        </w:tc>
        <w:tc>
          <w:tcPr>
            <w:tcW w:w="1737" w:type="dxa"/>
            <w:noWrap w:val="0"/>
            <w:vAlign w:val="center"/>
          </w:tcPr>
          <w:p>
            <w:pPr>
              <w:spacing w:line="360" w:lineRule="auto"/>
              <w:jc w:val="center"/>
              <w:rPr>
                <w:szCs w:val="21"/>
                <w:highlight w:val="none"/>
              </w:rPr>
            </w:pPr>
            <w:r>
              <w:rPr>
                <w:rFonts w:hint="eastAsia"/>
                <w:szCs w:val="21"/>
                <w:highlight w:val="none"/>
              </w:rPr>
              <w:t>颜色</w:t>
            </w:r>
          </w:p>
        </w:tc>
        <w:tc>
          <w:tcPr>
            <w:tcW w:w="3792" w:type="dxa"/>
            <w:noWrap w:val="0"/>
            <w:vAlign w:val="center"/>
          </w:tcPr>
          <w:p>
            <w:pPr>
              <w:spacing w:line="360" w:lineRule="auto"/>
              <w:jc w:val="center"/>
              <w:rPr>
                <w:szCs w:val="21"/>
                <w:highlight w:val="none"/>
              </w:rPr>
            </w:pPr>
            <w:r>
              <w:rPr>
                <w:rFonts w:hint="eastAsia"/>
                <w:szCs w:val="21"/>
                <w:highlight w:val="none"/>
              </w:rPr>
              <w:t>色卡号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Merge w:val="restart"/>
            <w:noWrap w:val="0"/>
            <w:vAlign w:val="center"/>
          </w:tcPr>
          <w:p>
            <w:pPr>
              <w:spacing w:line="360" w:lineRule="auto"/>
              <w:jc w:val="center"/>
              <w:rPr>
                <w:szCs w:val="21"/>
                <w:highlight w:val="none"/>
              </w:rPr>
            </w:pPr>
            <w:r>
              <w:rPr>
                <w:rFonts w:hint="eastAsia"/>
                <w:szCs w:val="21"/>
                <w:highlight w:val="none"/>
              </w:rPr>
              <w:t>外壳涂敷层、材质</w:t>
            </w:r>
          </w:p>
        </w:tc>
        <w:tc>
          <w:tcPr>
            <w:tcW w:w="1559" w:type="dxa"/>
            <w:noWrap w:val="0"/>
            <w:vAlign w:val="center"/>
          </w:tcPr>
          <w:p>
            <w:pPr>
              <w:spacing w:line="360" w:lineRule="auto"/>
              <w:jc w:val="center"/>
              <w:rPr>
                <w:szCs w:val="21"/>
                <w:highlight w:val="none"/>
              </w:rPr>
            </w:pPr>
            <w:r>
              <w:rPr>
                <w:rFonts w:hint="eastAsia"/>
                <w:szCs w:val="21"/>
                <w:highlight w:val="none"/>
              </w:rPr>
              <w:t>上盖</w:t>
            </w:r>
          </w:p>
        </w:tc>
        <w:tc>
          <w:tcPr>
            <w:tcW w:w="1737" w:type="dxa"/>
            <w:noWrap w:val="0"/>
            <w:vAlign w:val="center"/>
          </w:tcPr>
          <w:p>
            <w:pPr>
              <w:spacing w:line="360" w:lineRule="auto"/>
              <w:jc w:val="center"/>
              <w:rPr>
                <w:szCs w:val="21"/>
                <w:highlight w:val="none"/>
              </w:rPr>
            </w:pPr>
            <w:r>
              <w:rPr>
                <w:rFonts w:hint="eastAsia"/>
                <w:szCs w:val="21"/>
                <w:highlight w:val="none"/>
              </w:rPr>
              <w:t>透明</w:t>
            </w:r>
          </w:p>
        </w:tc>
        <w:tc>
          <w:tcPr>
            <w:tcW w:w="3792" w:type="dxa"/>
            <w:noWrap w:val="0"/>
            <w:vAlign w:val="center"/>
          </w:tcPr>
          <w:p>
            <w:pPr>
              <w:spacing w:line="360" w:lineRule="auto"/>
              <w:jc w:val="center"/>
              <w:rPr>
                <w:szCs w:val="21"/>
                <w:highlight w:val="none"/>
              </w:rPr>
            </w:pPr>
            <w:r>
              <w:rPr>
                <w:rFonts w:hint="eastAsia"/>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Merge w:val="continue"/>
            <w:noWrap w:val="0"/>
            <w:vAlign w:val="center"/>
          </w:tcPr>
          <w:p>
            <w:pPr>
              <w:spacing w:line="360" w:lineRule="auto"/>
              <w:jc w:val="center"/>
              <w:rPr>
                <w:szCs w:val="21"/>
                <w:highlight w:val="none"/>
              </w:rPr>
            </w:pPr>
          </w:p>
        </w:tc>
        <w:tc>
          <w:tcPr>
            <w:tcW w:w="1559" w:type="dxa"/>
            <w:noWrap w:val="0"/>
            <w:vAlign w:val="center"/>
          </w:tcPr>
          <w:p>
            <w:pPr>
              <w:spacing w:line="360" w:lineRule="auto"/>
              <w:jc w:val="center"/>
              <w:rPr>
                <w:szCs w:val="21"/>
                <w:highlight w:val="none"/>
              </w:rPr>
            </w:pPr>
            <w:r>
              <w:rPr>
                <w:rFonts w:hint="eastAsia"/>
                <w:szCs w:val="21"/>
                <w:highlight w:val="none"/>
              </w:rPr>
              <w:t>底座</w:t>
            </w:r>
          </w:p>
        </w:tc>
        <w:tc>
          <w:tcPr>
            <w:tcW w:w="1737" w:type="dxa"/>
            <w:noWrap w:val="0"/>
            <w:vAlign w:val="center"/>
          </w:tcPr>
          <w:p>
            <w:pPr>
              <w:spacing w:line="360" w:lineRule="auto"/>
              <w:jc w:val="center"/>
              <w:rPr>
                <w:szCs w:val="21"/>
                <w:highlight w:val="none"/>
              </w:rPr>
            </w:pPr>
            <w:r>
              <w:rPr>
                <w:rFonts w:hint="eastAsia"/>
                <w:szCs w:val="21"/>
                <w:highlight w:val="none"/>
              </w:rPr>
              <w:t>灰色</w:t>
            </w:r>
          </w:p>
        </w:tc>
        <w:tc>
          <w:tcPr>
            <w:tcW w:w="3792" w:type="dxa"/>
            <w:noWrap w:val="0"/>
            <w:vAlign w:val="center"/>
          </w:tcPr>
          <w:p>
            <w:pPr>
              <w:spacing w:line="360" w:lineRule="auto"/>
              <w:jc w:val="center"/>
              <w:rPr>
                <w:szCs w:val="21"/>
                <w:highlight w:val="none"/>
              </w:rPr>
            </w:pPr>
            <w:r>
              <w:rPr>
                <w:rFonts w:hint="eastAsia"/>
                <w:highlight w:val="none"/>
              </w:rPr>
              <w:t>ral7035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Merge w:val="restart"/>
            <w:noWrap w:val="0"/>
            <w:vAlign w:val="center"/>
          </w:tcPr>
          <w:p>
            <w:pPr>
              <w:spacing w:line="360" w:lineRule="auto"/>
              <w:jc w:val="center"/>
              <w:rPr>
                <w:szCs w:val="21"/>
                <w:highlight w:val="none"/>
              </w:rPr>
            </w:pPr>
            <w:r>
              <w:rPr>
                <w:rFonts w:hint="eastAsia"/>
                <w:szCs w:val="21"/>
                <w:highlight w:val="none"/>
              </w:rPr>
              <w:t>外壳丝印、装饰</w:t>
            </w:r>
          </w:p>
        </w:tc>
        <w:tc>
          <w:tcPr>
            <w:tcW w:w="1559" w:type="dxa"/>
            <w:noWrap w:val="0"/>
            <w:vAlign w:val="center"/>
          </w:tcPr>
          <w:p>
            <w:pPr>
              <w:spacing w:line="360" w:lineRule="auto"/>
              <w:jc w:val="center"/>
              <w:rPr>
                <w:szCs w:val="21"/>
                <w:highlight w:val="none"/>
              </w:rPr>
            </w:pPr>
            <w:r>
              <w:rPr>
                <w:rFonts w:hint="eastAsia"/>
                <w:szCs w:val="21"/>
                <w:highlight w:val="none"/>
              </w:rPr>
              <w:t>警示语</w:t>
            </w:r>
          </w:p>
        </w:tc>
        <w:tc>
          <w:tcPr>
            <w:tcW w:w="1737" w:type="dxa"/>
            <w:noWrap w:val="0"/>
            <w:vAlign w:val="center"/>
          </w:tcPr>
          <w:p>
            <w:pPr>
              <w:spacing w:line="360" w:lineRule="auto"/>
              <w:jc w:val="center"/>
              <w:rPr>
                <w:szCs w:val="21"/>
                <w:highlight w:val="none"/>
              </w:rPr>
            </w:pPr>
            <w:r>
              <w:rPr>
                <w:rFonts w:hint="eastAsia"/>
                <w:szCs w:val="24"/>
                <w:highlight w:val="none"/>
              </w:rPr>
              <w:t>/</w:t>
            </w:r>
          </w:p>
        </w:tc>
        <w:tc>
          <w:tcPr>
            <w:tcW w:w="3792" w:type="dxa"/>
            <w:noWrap w:val="0"/>
            <w:vAlign w:val="center"/>
          </w:tcPr>
          <w:p>
            <w:pPr>
              <w:spacing w:line="360" w:lineRule="auto"/>
              <w:jc w:val="center"/>
              <w:rPr>
                <w:szCs w:val="21"/>
                <w:highlight w:val="none"/>
              </w:rPr>
            </w:pPr>
            <w:bookmarkStart w:id="155" w:name="OLE_LINK126"/>
            <w:bookmarkStart w:id="156" w:name="OLE_LINK127"/>
            <w:r>
              <w:rPr>
                <w:rFonts w:hint="eastAsia"/>
                <w:highlight w:val="none"/>
              </w:rPr>
              <w:t>见：低压费控计量表箱统一标识规范</w:t>
            </w:r>
            <w:bookmarkEnd w:id="155"/>
            <w:bookmarkEnd w:id="1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Merge w:val="continue"/>
            <w:noWrap w:val="0"/>
            <w:vAlign w:val="center"/>
          </w:tcPr>
          <w:p>
            <w:pPr>
              <w:spacing w:line="360" w:lineRule="auto"/>
              <w:rPr>
                <w:szCs w:val="21"/>
                <w:highlight w:val="none"/>
              </w:rPr>
            </w:pPr>
          </w:p>
        </w:tc>
        <w:tc>
          <w:tcPr>
            <w:tcW w:w="1559" w:type="dxa"/>
            <w:noWrap w:val="0"/>
            <w:vAlign w:val="center"/>
          </w:tcPr>
          <w:p>
            <w:pPr>
              <w:spacing w:line="360" w:lineRule="auto"/>
              <w:jc w:val="center"/>
              <w:rPr>
                <w:szCs w:val="21"/>
                <w:highlight w:val="none"/>
              </w:rPr>
            </w:pPr>
            <w:r>
              <w:rPr>
                <w:rFonts w:hint="eastAsia"/>
                <w:szCs w:val="21"/>
                <w:highlight w:val="none"/>
              </w:rPr>
              <w:t>提示语、标识</w:t>
            </w:r>
          </w:p>
        </w:tc>
        <w:tc>
          <w:tcPr>
            <w:tcW w:w="1737" w:type="dxa"/>
            <w:noWrap w:val="0"/>
            <w:vAlign w:val="center"/>
          </w:tcPr>
          <w:p>
            <w:pPr>
              <w:spacing w:line="360" w:lineRule="auto"/>
              <w:jc w:val="center"/>
              <w:rPr>
                <w:szCs w:val="21"/>
                <w:highlight w:val="none"/>
              </w:rPr>
            </w:pPr>
            <w:r>
              <w:rPr>
                <w:rFonts w:hint="eastAsia"/>
                <w:szCs w:val="24"/>
                <w:highlight w:val="none"/>
              </w:rPr>
              <w:t>/</w:t>
            </w:r>
          </w:p>
        </w:tc>
        <w:tc>
          <w:tcPr>
            <w:tcW w:w="3792" w:type="dxa"/>
            <w:noWrap w:val="0"/>
            <w:vAlign w:val="center"/>
          </w:tcPr>
          <w:p>
            <w:pPr>
              <w:spacing w:line="360" w:lineRule="auto"/>
              <w:jc w:val="center"/>
              <w:rPr>
                <w:szCs w:val="21"/>
                <w:highlight w:val="none"/>
              </w:rPr>
            </w:pPr>
            <w:r>
              <w:rPr>
                <w:rFonts w:hint="eastAsia"/>
                <w:highlight w:val="none"/>
              </w:rPr>
              <w:t>见：低压费控计量表箱统一标识规范</w:t>
            </w:r>
          </w:p>
        </w:tc>
      </w:tr>
    </w:tbl>
    <w:p>
      <w:pPr>
        <w:pStyle w:val="2"/>
        <w:keepLines/>
        <w:numPr>
          <w:ilvl w:val="0"/>
          <w:numId w:val="25"/>
        </w:numPr>
        <w:topLinePunct/>
        <w:adjustRightInd w:val="0"/>
        <w:spacing w:before="240" w:beforeLines="100" w:line="360" w:lineRule="auto"/>
        <w:rPr>
          <w:rFonts w:ascii="Times New Roman" w:hAnsi="Times New Roman"/>
          <w:b/>
          <w:w w:val="100"/>
          <w:kern w:val="44"/>
          <w:sz w:val="21"/>
          <w:szCs w:val="21"/>
          <w:highlight w:val="none"/>
          <w:shd w:val="clear" w:color="auto" w:fill="FFFFFF"/>
        </w:rPr>
      </w:pPr>
      <w:bookmarkStart w:id="157" w:name="_Toc23685"/>
      <w:r>
        <w:rPr>
          <w:rFonts w:hint="eastAsia" w:ascii="Times New Roman" w:hAnsi="Times New Roman"/>
          <w:b/>
          <w:w w:val="100"/>
          <w:kern w:val="44"/>
          <w:sz w:val="21"/>
          <w:szCs w:val="21"/>
          <w:highlight w:val="none"/>
          <w:shd w:val="clear" w:color="auto" w:fill="FFFFFF"/>
        </w:rPr>
        <w:t>试验项目及要求</w:t>
      </w:r>
      <w:bookmarkEnd w:id="157"/>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58" w:name="_Toc3837"/>
      <w:r>
        <w:rPr>
          <w:rFonts w:hint="eastAsia" w:ascii="宋体" w:hAnsi="宋体" w:eastAsia="宋体"/>
          <w:kern w:val="44"/>
          <w:sz w:val="21"/>
          <w:szCs w:val="21"/>
          <w:highlight w:val="none"/>
          <w:shd w:val="clear" w:color="auto" w:fill="FFFFFF"/>
        </w:rPr>
        <w:t>外观检查</w:t>
      </w:r>
      <w:bookmarkEnd w:id="158"/>
    </w:p>
    <w:p>
      <w:pPr>
        <w:spacing w:line="360" w:lineRule="auto"/>
        <w:ind w:firstLine="420"/>
        <w:rPr>
          <w:highlight w:val="none"/>
        </w:rPr>
      </w:pPr>
      <w:r>
        <w:rPr>
          <w:rFonts w:hint="eastAsia"/>
          <w:highlight w:val="none"/>
        </w:rPr>
        <w:t>对计量表箱结构与外观进行检查：</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功能结构、型式符合相应要求；</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外观及涂层平整应无脱层、气泡、流痕、划痕或凹凸不平等缺陷，颜色与色卡间无肉眼可观察之色差；</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标识、警示语、铭牌、电气图，应清晰、牢固、内容正确完整；</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计量表箱活动件、连接件，功能正常无缺陷；</w:t>
      </w:r>
      <w:r>
        <w:rPr>
          <w:highlight w:val="none"/>
        </w:rPr>
        <w:t xml:space="preserve"> </w:t>
      </w:r>
    </w:p>
    <w:p>
      <w:pPr>
        <w:spacing w:line="360" w:lineRule="auto"/>
        <w:ind w:firstLine="420"/>
        <w:rPr>
          <w:highlight w:val="none"/>
        </w:rPr>
      </w:pPr>
      <w:r>
        <w:rPr>
          <w:rFonts w:hint="eastAsia"/>
          <w:highlight w:val="none"/>
        </w:rPr>
        <w:t>5</w:t>
      </w:r>
      <w:r>
        <w:rPr>
          <w:highlight w:val="none"/>
        </w:rPr>
        <w:t xml:space="preserve">) </w:t>
      </w:r>
      <w:r>
        <w:rPr>
          <w:rFonts w:hint="eastAsia"/>
          <w:highlight w:val="none"/>
        </w:rPr>
        <w:t>计量表箱内：</w:t>
      </w:r>
      <w:r>
        <w:rPr>
          <w:highlight w:val="none"/>
        </w:rPr>
        <w:t xml:space="preserve"> </w:t>
      </w:r>
    </w:p>
    <w:p>
      <w:pPr>
        <w:spacing w:line="360" w:lineRule="auto"/>
        <w:ind w:firstLine="630" w:firstLineChars="300"/>
        <w:rPr>
          <w:highlight w:val="none"/>
        </w:rPr>
      </w:pPr>
      <w:r>
        <w:rPr>
          <w:rFonts w:hint="eastAsia"/>
          <w:highlight w:val="none"/>
        </w:rPr>
        <w:t>a</w:t>
      </w:r>
      <w:r>
        <w:rPr>
          <w:highlight w:val="none"/>
        </w:rPr>
        <w:t xml:space="preserve">) </w:t>
      </w:r>
      <w:r>
        <w:rPr>
          <w:rFonts w:hint="eastAsia"/>
          <w:highlight w:val="none"/>
        </w:rPr>
        <w:t>电气配置符合表5要求；</w:t>
      </w:r>
      <w:r>
        <w:rPr>
          <w:highlight w:val="none"/>
        </w:rPr>
        <w:t xml:space="preserve"> </w:t>
      </w:r>
    </w:p>
    <w:p>
      <w:pPr>
        <w:spacing w:line="360" w:lineRule="auto"/>
        <w:ind w:firstLine="630" w:firstLineChars="300"/>
        <w:rPr>
          <w:highlight w:val="none"/>
        </w:rPr>
      </w:pPr>
      <w:r>
        <w:rPr>
          <w:rFonts w:hint="eastAsia"/>
          <w:highlight w:val="none"/>
        </w:rPr>
        <w:t>b</w:t>
      </w:r>
      <w:r>
        <w:rPr>
          <w:highlight w:val="none"/>
        </w:rPr>
        <w:t xml:space="preserve">) </w:t>
      </w:r>
      <w:r>
        <w:rPr>
          <w:rFonts w:hint="eastAsia"/>
          <w:highlight w:val="none"/>
        </w:rPr>
        <w:t>电气附件、接线措施、备用接线点齐全；</w:t>
      </w:r>
      <w:r>
        <w:rPr>
          <w:highlight w:val="none"/>
        </w:rPr>
        <w:t xml:space="preserve"> </w:t>
      </w:r>
    </w:p>
    <w:p>
      <w:pPr>
        <w:spacing w:line="360" w:lineRule="auto"/>
        <w:ind w:firstLine="630" w:firstLineChars="300"/>
        <w:rPr>
          <w:highlight w:val="none"/>
        </w:rPr>
      </w:pPr>
      <w:r>
        <w:rPr>
          <w:rFonts w:hint="eastAsia"/>
          <w:highlight w:val="none"/>
        </w:rPr>
        <w:t>c</w:t>
      </w:r>
      <w:r>
        <w:rPr>
          <w:highlight w:val="none"/>
        </w:rPr>
        <w:t xml:space="preserve">) </w:t>
      </w:r>
      <w:r>
        <w:rPr>
          <w:rFonts w:hint="eastAsia"/>
          <w:highlight w:val="none"/>
        </w:rPr>
        <w:t>电能表、采集器、互感器、天线等安装定位措施应有效；</w:t>
      </w:r>
      <w:r>
        <w:rPr>
          <w:highlight w:val="none"/>
        </w:rPr>
        <w:t xml:space="preserve"> </w:t>
      </w:r>
    </w:p>
    <w:p>
      <w:pPr>
        <w:spacing w:line="360" w:lineRule="auto"/>
        <w:ind w:firstLine="630" w:firstLineChars="300"/>
        <w:rPr>
          <w:highlight w:val="none"/>
        </w:rPr>
      </w:pPr>
      <w:r>
        <w:rPr>
          <w:rFonts w:hint="eastAsia"/>
          <w:highlight w:val="none"/>
        </w:rPr>
        <w:t>d</w:t>
      </w:r>
      <w:r>
        <w:rPr>
          <w:highlight w:val="none"/>
        </w:rPr>
        <w:t xml:space="preserve">) </w:t>
      </w:r>
      <w:r>
        <w:rPr>
          <w:rFonts w:hint="eastAsia"/>
          <w:highlight w:val="none"/>
        </w:rPr>
        <w:t>电器排列及布线整齐、牢固、美观；</w:t>
      </w:r>
      <w:r>
        <w:rPr>
          <w:highlight w:val="none"/>
        </w:rPr>
        <w:t xml:space="preserve"> </w:t>
      </w:r>
    </w:p>
    <w:p>
      <w:pPr>
        <w:spacing w:line="360" w:lineRule="auto"/>
        <w:ind w:firstLine="630" w:firstLineChars="300"/>
        <w:rPr>
          <w:highlight w:val="none"/>
        </w:rPr>
      </w:pPr>
      <w:r>
        <w:rPr>
          <w:rFonts w:hint="eastAsia"/>
          <w:highlight w:val="none"/>
        </w:rPr>
        <w:t>e</w:t>
      </w:r>
      <w:r>
        <w:rPr>
          <w:highlight w:val="none"/>
        </w:rPr>
        <w:t xml:space="preserve">) </w:t>
      </w:r>
      <w:r>
        <w:rPr>
          <w:rFonts w:hint="eastAsia"/>
          <w:highlight w:val="none"/>
        </w:rPr>
        <w:t>导线连接点无多余裸露导体部分；电气、机械连接牢靠，接触良好、无松动；两个接线端之间的连接导线无中间接头；接线正确无差错；</w:t>
      </w:r>
      <w:r>
        <w:rPr>
          <w:highlight w:val="none"/>
        </w:rPr>
        <w:t xml:space="preserve"> </w:t>
      </w:r>
    </w:p>
    <w:p>
      <w:pPr>
        <w:spacing w:line="360" w:lineRule="auto"/>
        <w:ind w:firstLine="630" w:firstLineChars="300"/>
        <w:rPr>
          <w:highlight w:val="none"/>
        </w:rPr>
      </w:pPr>
      <w:r>
        <w:rPr>
          <w:rFonts w:hint="eastAsia"/>
          <w:highlight w:val="none"/>
        </w:rPr>
        <w:t>f</w:t>
      </w:r>
      <w:r>
        <w:rPr>
          <w:highlight w:val="none"/>
        </w:rPr>
        <w:t xml:space="preserve">) </w:t>
      </w:r>
      <w:r>
        <w:rPr>
          <w:rFonts w:hint="eastAsia"/>
          <w:highlight w:val="none"/>
        </w:rPr>
        <w:t>导线规格、颜色符合要求；标识齐全、清晰、无误；</w:t>
      </w:r>
      <w:r>
        <w:rPr>
          <w:highlight w:val="none"/>
        </w:rPr>
        <w:t xml:space="preserve"> </w:t>
      </w:r>
    </w:p>
    <w:p>
      <w:pPr>
        <w:spacing w:line="360" w:lineRule="auto"/>
        <w:ind w:firstLine="630" w:firstLineChars="300"/>
        <w:rPr>
          <w:highlight w:val="none"/>
        </w:rPr>
      </w:pPr>
      <w:r>
        <w:rPr>
          <w:rFonts w:hint="eastAsia"/>
          <w:highlight w:val="none"/>
        </w:rPr>
        <w:t>g）计量表箱内各设备的安装间距应符合本技术规范6.7.1.2节的要求。</w:t>
      </w:r>
    </w:p>
    <w:p>
      <w:pPr>
        <w:spacing w:line="360" w:lineRule="auto"/>
        <w:ind w:firstLine="420"/>
        <w:rPr>
          <w:highlight w:val="none"/>
        </w:rPr>
      </w:pPr>
      <w:r>
        <w:rPr>
          <w:rFonts w:hint="eastAsia"/>
          <w:highlight w:val="none"/>
        </w:rPr>
        <w:t>6</w:t>
      </w:r>
      <w:r>
        <w:rPr>
          <w:highlight w:val="none"/>
        </w:rPr>
        <w:t xml:space="preserve">) </w:t>
      </w:r>
      <w:r>
        <w:rPr>
          <w:rFonts w:hint="eastAsia"/>
          <w:highlight w:val="none"/>
        </w:rPr>
        <w:t>计量表箱门应配置门锁及加封机构，其设置应符合本技术规范6.7.1.3节的要求。</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59" w:name="_Toc27373"/>
      <w:r>
        <w:rPr>
          <w:rFonts w:hint="eastAsia" w:ascii="宋体" w:hAnsi="宋体" w:eastAsia="宋体"/>
          <w:kern w:val="44"/>
          <w:sz w:val="21"/>
          <w:szCs w:val="21"/>
          <w:highlight w:val="none"/>
          <w:shd w:val="clear" w:color="auto" w:fill="FFFFFF"/>
        </w:rPr>
        <w:t>结构尺寸及计量表箱配件检查</w:t>
      </w:r>
      <w:bookmarkEnd w:id="159"/>
    </w:p>
    <w:p>
      <w:pPr>
        <w:spacing w:line="360" w:lineRule="auto"/>
        <w:ind w:firstLine="420"/>
        <w:rPr>
          <w:highlight w:val="none"/>
        </w:rPr>
      </w:pPr>
      <w:r>
        <w:rPr>
          <w:rFonts w:hint="eastAsia"/>
          <w:highlight w:val="none"/>
        </w:rPr>
        <w:t>用相应长度计量器具测量计量表箱外壳几何尺寸、接线等空间距离，应满足相应要求。</w:t>
      </w:r>
      <w:r>
        <w:rPr>
          <w:highlight w:val="none"/>
        </w:rPr>
        <w:t xml:space="preserve"> </w:t>
      </w:r>
    </w:p>
    <w:p>
      <w:pPr>
        <w:spacing w:line="360" w:lineRule="auto"/>
        <w:ind w:firstLine="420"/>
        <w:rPr>
          <w:highlight w:val="none"/>
        </w:rPr>
      </w:pPr>
      <w:r>
        <w:rPr>
          <w:rFonts w:hint="eastAsia"/>
          <w:highlight w:val="none"/>
        </w:rPr>
        <w:t>计量表箱安装配件、附件应完整，且包装内合格证、安装说明书及相关资料应齐全。</w:t>
      </w:r>
      <w:r>
        <w:rPr>
          <w:highlight w:val="none"/>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60" w:name="_Toc19786"/>
      <w:bookmarkStart w:id="161" w:name="_Toc407271806"/>
      <w:r>
        <w:rPr>
          <w:rFonts w:hint="eastAsia" w:ascii="宋体" w:hAnsi="宋体" w:eastAsia="宋体"/>
          <w:kern w:val="44"/>
          <w:sz w:val="21"/>
          <w:szCs w:val="21"/>
          <w:highlight w:val="none"/>
          <w:shd w:val="clear" w:color="auto" w:fill="FFFFFF"/>
        </w:rPr>
        <w:t>材料性能试验</w:t>
      </w:r>
      <w:bookmarkEnd w:id="160"/>
      <w:bookmarkEnd w:id="161"/>
    </w:p>
    <w:p>
      <w:pPr>
        <w:pStyle w:val="4"/>
        <w:numPr>
          <w:ilvl w:val="2"/>
          <w:numId w:val="25"/>
        </w:numPr>
        <w:topLinePunct/>
        <w:adjustRightInd w:val="0"/>
        <w:spacing w:before="120" w:beforeLines="50" w:after="0" w:line="360" w:lineRule="auto"/>
        <w:rPr>
          <w:sz w:val="21"/>
          <w:szCs w:val="21"/>
          <w:highlight w:val="none"/>
        </w:rPr>
      </w:pPr>
      <w:bookmarkStart w:id="162" w:name="_Toc4892"/>
      <w:r>
        <w:rPr>
          <w:rFonts w:hint="eastAsia" w:ascii="宋体" w:hAnsi="宋体"/>
          <w:kern w:val="44"/>
          <w:sz w:val="21"/>
          <w:szCs w:val="21"/>
          <w:highlight w:val="none"/>
          <w:shd w:val="clear" w:color="auto" w:fill="FFFFFF"/>
        </w:rPr>
        <w:t>热稳定性试验</w:t>
      </w:r>
      <w:bookmarkEnd w:id="162"/>
      <w:r>
        <w:rPr>
          <w:sz w:val="21"/>
          <w:szCs w:val="21"/>
          <w:highlight w:val="none"/>
        </w:rPr>
        <w:t xml:space="preserve"> </w:t>
      </w:r>
    </w:p>
    <w:p>
      <w:pPr>
        <w:spacing w:line="360" w:lineRule="auto"/>
        <w:ind w:firstLine="420"/>
        <w:rPr>
          <w:highlight w:val="none"/>
        </w:rPr>
      </w:pPr>
      <w:r>
        <w:rPr>
          <w:rFonts w:hint="eastAsia"/>
          <w:highlight w:val="none"/>
        </w:rPr>
        <w:t>试验参照</w:t>
      </w:r>
      <w:r>
        <w:rPr>
          <w:highlight w:val="none"/>
        </w:rPr>
        <w:t>GB/T 20641-20</w:t>
      </w:r>
      <w:r>
        <w:rPr>
          <w:rFonts w:hint="eastAsia"/>
          <w:highlight w:val="none"/>
          <w:lang w:val="en-US" w:eastAsia="zh-CN"/>
        </w:rPr>
        <w:t>14</w:t>
      </w:r>
      <w:r>
        <w:rPr>
          <w:rFonts w:hint="eastAsia"/>
          <w:highlight w:val="none"/>
        </w:rPr>
        <w:t>中</w:t>
      </w:r>
      <w:r>
        <w:rPr>
          <w:highlight w:val="none"/>
        </w:rPr>
        <w:t>9.8.1</w:t>
      </w:r>
      <w:r>
        <w:rPr>
          <w:rFonts w:hint="eastAsia"/>
          <w:highlight w:val="none"/>
        </w:rPr>
        <w:t>的要求进行。</w:t>
      </w:r>
      <w:r>
        <w:rPr>
          <w:highlight w:val="none"/>
        </w:rPr>
        <w:t xml:space="preserve"> </w:t>
      </w:r>
    </w:p>
    <w:p>
      <w:pPr>
        <w:spacing w:line="360" w:lineRule="auto"/>
        <w:ind w:firstLine="420"/>
        <w:rPr>
          <w:highlight w:val="none"/>
        </w:rPr>
      </w:pPr>
      <w:r>
        <w:rPr>
          <w:rFonts w:hint="eastAsia"/>
          <w:highlight w:val="none"/>
        </w:rPr>
        <w:t>计量表箱应没有可见的裂缝，其材料不应变为粘性或油脂性。</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63" w:name="_Toc19612"/>
      <w:r>
        <w:rPr>
          <w:rFonts w:hint="eastAsia" w:ascii="宋体" w:hAnsi="宋体"/>
          <w:kern w:val="44"/>
          <w:sz w:val="21"/>
          <w:szCs w:val="21"/>
          <w:highlight w:val="none"/>
          <w:shd w:val="clear" w:color="auto" w:fill="FFFFFF"/>
        </w:rPr>
        <w:t>耐热性试验</w:t>
      </w:r>
      <w:bookmarkEnd w:id="163"/>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试验参照</w:t>
      </w:r>
      <w:r>
        <w:rPr>
          <w:highlight w:val="none"/>
        </w:rPr>
        <w:t>GB/T 20641-20</w:t>
      </w:r>
      <w:r>
        <w:rPr>
          <w:rFonts w:hint="eastAsia"/>
          <w:highlight w:val="none"/>
          <w:lang w:val="en-US" w:eastAsia="zh-CN"/>
        </w:rPr>
        <w:t>14</w:t>
      </w:r>
      <w:r>
        <w:rPr>
          <w:rFonts w:hint="eastAsia"/>
          <w:highlight w:val="none"/>
        </w:rPr>
        <w:t>中</w:t>
      </w:r>
      <w:r>
        <w:rPr>
          <w:highlight w:val="none"/>
        </w:rPr>
        <w:t>9.8.2</w:t>
      </w:r>
      <w:r>
        <w:rPr>
          <w:rFonts w:hint="eastAsia"/>
          <w:highlight w:val="none"/>
        </w:rPr>
        <w:t>的要求进行。</w:t>
      </w:r>
      <w:r>
        <w:rPr>
          <w:highlight w:val="none"/>
        </w:rPr>
        <w:t xml:space="preserve"> </w:t>
      </w:r>
    </w:p>
    <w:p>
      <w:pPr>
        <w:spacing w:line="360" w:lineRule="auto"/>
        <w:ind w:firstLine="420"/>
        <w:rPr>
          <w:highlight w:val="none"/>
        </w:rPr>
      </w:pPr>
      <w:r>
        <w:rPr>
          <w:rFonts w:hint="eastAsia"/>
          <w:highlight w:val="none"/>
        </w:rPr>
        <w:t>试验后，测量球的压痕直径不得超过</w:t>
      </w:r>
      <w:r>
        <w:rPr>
          <w:highlight w:val="none"/>
        </w:rPr>
        <w:t>2mm</w:t>
      </w:r>
      <w:r>
        <w:rPr>
          <w:rFonts w:hint="eastAsia"/>
          <w:highlight w:val="none"/>
        </w:rPr>
        <w:t>。</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64" w:name="_Toc18985"/>
      <w:r>
        <w:rPr>
          <w:rFonts w:hint="eastAsia" w:ascii="宋体" w:hAnsi="宋体"/>
          <w:kern w:val="44"/>
          <w:sz w:val="21"/>
          <w:szCs w:val="21"/>
          <w:highlight w:val="none"/>
          <w:shd w:val="clear" w:color="auto" w:fill="FFFFFF"/>
        </w:rPr>
        <w:t>耐受非正常发热和火焰的试验</w:t>
      </w:r>
      <w:bookmarkEnd w:id="164"/>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试验参照</w:t>
      </w:r>
      <w:r>
        <w:rPr>
          <w:highlight w:val="none"/>
        </w:rPr>
        <w:t>GB/T 20641-20</w:t>
      </w:r>
      <w:r>
        <w:rPr>
          <w:rFonts w:hint="eastAsia"/>
          <w:highlight w:val="none"/>
          <w:lang w:val="en-US" w:eastAsia="zh-CN"/>
        </w:rPr>
        <w:t>14</w:t>
      </w:r>
      <w:r>
        <w:rPr>
          <w:rFonts w:hint="eastAsia"/>
          <w:highlight w:val="none"/>
        </w:rPr>
        <w:t>中</w:t>
      </w:r>
      <w:r>
        <w:rPr>
          <w:highlight w:val="none"/>
        </w:rPr>
        <w:t>9.8.3</w:t>
      </w:r>
      <w:r>
        <w:rPr>
          <w:rFonts w:hint="eastAsia"/>
          <w:highlight w:val="none"/>
        </w:rPr>
        <w:t>的要求进行。</w:t>
      </w:r>
      <w:r>
        <w:rPr>
          <w:highlight w:val="none"/>
        </w:rPr>
        <w:t xml:space="preserve"> </w:t>
      </w:r>
    </w:p>
    <w:p>
      <w:pPr>
        <w:spacing w:line="360" w:lineRule="auto"/>
        <w:ind w:firstLine="420"/>
        <w:rPr>
          <w:highlight w:val="none"/>
        </w:rPr>
      </w:pPr>
      <w:r>
        <w:rPr>
          <w:rFonts w:hint="eastAsia"/>
          <w:highlight w:val="none"/>
        </w:rPr>
        <w:t>绝缘材料外壳采用切割方法提取最薄处样品，其它部件采用整体样品。</w:t>
      </w:r>
      <w:r>
        <w:rPr>
          <w:highlight w:val="none"/>
        </w:rPr>
        <w:t xml:space="preserve"> </w:t>
      </w:r>
    </w:p>
    <w:p>
      <w:pPr>
        <w:spacing w:line="360" w:lineRule="auto"/>
        <w:ind w:firstLine="420"/>
        <w:rPr>
          <w:highlight w:val="none"/>
        </w:rPr>
      </w:pPr>
      <w:r>
        <w:rPr>
          <w:rFonts w:hint="eastAsia"/>
          <w:highlight w:val="none"/>
        </w:rPr>
        <w:t>灼热丝顶端的温度如下</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用于载流部件的绝缘支撑与防护件</w:t>
      </w:r>
      <w:r>
        <w:rPr>
          <w:highlight w:val="none"/>
        </w:rPr>
        <w:t>: (960</w:t>
      </w:r>
      <w:r>
        <w:rPr>
          <w:rFonts w:hint="eastAsia"/>
          <w:highlight w:val="none"/>
        </w:rPr>
        <w:t>±</w:t>
      </w:r>
      <w:r>
        <w:rPr>
          <w:highlight w:val="none"/>
        </w:rPr>
        <w:t xml:space="preserve">15) </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绝缘材料外壳及箱内所有其他绝缘材料的部件</w:t>
      </w:r>
      <w:r>
        <w:rPr>
          <w:highlight w:val="none"/>
        </w:rPr>
        <w:t>: (650</w:t>
      </w:r>
      <w:r>
        <w:rPr>
          <w:rFonts w:hint="eastAsia"/>
          <w:highlight w:val="none"/>
        </w:rPr>
        <w:t>±</w:t>
      </w:r>
      <w:r>
        <w:rPr>
          <w:highlight w:val="none"/>
        </w:rPr>
        <w:t>15)</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灼热丝试验期间和之后</w:t>
      </w:r>
      <w:r>
        <w:rPr>
          <w:highlight w:val="none"/>
        </w:rPr>
        <w:t>30s</w:t>
      </w:r>
      <w:r>
        <w:rPr>
          <w:rFonts w:hint="eastAsia"/>
          <w:highlight w:val="none"/>
        </w:rPr>
        <w:t>之内，应观察试样以及铺在试样下面的绢纸，并记录试样起燃的时间和火焰熄灭的时间。如果</w:t>
      </w:r>
      <w:r>
        <w:rPr>
          <w:highlight w:val="none"/>
        </w:rPr>
        <w:t xml:space="preserve">: </w:t>
      </w:r>
    </w:p>
    <w:p>
      <w:pPr>
        <w:spacing w:line="360" w:lineRule="auto"/>
        <w:ind w:firstLine="420"/>
        <w:rPr>
          <w:highlight w:val="none"/>
        </w:rPr>
      </w:pPr>
      <w:r>
        <w:rPr>
          <w:rFonts w:hint="eastAsia"/>
          <w:highlight w:val="none"/>
        </w:rPr>
        <w:t>3</w:t>
      </w:r>
      <w:r>
        <w:rPr>
          <w:highlight w:val="none"/>
        </w:rPr>
        <w:t xml:space="preserve">) </w:t>
      </w:r>
      <w:r>
        <w:rPr>
          <w:rFonts w:hint="eastAsia"/>
          <w:highlight w:val="none"/>
        </w:rPr>
        <w:t>没有明显的火焰和持续不断的亮光或样机的火焰或亮光在灼热丝移开</w:t>
      </w:r>
      <w:r>
        <w:rPr>
          <w:highlight w:val="none"/>
        </w:rPr>
        <w:t>30s</w:t>
      </w:r>
      <w:r>
        <w:rPr>
          <w:rFonts w:hint="eastAsia"/>
          <w:highlight w:val="none"/>
        </w:rPr>
        <w:t>之内熄灭；</w:t>
      </w:r>
      <w:r>
        <w:rPr>
          <w:highlight w:val="none"/>
        </w:rPr>
        <w:t xml:space="preserve"> </w:t>
      </w:r>
    </w:p>
    <w:p>
      <w:pPr>
        <w:spacing w:line="360" w:lineRule="auto"/>
        <w:ind w:firstLine="420"/>
        <w:rPr>
          <w:highlight w:val="none"/>
        </w:rPr>
      </w:pPr>
      <w:r>
        <w:rPr>
          <w:rFonts w:hint="eastAsia"/>
          <w:highlight w:val="none"/>
        </w:rPr>
        <w:t>4</w:t>
      </w:r>
      <w:r>
        <w:rPr>
          <w:highlight w:val="none"/>
        </w:rPr>
        <w:t xml:space="preserve">) </w:t>
      </w:r>
      <w:r>
        <w:rPr>
          <w:rFonts w:hint="eastAsia"/>
          <w:highlight w:val="none"/>
        </w:rPr>
        <w:t>铺于底层的绢纸不起燃，松木板无烧焦现象；</w:t>
      </w:r>
      <w:r>
        <w:rPr>
          <w:highlight w:val="none"/>
        </w:rPr>
        <w:t xml:space="preserve"> </w:t>
      </w:r>
    </w:p>
    <w:p>
      <w:pPr>
        <w:spacing w:line="360" w:lineRule="auto"/>
        <w:ind w:firstLine="420"/>
        <w:rPr>
          <w:highlight w:val="none"/>
        </w:rPr>
      </w:pPr>
      <w:r>
        <w:rPr>
          <w:rFonts w:hint="eastAsia"/>
          <w:highlight w:val="none"/>
        </w:rPr>
        <w:t>则认为能够耐受灼热丝试验。</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65" w:name="_Toc12935"/>
      <w:r>
        <w:rPr>
          <w:rFonts w:hint="eastAsia" w:ascii="宋体" w:hAnsi="宋体"/>
          <w:kern w:val="44"/>
          <w:sz w:val="21"/>
          <w:szCs w:val="21"/>
          <w:highlight w:val="none"/>
          <w:shd w:val="clear" w:color="auto" w:fill="FFFFFF"/>
        </w:rPr>
        <w:t>耐老化试验</w:t>
      </w:r>
      <w:bookmarkEnd w:id="165"/>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试验参照</w:t>
      </w:r>
      <w:r>
        <w:rPr>
          <w:highlight w:val="none"/>
        </w:rPr>
        <w:t>GB/T 20641-2006</w:t>
      </w:r>
      <w:r>
        <w:rPr>
          <w:rFonts w:hint="eastAsia"/>
          <w:highlight w:val="none"/>
        </w:rPr>
        <w:t>中</w:t>
      </w:r>
      <w:r>
        <w:rPr>
          <w:highlight w:val="none"/>
        </w:rPr>
        <w:t>9.11</w:t>
      </w:r>
      <w:r>
        <w:rPr>
          <w:rFonts w:hint="eastAsia"/>
          <w:highlight w:val="none"/>
        </w:rPr>
        <w:t>的要求。</w:t>
      </w:r>
      <w:r>
        <w:rPr>
          <w:highlight w:val="none"/>
        </w:rPr>
        <w:t xml:space="preserve"> </w:t>
      </w:r>
    </w:p>
    <w:p>
      <w:pPr>
        <w:spacing w:line="360" w:lineRule="auto"/>
        <w:ind w:firstLine="420"/>
        <w:rPr>
          <w:szCs w:val="21"/>
          <w:highlight w:val="none"/>
        </w:rPr>
      </w:pPr>
      <w:r>
        <w:rPr>
          <w:rFonts w:hint="eastAsia"/>
          <w:highlight w:val="none"/>
        </w:rPr>
        <w:t>试验后，计量表箱材料冲击强度和弯曲强度减少不大于</w:t>
      </w:r>
      <w:r>
        <w:rPr>
          <w:highlight w:val="none"/>
        </w:rPr>
        <w:t>30%</w:t>
      </w:r>
      <w:r>
        <w:rPr>
          <w:rFonts w:hint="eastAsia"/>
          <w:highlight w:val="none"/>
        </w:rPr>
        <w:t>；观察窗透光率降低不大于</w:t>
      </w:r>
      <w:r>
        <w:rPr>
          <w:highlight w:val="none"/>
        </w:rPr>
        <w:t>10%</w:t>
      </w:r>
      <w:r>
        <w:rPr>
          <w:rFonts w:hint="eastAsia"/>
          <w:highlight w:val="none"/>
        </w:rPr>
        <w:t>，且无破裂和损坏。</w:t>
      </w:r>
      <w:r>
        <w:rPr>
          <w:szCs w:val="21"/>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66" w:name="_Toc30924"/>
      <w:r>
        <w:rPr>
          <w:rFonts w:hint="eastAsia" w:ascii="宋体" w:hAnsi="宋体"/>
          <w:kern w:val="44"/>
          <w:sz w:val="21"/>
          <w:szCs w:val="21"/>
          <w:highlight w:val="none"/>
          <w:shd w:val="clear" w:color="auto" w:fill="FFFFFF"/>
        </w:rPr>
        <w:t>温度冲击试验</w:t>
      </w:r>
      <w:bookmarkEnd w:id="166"/>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试验参照</w:t>
      </w:r>
      <w:r>
        <w:rPr>
          <w:highlight w:val="none"/>
        </w:rPr>
        <w:t>GB/T 2423.22</w:t>
      </w:r>
      <w:r>
        <w:rPr>
          <w:rFonts w:hint="eastAsia"/>
          <w:highlight w:val="none"/>
        </w:rPr>
        <w:t>的要求进行，高温为</w:t>
      </w:r>
      <w:r>
        <w:rPr>
          <w:highlight w:val="none"/>
        </w:rPr>
        <w:t>70</w:t>
      </w:r>
      <w:r>
        <w:rPr>
          <w:rFonts w:hint="eastAsia"/>
          <w:highlight w:val="none"/>
        </w:rPr>
        <w:t>℃、</w:t>
      </w:r>
      <w:r>
        <w:rPr>
          <w:highlight w:val="none"/>
        </w:rPr>
        <w:t>30min</w:t>
      </w:r>
      <w:r>
        <w:rPr>
          <w:rFonts w:hint="eastAsia"/>
          <w:highlight w:val="none"/>
        </w:rPr>
        <w:t>，低温为</w:t>
      </w:r>
      <w:r>
        <w:rPr>
          <w:highlight w:val="none"/>
        </w:rPr>
        <w:t>-40</w:t>
      </w:r>
      <w:r>
        <w:rPr>
          <w:rFonts w:hint="eastAsia"/>
          <w:highlight w:val="none"/>
        </w:rPr>
        <w:t>℃、</w:t>
      </w:r>
      <w:r>
        <w:rPr>
          <w:highlight w:val="none"/>
        </w:rPr>
        <w:t>30min</w:t>
      </w:r>
      <w:r>
        <w:rPr>
          <w:rFonts w:hint="eastAsia"/>
          <w:highlight w:val="none"/>
        </w:rPr>
        <w:t>，温度转换时间为（</w:t>
      </w:r>
      <w:r>
        <w:rPr>
          <w:highlight w:val="none"/>
        </w:rPr>
        <w:t>2</w:t>
      </w:r>
      <w:r>
        <w:rPr>
          <w:rFonts w:hint="eastAsia"/>
          <w:highlight w:val="none"/>
        </w:rPr>
        <w:t>～</w:t>
      </w:r>
      <w:r>
        <w:rPr>
          <w:highlight w:val="none"/>
        </w:rPr>
        <w:t>3</w:t>
      </w:r>
      <w:r>
        <w:rPr>
          <w:rFonts w:hint="eastAsia"/>
          <w:highlight w:val="none"/>
        </w:rPr>
        <w:t>）</w:t>
      </w:r>
      <w:r>
        <w:rPr>
          <w:highlight w:val="none"/>
        </w:rPr>
        <w:t>min</w:t>
      </w:r>
      <w:r>
        <w:rPr>
          <w:rFonts w:hint="eastAsia"/>
          <w:highlight w:val="none"/>
        </w:rPr>
        <w:t>，共进行</w:t>
      </w:r>
      <w:r>
        <w:rPr>
          <w:highlight w:val="none"/>
        </w:rPr>
        <w:t>5</w:t>
      </w:r>
      <w:r>
        <w:rPr>
          <w:rFonts w:hint="eastAsia"/>
          <w:highlight w:val="none"/>
        </w:rPr>
        <w:t>个循环。试验后计量表箱在常温下恢复</w:t>
      </w:r>
      <w:r>
        <w:rPr>
          <w:highlight w:val="none"/>
        </w:rPr>
        <w:t>24h</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试验后，计量表箱应没有粘连、变形、破裂或损坏等现象。</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67" w:name="_Toc144"/>
      <w:r>
        <w:rPr>
          <w:rFonts w:hint="eastAsia" w:ascii="宋体" w:hAnsi="宋体"/>
          <w:kern w:val="44"/>
          <w:sz w:val="21"/>
          <w:szCs w:val="21"/>
          <w:highlight w:val="none"/>
          <w:shd w:val="clear" w:color="auto" w:fill="FFFFFF"/>
        </w:rPr>
        <w:t>塑料冲击性能测定试验</w:t>
      </w:r>
      <w:bookmarkEnd w:id="167"/>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试验参照</w:t>
      </w:r>
      <w:r>
        <w:rPr>
          <w:highlight w:val="none"/>
        </w:rPr>
        <w:t>GB/T 1043.1</w:t>
      </w:r>
      <w:r>
        <w:rPr>
          <w:rFonts w:hint="eastAsia"/>
          <w:highlight w:val="none"/>
        </w:rPr>
        <w:t>的要求进行。</w:t>
      </w:r>
      <w:r>
        <w:rPr>
          <w:highlight w:val="none"/>
        </w:rPr>
        <w:t xml:space="preserve"> </w:t>
      </w:r>
      <w:r>
        <w:rPr>
          <w:rFonts w:hint="eastAsia"/>
          <w:highlight w:val="none"/>
        </w:rPr>
        <w:t>冲击强度应符合表3材料性能指标。</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68" w:name="_Toc3959"/>
      <w:r>
        <w:rPr>
          <w:rFonts w:hint="eastAsia" w:ascii="宋体" w:hAnsi="宋体"/>
          <w:kern w:val="44"/>
          <w:sz w:val="21"/>
          <w:szCs w:val="21"/>
          <w:highlight w:val="none"/>
          <w:shd w:val="clear" w:color="auto" w:fill="FFFFFF"/>
        </w:rPr>
        <w:t>塑料弯曲性能测定试验</w:t>
      </w:r>
      <w:bookmarkEnd w:id="168"/>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试验参照</w:t>
      </w:r>
      <w:r>
        <w:rPr>
          <w:highlight w:val="none"/>
        </w:rPr>
        <w:t>GB/T 9341</w:t>
      </w:r>
      <w:r>
        <w:rPr>
          <w:rFonts w:hint="eastAsia"/>
          <w:highlight w:val="none"/>
        </w:rPr>
        <w:t>的要求进行。弯曲强度应符合表3材料性能指标。</w:t>
      </w:r>
      <w:r>
        <w:rPr>
          <w:highlight w:val="none"/>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69" w:name="_Toc3675"/>
      <w:r>
        <w:rPr>
          <w:rFonts w:hint="eastAsia" w:ascii="宋体" w:hAnsi="宋体" w:eastAsia="宋体"/>
          <w:kern w:val="44"/>
          <w:sz w:val="21"/>
          <w:szCs w:val="21"/>
          <w:highlight w:val="none"/>
          <w:shd w:val="clear" w:color="auto" w:fill="FFFFFF"/>
        </w:rPr>
        <w:t>机械性能试验</w:t>
      </w:r>
      <w:bookmarkEnd w:id="169"/>
      <w:r>
        <w:rPr>
          <w:rFonts w:ascii="宋体" w:hAnsi="宋体" w:eastAsia="宋体"/>
          <w:kern w:val="44"/>
          <w:sz w:val="21"/>
          <w:szCs w:val="21"/>
          <w:highlight w:val="none"/>
          <w:shd w:val="clear" w:color="auto" w:fill="FFFFFF"/>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0" w:name="_Toc29776"/>
      <w:r>
        <w:rPr>
          <w:rFonts w:hint="eastAsia" w:ascii="宋体" w:hAnsi="宋体"/>
          <w:kern w:val="44"/>
          <w:sz w:val="21"/>
          <w:szCs w:val="21"/>
          <w:highlight w:val="none"/>
          <w:shd w:val="clear" w:color="auto" w:fill="FFFFFF"/>
        </w:rPr>
        <w:t>静态试验</w:t>
      </w:r>
      <w:bookmarkEnd w:id="170"/>
      <w:r>
        <w:rPr>
          <w:rFonts w:ascii="宋体" w:hAnsi="宋体"/>
          <w:kern w:val="44"/>
          <w:sz w:val="21"/>
          <w:szCs w:val="21"/>
          <w:highlight w:val="none"/>
          <w:shd w:val="clear" w:color="auto" w:fill="FFFFFF"/>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1" w:name="_Toc10818"/>
      <w:r>
        <w:rPr>
          <w:rFonts w:hint="eastAsia" w:ascii="宋体" w:hAnsi="宋体"/>
          <w:kern w:val="44"/>
          <w:sz w:val="21"/>
          <w:szCs w:val="21"/>
          <w:highlight w:val="none"/>
          <w:shd w:val="clear" w:color="auto" w:fill="FFFFFF"/>
        </w:rPr>
        <w:t>计量表箱外壳</w:t>
      </w:r>
      <w:bookmarkEnd w:id="171"/>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参照</w:t>
      </w:r>
      <w:r>
        <w:rPr>
          <w:highlight w:val="none"/>
        </w:rPr>
        <w:t>GB/T 18663.1-2008</w:t>
      </w:r>
      <w:r>
        <w:rPr>
          <w:rFonts w:hint="eastAsia"/>
          <w:highlight w:val="none"/>
        </w:rPr>
        <w:t>中</w:t>
      </w:r>
      <w:r>
        <w:rPr>
          <w:highlight w:val="none"/>
        </w:rPr>
        <w:t xml:space="preserve">5.2.2 </w:t>
      </w:r>
      <w:r>
        <w:rPr>
          <w:rFonts w:hint="eastAsia"/>
          <w:highlight w:val="none"/>
        </w:rPr>
        <w:t>的方法，选择</w:t>
      </w:r>
      <w:r>
        <w:rPr>
          <w:highlight w:val="none"/>
        </w:rPr>
        <w:t>SL5</w:t>
      </w:r>
      <w:r>
        <w:rPr>
          <w:rFonts w:hint="eastAsia"/>
          <w:highlight w:val="none"/>
        </w:rPr>
        <w:t>、刚度试验力为</w:t>
      </w:r>
      <w:r>
        <w:rPr>
          <w:highlight w:val="none"/>
        </w:rPr>
        <w:t>500N</w:t>
      </w:r>
      <w:r>
        <w:rPr>
          <w:rFonts w:hint="eastAsia"/>
          <w:highlight w:val="none"/>
        </w:rPr>
        <w:t>、持续</w:t>
      </w:r>
      <w:r>
        <w:rPr>
          <w:highlight w:val="none"/>
        </w:rPr>
        <w:t>1min</w:t>
      </w:r>
      <w:r>
        <w:rPr>
          <w:rFonts w:hint="eastAsia"/>
          <w:highlight w:val="none"/>
        </w:rPr>
        <w:t>，对外壳测试点施加相应载荷，测定外壳刚度；</w:t>
      </w:r>
    </w:p>
    <w:p>
      <w:pPr>
        <w:spacing w:line="360" w:lineRule="auto"/>
        <w:ind w:firstLine="420"/>
        <w:rPr>
          <w:highlight w:val="none"/>
        </w:rPr>
      </w:pPr>
      <w:r>
        <w:rPr>
          <w:rFonts w:hint="eastAsia"/>
          <w:highlight w:val="none"/>
        </w:rPr>
        <w:t>按照</w:t>
      </w:r>
      <w:r>
        <w:rPr>
          <w:highlight w:val="none"/>
        </w:rPr>
        <w:t>GB7251.5-20</w:t>
      </w:r>
      <w:r>
        <w:rPr>
          <w:rFonts w:hint="eastAsia"/>
          <w:highlight w:val="none"/>
          <w:lang w:val="en-US" w:eastAsia="zh-CN"/>
        </w:rPr>
        <w:t>17</w:t>
      </w:r>
      <w:r>
        <w:rPr>
          <w:rFonts w:hint="eastAsia"/>
          <w:highlight w:val="none"/>
        </w:rPr>
        <w:t>中</w:t>
      </w:r>
      <w:r>
        <w:rPr>
          <w:highlight w:val="none"/>
        </w:rPr>
        <w:t>8.2.101.1.1</w:t>
      </w:r>
      <w:r>
        <w:rPr>
          <w:rFonts w:hint="eastAsia"/>
          <w:highlight w:val="none"/>
        </w:rPr>
        <w:t>中</w:t>
      </w:r>
      <w:r>
        <w:rPr>
          <w:highlight w:val="none"/>
        </w:rPr>
        <w:t>b</w:t>
      </w:r>
      <w:r>
        <w:rPr>
          <w:rFonts w:hint="eastAsia"/>
          <w:highlight w:val="none"/>
        </w:rPr>
        <w:t>）的方法，对外壳测试点施加相应载荷，测定外壳耐受力情况；</w:t>
      </w:r>
    </w:p>
    <w:p>
      <w:pPr>
        <w:spacing w:line="360" w:lineRule="auto"/>
        <w:ind w:firstLine="420"/>
        <w:rPr>
          <w:highlight w:val="none"/>
        </w:rPr>
      </w:pPr>
      <w:r>
        <w:rPr>
          <w:rFonts w:hint="eastAsia"/>
          <w:highlight w:val="none"/>
        </w:rPr>
        <w:t>按照</w:t>
      </w:r>
      <w:r>
        <w:rPr>
          <w:highlight w:val="none"/>
        </w:rPr>
        <w:t>GB 7251.5-20</w:t>
      </w:r>
      <w:r>
        <w:rPr>
          <w:rFonts w:hint="eastAsia"/>
          <w:highlight w:val="none"/>
          <w:lang w:val="en-US" w:eastAsia="zh-CN"/>
        </w:rPr>
        <w:t>17</w:t>
      </w:r>
      <w:r>
        <w:rPr>
          <w:rFonts w:hint="eastAsia"/>
          <w:highlight w:val="none"/>
        </w:rPr>
        <w:t>中</w:t>
      </w:r>
      <w:r>
        <w:rPr>
          <w:highlight w:val="none"/>
        </w:rPr>
        <w:t>8.2.101.1.3</w:t>
      </w:r>
      <w:r>
        <w:rPr>
          <w:rFonts w:hint="eastAsia"/>
          <w:highlight w:val="none"/>
        </w:rPr>
        <w:t>的方法，对外壳测试点施加相应载荷，测定外壳耐扭力情况。</w:t>
      </w:r>
      <w:r>
        <w:rPr>
          <w:highlight w:val="none"/>
        </w:rPr>
        <w:t xml:space="preserve"> </w:t>
      </w:r>
    </w:p>
    <w:p>
      <w:pPr>
        <w:spacing w:line="360" w:lineRule="auto"/>
        <w:ind w:firstLine="420"/>
        <w:rPr>
          <w:highlight w:val="none"/>
        </w:rPr>
      </w:pPr>
      <w:r>
        <w:rPr>
          <w:rFonts w:hint="eastAsia"/>
          <w:highlight w:val="none"/>
        </w:rPr>
        <w:t>试验结束后计量表箱外壳不应有影响安装的变形；电气间隙仍能保持；防护等级仍为</w:t>
      </w:r>
      <w:r>
        <w:rPr>
          <w:highlight w:val="none"/>
        </w:rPr>
        <w:t>IP34D</w:t>
      </w:r>
      <w:r>
        <w:rPr>
          <w:rFonts w:hint="eastAsia"/>
          <w:highlight w:val="none"/>
        </w:rPr>
        <w:t>。</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2" w:name="_Toc25068"/>
      <w:r>
        <w:rPr>
          <w:rFonts w:hint="eastAsia" w:ascii="宋体" w:hAnsi="宋体"/>
          <w:kern w:val="44"/>
          <w:sz w:val="21"/>
          <w:szCs w:val="21"/>
          <w:highlight w:val="none"/>
          <w:shd w:val="clear" w:color="auto" w:fill="FFFFFF"/>
        </w:rPr>
        <w:t>铰链式计量表箱门</w:t>
      </w:r>
      <w:bookmarkEnd w:id="172"/>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在计量表箱门完全打开状态下（上下开启铰链式门在限位状态下）：</w:t>
      </w:r>
      <w:r>
        <w:rPr>
          <w:highlight w:val="none"/>
        </w:rPr>
        <w:t xml:space="preserve"> </w:t>
      </w:r>
    </w:p>
    <w:p>
      <w:pPr>
        <w:spacing w:line="360" w:lineRule="auto"/>
        <w:ind w:firstLine="420"/>
        <w:rPr>
          <w:highlight w:val="none"/>
        </w:rPr>
      </w:pPr>
      <w:r>
        <w:rPr>
          <w:rFonts w:hint="eastAsia"/>
          <w:highlight w:val="none"/>
        </w:rPr>
        <w:t>对水平开启计量表箱门按照</w:t>
      </w:r>
      <w:r>
        <w:rPr>
          <w:highlight w:val="none"/>
        </w:rPr>
        <w:t>GB7251.5-20</w:t>
      </w:r>
      <w:r>
        <w:rPr>
          <w:rFonts w:hint="eastAsia"/>
          <w:highlight w:val="none"/>
          <w:lang w:val="en-US" w:eastAsia="zh-CN"/>
        </w:rPr>
        <w:t>17</w:t>
      </w:r>
      <w:r>
        <w:rPr>
          <w:rFonts w:hint="eastAsia"/>
          <w:highlight w:val="none"/>
        </w:rPr>
        <w:t>中</w:t>
      </w:r>
      <w:r>
        <w:rPr>
          <w:highlight w:val="none"/>
        </w:rPr>
        <w:t>8.2.101.3</w:t>
      </w:r>
      <w:r>
        <w:rPr>
          <w:rFonts w:hint="eastAsia"/>
          <w:highlight w:val="none"/>
        </w:rPr>
        <w:t>的方法，施加相应水平载荷力，之后再在门的垂直中心线上施加</w:t>
      </w:r>
      <w:r>
        <w:rPr>
          <w:highlight w:val="none"/>
        </w:rPr>
        <w:t>n(</w:t>
      </w:r>
      <w:r>
        <w:rPr>
          <w:rFonts w:hint="eastAsia"/>
          <w:highlight w:val="none"/>
        </w:rPr>
        <w:t>表位数</w:t>
      </w:r>
      <w:r>
        <w:rPr>
          <w:highlight w:val="none"/>
        </w:rPr>
        <w:t>)</w:t>
      </w:r>
      <w:r>
        <w:rPr>
          <w:rFonts w:hint="eastAsia"/>
          <w:highlight w:val="none"/>
        </w:rPr>
        <w:t>倍载荷（非金属计量表箱</w:t>
      </w:r>
      <w:r>
        <w:rPr>
          <w:highlight w:val="none"/>
        </w:rPr>
        <w:t>30N</w:t>
      </w:r>
      <w:r>
        <w:rPr>
          <w:rFonts w:hint="eastAsia"/>
          <w:highlight w:val="none"/>
        </w:rPr>
        <w:t>），持续</w:t>
      </w:r>
      <w:r>
        <w:rPr>
          <w:highlight w:val="none"/>
        </w:rPr>
        <w:t>1min</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对上下开启铰链式计量柜门，门外边缘垂直于门表面施加相应拉力</w:t>
      </w:r>
      <w:r>
        <w:rPr>
          <w:highlight w:val="none"/>
        </w:rPr>
        <w:t>F</w:t>
      </w:r>
      <w:r>
        <w:rPr>
          <w:rFonts w:hint="eastAsia"/>
          <w:highlight w:val="none"/>
        </w:rPr>
        <w:t>，至少保持</w:t>
      </w:r>
      <w:r>
        <w:rPr>
          <w:highlight w:val="none"/>
        </w:rPr>
        <w:t>10s</w:t>
      </w:r>
      <w:r>
        <w:rPr>
          <w:rFonts w:hint="eastAsia"/>
          <w:highlight w:val="none"/>
        </w:rPr>
        <w:t>；沿门关闭的方向，在门外边缘并垂直于门表面施加拉力</w:t>
      </w:r>
      <w:r>
        <w:rPr>
          <w:highlight w:val="none"/>
        </w:rPr>
        <w:t>F</w:t>
      </w:r>
      <w:r>
        <w:rPr>
          <w:rFonts w:hint="eastAsia"/>
          <w:highlight w:val="none"/>
        </w:rPr>
        <w:t>，并保持至少</w:t>
      </w:r>
      <w:r>
        <w:rPr>
          <w:highlight w:val="none"/>
        </w:rPr>
        <w:t>l0s</w:t>
      </w:r>
      <w:r>
        <w:rPr>
          <w:rFonts w:hint="eastAsia"/>
          <w:highlight w:val="none"/>
        </w:rPr>
        <w:t>。如有多个限位位置，测试应对每个限位进行试验。</w:t>
      </w:r>
      <w:r>
        <w:rPr>
          <w:highlight w:val="none"/>
        </w:rPr>
        <w:t xml:space="preserve"> </w:t>
      </w:r>
    </w:p>
    <w:p>
      <w:pPr>
        <w:spacing w:line="360" w:lineRule="auto"/>
        <w:ind w:firstLine="420"/>
        <w:rPr>
          <w:highlight w:val="none"/>
        </w:rPr>
      </w:pPr>
      <w:r>
        <w:rPr>
          <w:rFonts w:hint="eastAsia"/>
          <w:highlight w:val="none"/>
        </w:rPr>
        <w:t>拉力：</w:t>
      </w:r>
      <w:r>
        <w:rPr>
          <w:highlight w:val="none"/>
        </w:rPr>
        <w:t xml:space="preserve"> </w:t>
      </w:r>
      <w:r>
        <w:rPr>
          <w:rFonts w:hint="eastAsia"/>
          <w:highlight w:val="none"/>
        </w:rPr>
        <w:t xml:space="preserve">                  </w:t>
      </w:r>
      <w:r>
        <w:rPr>
          <w:position w:val="-6"/>
          <w:highlight w:val="none"/>
        </w:rPr>
        <w:object>
          <v:shape id="_x0000_i1025" o:spt="75" type="#_x0000_t75" style="height:14.25pt;width:90.4pt;" o:ole="t" filled="f" o:preferrelative="t" stroked="f" coordsize="21600,21600">
            <v:path/>
            <v:fill on="f" focussize="0,0"/>
            <v:stroke on="f"/>
            <v:imagedata r:id="rId9" o:title=""/>
            <o:lock v:ext="edit" aspectratio="t"/>
            <w10:wrap type="none"/>
            <w10:anchorlock/>
          </v:shape>
          <o:OLEObject Type="Embed" ProgID="Equation.DSMT4" ShapeID="_x0000_i1025" DrawAspect="Content" ObjectID="_1468075725" r:id="rId8">
            <o:LockedField>false</o:LockedField>
          </o:OLEObject>
        </w:object>
      </w:r>
    </w:p>
    <w:p>
      <w:pPr>
        <w:spacing w:line="360" w:lineRule="auto"/>
        <w:ind w:firstLine="420"/>
        <w:rPr>
          <w:highlight w:val="none"/>
        </w:rPr>
      </w:pPr>
      <w:r>
        <w:rPr>
          <w:rFonts w:hint="eastAsia"/>
          <w:highlight w:val="none"/>
        </w:rPr>
        <w:t>式中：</w:t>
      </w:r>
      <w:r>
        <w:rPr>
          <w:highlight w:val="none"/>
        </w:rPr>
        <w:t xml:space="preserve"> </w:t>
      </w:r>
    </w:p>
    <w:p>
      <w:pPr>
        <w:spacing w:line="360" w:lineRule="auto"/>
        <w:ind w:firstLine="420"/>
        <w:rPr>
          <w:highlight w:val="none"/>
        </w:rPr>
      </w:pPr>
      <w:r>
        <w:rPr>
          <w:highlight w:val="none"/>
        </w:rPr>
        <w:t>W—</w:t>
      </w:r>
      <w:r>
        <w:rPr>
          <w:rFonts w:hint="eastAsia"/>
          <w:highlight w:val="none"/>
        </w:rPr>
        <w:t>门的宽度</w:t>
      </w:r>
      <w:r>
        <w:rPr>
          <w:highlight w:val="none"/>
        </w:rPr>
        <w:t>,m</w:t>
      </w:r>
      <w:r>
        <w:rPr>
          <w:rFonts w:hint="eastAsia"/>
          <w:highlight w:val="none"/>
        </w:rPr>
        <w:t>；</w:t>
      </w:r>
    </w:p>
    <w:p>
      <w:pPr>
        <w:spacing w:line="360" w:lineRule="auto"/>
        <w:ind w:firstLine="420"/>
        <w:rPr>
          <w:highlight w:val="none"/>
        </w:rPr>
      </w:pPr>
      <w:r>
        <w:rPr>
          <w:highlight w:val="none"/>
        </w:rPr>
        <w:t>H—</w:t>
      </w:r>
      <w:r>
        <w:rPr>
          <w:rFonts w:hint="eastAsia"/>
          <w:highlight w:val="none"/>
        </w:rPr>
        <w:t>门的高度</w:t>
      </w:r>
      <w:r>
        <w:rPr>
          <w:highlight w:val="none"/>
        </w:rPr>
        <w:t>,m</w:t>
      </w:r>
      <w:r>
        <w:rPr>
          <w:rFonts w:hint="eastAsia"/>
          <w:highlight w:val="none"/>
        </w:rPr>
        <w:t>；</w:t>
      </w:r>
    </w:p>
    <w:p>
      <w:pPr>
        <w:spacing w:line="360" w:lineRule="auto"/>
        <w:ind w:firstLine="420"/>
        <w:rPr>
          <w:highlight w:val="none"/>
        </w:rPr>
      </w:pPr>
      <w:r>
        <w:rPr>
          <w:highlight w:val="none"/>
        </w:rPr>
        <w:t>F—</w:t>
      </w:r>
      <w:r>
        <w:rPr>
          <w:rFonts w:hint="eastAsia"/>
          <w:highlight w:val="none"/>
        </w:rPr>
        <w:t>作用力，</w:t>
      </w:r>
      <w:r>
        <w:rPr>
          <w:highlight w:val="none"/>
        </w:rPr>
        <w:t>N</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试验后计量表箱门、铰链、限位装置应无损坏及变形；门开闭功能正常且；防护等级不变；门锁试验能通过。</w:t>
      </w:r>
      <w:r>
        <w:rPr>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3" w:name="_Toc15257"/>
      <w:r>
        <w:rPr>
          <w:rFonts w:hint="eastAsia" w:ascii="宋体" w:hAnsi="宋体"/>
          <w:kern w:val="44"/>
          <w:sz w:val="21"/>
          <w:szCs w:val="21"/>
          <w:highlight w:val="none"/>
          <w:shd w:val="clear" w:color="auto" w:fill="FFFFFF"/>
        </w:rPr>
        <w:t>计量表箱安装板、安装附件</w:t>
      </w:r>
      <w:bookmarkEnd w:id="173"/>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在</w:t>
      </w:r>
      <w:r>
        <w:rPr>
          <w:highlight w:val="none"/>
        </w:rPr>
        <w:t xml:space="preserve">70 </w:t>
      </w:r>
      <w:r>
        <w:rPr>
          <w:rFonts w:hint="eastAsia"/>
          <w:highlight w:val="none"/>
        </w:rPr>
        <w:t>℃温度下，参照</w:t>
      </w:r>
      <w:r>
        <w:rPr>
          <w:highlight w:val="none"/>
        </w:rPr>
        <w:t>GB/T20641-20</w:t>
      </w:r>
      <w:r>
        <w:rPr>
          <w:rFonts w:hint="eastAsia"/>
          <w:highlight w:val="none"/>
          <w:lang w:val="en-US" w:eastAsia="zh-CN"/>
        </w:rPr>
        <w:t>14</w:t>
      </w:r>
      <w:r>
        <w:rPr>
          <w:rFonts w:hint="eastAsia"/>
          <w:highlight w:val="none"/>
        </w:rPr>
        <w:t>中</w:t>
      </w:r>
      <w:r>
        <w:rPr>
          <w:highlight w:val="none"/>
        </w:rPr>
        <w:t>9.3</w:t>
      </w:r>
      <w:r>
        <w:rPr>
          <w:rFonts w:hint="eastAsia"/>
          <w:highlight w:val="none"/>
        </w:rPr>
        <w:t>的方法对安装板施加</w:t>
      </w:r>
      <w:r>
        <w:rPr>
          <w:highlight w:val="none"/>
        </w:rPr>
        <w:t>n(</w:t>
      </w:r>
      <w:r>
        <w:rPr>
          <w:rFonts w:hint="eastAsia"/>
          <w:highlight w:val="none"/>
        </w:rPr>
        <w:t>表位数</w:t>
      </w:r>
      <w:r>
        <w:rPr>
          <w:highlight w:val="none"/>
        </w:rPr>
        <w:t>)</w:t>
      </w:r>
      <w:r>
        <w:rPr>
          <w:rFonts w:hint="eastAsia"/>
          <w:highlight w:val="none"/>
        </w:rPr>
        <w:t>倍的</w:t>
      </w:r>
      <w:r>
        <w:rPr>
          <w:highlight w:val="none"/>
        </w:rPr>
        <w:t>40N</w:t>
      </w:r>
      <w:r>
        <w:rPr>
          <w:rFonts w:hint="eastAsia"/>
          <w:highlight w:val="none"/>
        </w:rPr>
        <w:t>负载，持续</w:t>
      </w:r>
      <w:r>
        <w:rPr>
          <w:highlight w:val="none"/>
        </w:rPr>
        <w:t>1h</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试验后，试验负载仍保留住原位置。</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4" w:name="_Toc17664"/>
      <w:r>
        <w:rPr>
          <w:rFonts w:hint="eastAsia" w:ascii="宋体" w:hAnsi="宋体"/>
          <w:kern w:val="44"/>
          <w:sz w:val="21"/>
          <w:szCs w:val="21"/>
          <w:highlight w:val="none"/>
          <w:shd w:val="clear" w:color="auto" w:fill="FFFFFF"/>
        </w:rPr>
        <w:t>动态试验</w:t>
      </w:r>
      <w:bookmarkEnd w:id="174"/>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5" w:name="_Toc23602"/>
      <w:r>
        <w:rPr>
          <w:rFonts w:hint="eastAsia" w:ascii="宋体" w:hAnsi="宋体"/>
          <w:kern w:val="44"/>
          <w:sz w:val="21"/>
          <w:szCs w:val="21"/>
          <w:highlight w:val="none"/>
          <w:shd w:val="clear" w:color="auto" w:fill="FFFFFF"/>
        </w:rPr>
        <w:t>振动试验</w:t>
      </w:r>
      <w:bookmarkEnd w:id="175"/>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试验对电气设备、门完全安装及门锁封闭状态下的计量表箱进行，衡量计量表箱中电气设备安装牢固程度、安装附件功能性、运输试验要求。</w:t>
      </w:r>
      <w:r>
        <w:rPr>
          <w:highlight w:val="none"/>
        </w:rPr>
        <w:t xml:space="preserve"> </w:t>
      </w:r>
    </w:p>
    <w:p>
      <w:pPr>
        <w:spacing w:line="360" w:lineRule="auto"/>
        <w:ind w:firstLine="420"/>
        <w:rPr>
          <w:highlight w:val="none"/>
        </w:rPr>
      </w:pPr>
      <w:r>
        <w:rPr>
          <w:rFonts w:hint="eastAsia"/>
          <w:highlight w:val="none"/>
        </w:rPr>
        <w:t>试验参照</w:t>
      </w:r>
      <w:r>
        <w:rPr>
          <w:highlight w:val="none"/>
        </w:rPr>
        <w:t>GB/T 18663.1-2008</w:t>
      </w:r>
      <w:r>
        <w:rPr>
          <w:rFonts w:hint="eastAsia"/>
          <w:highlight w:val="none"/>
        </w:rPr>
        <w:t>中</w:t>
      </w:r>
      <w:r>
        <w:rPr>
          <w:highlight w:val="none"/>
        </w:rPr>
        <w:t>5.3.1</w:t>
      </w:r>
      <w:r>
        <w:rPr>
          <w:rFonts w:hint="eastAsia"/>
          <w:highlight w:val="none"/>
        </w:rPr>
        <w:t>的规定进行。将计量表箱固定在振动台上，进行动态负载试验。按照</w:t>
      </w:r>
      <w:r>
        <w:rPr>
          <w:highlight w:val="none"/>
        </w:rPr>
        <w:t>DL4</w:t>
      </w:r>
      <w:r>
        <w:rPr>
          <w:rFonts w:hint="eastAsia"/>
          <w:highlight w:val="none"/>
        </w:rPr>
        <w:t>规定的性能等级，振动试验设置振动频率范围为</w:t>
      </w:r>
      <w:r>
        <w:rPr>
          <w:highlight w:val="none"/>
        </w:rPr>
        <w:t>2Hz</w:t>
      </w:r>
      <w:r>
        <w:rPr>
          <w:rFonts w:hint="eastAsia"/>
          <w:highlight w:val="none"/>
        </w:rPr>
        <w:t>～</w:t>
      </w:r>
      <w:r>
        <w:rPr>
          <w:highlight w:val="none"/>
        </w:rPr>
        <w:t>9Hz</w:t>
      </w:r>
      <w:r>
        <w:rPr>
          <w:rFonts w:hint="eastAsia"/>
          <w:highlight w:val="none"/>
        </w:rPr>
        <w:t>、位移振幅</w:t>
      </w:r>
      <w:r>
        <w:rPr>
          <w:highlight w:val="none"/>
        </w:rPr>
        <w:t xml:space="preserve">1.5mm </w:t>
      </w:r>
      <w:r>
        <w:rPr>
          <w:rFonts w:hint="eastAsia"/>
          <w:highlight w:val="none"/>
        </w:rPr>
        <w:t>，</w:t>
      </w:r>
      <w:r>
        <w:rPr>
          <w:highlight w:val="none"/>
        </w:rPr>
        <w:t>9Hz</w:t>
      </w:r>
      <w:r>
        <w:rPr>
          <w:rFonts w:hint="eastAsia"/>
          <w:highlight w:val="none"/>
        </w:rPr>
        <w:t>～</w:t>
      </w:r>
      <w:r>
        <w:rPr>
          <w:highlight w:val="none"/>
        </w:rPr>
        <w:t>200Hz</w:t>
      </w:r>
      <w:r>
        <w:rPr>
          <w:rFonts w:hint="eastAsia"/>
          <w:highlight w:val="none"/>
        </w:rPr>
        <w:t>、加速度振幅</w:t>
      </w:r>
      <w:r>
        <w:rPr>
          <w:highlight w:val="none"/>
        </w:rPr>
        <w:t>5m/s</w:t>
      </w:r>
      <w:r>
        <w:rPr>
          <w:highlight w:val="none"/>
          <w:vertAlign w:val="superscript"/>
        </w:rPr>
        <w:t>2</w:t>
      </w:r>
      <w:r>
        <w:rPr>
          <w:rFonts w:hint="eastAsia"/>
          <w:highlight w:val="none"/>
        </w:rPr>
        <w:t>，扫描速率为</w:t>
      </w:r>
      <w:r>
        <w:rPr>
          <w:highlight w:val="none"/>
        </w:rPr>
        <w:t>1oct/min</w:t>
      </w:r>
      <w:r>
        <w:rPr>
          <w:rFonts w:hint="eastAsia"/>
          <w:highlight w:val="none"/>
        </w:rPr>
        <w:t>，进行</w:t>
      </w:r>
      <w:r>
        <w:rPr>
          <w:highlight w:val="none"/>
        </w:rPr>
        <w:t>10</w:t>
      </w:r>
      <w:r>
        <w:rPr>
          <w:rFonts w:hint="eastAsia"/>
          <w:highlight w:val="none"/>
        </w:rPr>
        <w:t>次循环；冲击试验设置峰值加速度</w:t>
      </w:r>
      <w:r>
        <w:rPr>
          <w:highlight w:val="none"/>
        </w:rPr>
        <w:t>300m/s</w:t>
      </w:r>
      <w:r>
        <w:rPr>
          <w:highlight w:val="none"/>
          <w:vertAlign w:val="superscript"/>
        </w:rPr>
        <w:t>2</w:t>
      </w:r>
      <w:r>
        <w:rPr>
          <w:rFonts w:hint="eastAsia"/>
          <w:highlight w:val="none"/>
        </w:rPr>
        <w:t>，持续时间</w:t>
      </w:r>
      <w:r>
        <w:rPr>
          <w:highlight w:val="none"/>
        </w:rPr>
        <w:t>18ms</w:t>
      </w:r>
      <w:r>
        <w:rPr>
          <w:rFonts w:hint="eastAsia"/>
          <w:highlight w:val="none"/>
        </w:rPr>
        <w:t>，进行</w:t>
      </w:r>
      <w:r>
        <w:rPr>
          <w:highlight w:val="none"/>
        </w:rPr>
        <w:t>3</w:t>
      </w:r>
      <w:r>
        <w:rPr>
          <w:rFonts w:hint="eastAsia"/>
          <w:highlight w:val="none"/>
        </w:rPr>
        <w:t>次。</w:t>
      </w:r>
      <w:r>
        <w:rPr>
          <w:highlight w:val="none"/>
        </w:rPr>
        <w:t xml:space="preserve"> </w:t>
      </w:r>
    </w:p>
    <w:p>
      <w:pPr>
        <w:spacing w:line="360" w:lineRule="auto"/>
        <w:ind w:firstLine="420"/>
        <w:rPr>
          <w:highlight w:val="none"/>
        </w:rPr>
      </w:pPr>
      <w:r>
        <w:rPr>
          <w:rFonts w:hint="eastAsia"/>
          <w:highlight w:val="none"/>
        </w:rPr>
        <w:t>试验后计量表箱部件不允许有影响形状、功能的变形或损坏及安装部件脱落、松动。</w:t>
      </w:r>
      <w:r>
        <w:rPr>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6" w:name="_Toc22618"/>
      <w:r>
        <w:rPr>
          <w:rFonts w:hint="eastAsia" w:ascii="宋体" w:hAnsi="宋体"/>
          <w:kern w:val="44"/>
          <w:sz w:val="21"/>
          <w:szCs w:val="21"/>
          <w:highlight w:val="none"/>
          <w:shd w:val="clear" w:color="auto" w:fill="FFFFFF"/>
        </w:rPr>
        <w:t>冲击试验</w:t>
      </w:r>
      <w:bookmarkEnd w:id="176"/>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将计量表箱外壳固定在刚性支撑体上：</w:t>
      </w:r>
      <w:r>
        <w:rPr>
          <w:highlight w:val="none"/>
        </w:rPr>
        <w:t xml:space="preserve"> </w:t>
      </w:r>
    </w:p>
    <w:p>
      <w:pPr>
        <w:spacing w:line="360" w:lineRule="auto"/>
        <w:ind w:firstLine="420"/>
        <w:rPr>
          <w:highlight w:val="none"/>
        </w:rPr>
      </w:pPr>
      <w:r>
        <w:rPr>
          <w:rFonts w:hint="eastAsia"/>
          <w:highlight w:val="none"/>
        </w:rPr>
        <w:t>1</w:t>
      </w:r>
      <w:r>
        <w:rPr>
          <w:highlight w:val="none"/>
        </w:rPr>
        <w:t xml:space="preserve">) </w:t>
      </w:r>
      <w:r>
        <w:rPr>
          <w:rFonts w:hint="eastAsia"/>
          <w:highlight w:val="none"/>
        </w:rPr>
        <w:t>参照</w:t>
      </w:r>
      <w:r>
        <w:rPr>
          <w:highlight w:val="none"/>
        </w:rPr>
        <w:t>GB/T20641-20</w:t>
      </w:r>
      <w:r>
        <w:rPr>
          <w:rFonts w:hint="eastAsia"/>
          <w:highlight w:val="none"/>
          <w:lang w:val="en-US" w:eastAsia="zh-CN"/>
        </w:rPr>
        <w:t>14</w:t>
      </w:r>
      <w:r>
        <w:rPr>
          <w:rFonts w:hint="eastAsia"/>
          <w:highlight w:val="none"/>
        </w:rPr>
        <w:t>中</w:t>
      </w:r>
      <w:r>
        <w:rPr>
          <w:highlight w:val="none"/>
        </w:rPr>
        <w:t>9.6</w:t>
      </w:r>
      <w:r>
        <w:rPr>
          <w:rFonts w:hint="eastAsia"/>
          <w:highlight w:val="none"/>
        </w:rPr>
        <w:t>的方法，选择防撞等级</w:t>
      </w:r>
      <w:r>
        <w:rPr>
          <w:highlight w:val="none"/>
        </w:rPr>
        <w:t>IK09</w:t>
      </w:r>
      <w:r>
        <w:rPr>
          <w:rFonts w:hint="eastAsia"/>
          <w:highlight w:val="none"/>
        </w:rPr>
        <w:t>，对外壳各结构部位，施加相应冲击载荷。对最大尺寸不超过</w:t>
      </w:r>
      <w:r>
        <w:rPr>
          <w:highlight w:val="none"/>
        </w:rPr>
        <w:t>1m</w:t>
      </w:r>
      <w:r>
        <w:rPr>
          <w:rFonts w:hint="eastAsia"/>
          <w:highlight w:val="none"/>
        </w:rPr>
        <w:t>的正常使用的每个外露面冲击三次；对最大尺寸超过</w:t>
      </w:r>
      <w:r>
        <w:rPr>
          <w:highlight w:val="none"/>
        </w:rPr>
        <w:t>1m</w:t>
      </w:r>
      <w:r>
        <w:rPr>
          <w:rFonts w:hint="eastAsia"/>
          <w:highlight w:val="none"/>
        </w:rPr>
        <w:t>的正常使用的每个外露面冲击五次，最少能承受的撞击能量为</w:t>
      </w:r>
      <w:r>
        <w:rPr>
          <w:highlight w:val="none"/>
        </w:rPr>
        <w:t>10J</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试验后，计量表箱</w:t>
      </w:r>
      <w:r>
        <w:rPr>
          <w:highlight w:val="none"/>
        </w:rPr>
        <w:t>IP</w:t>
      </w:r>
      <w:r>
        <w:rPr>
          <w:rFonts w:hint="eastAsia"/>
          <w:highlight w:val="none"/>
        </w:rPr>
        <w:t>代码相应数字和介电强度不变；门及铰链无破裂、损坏，且能正常开闭；电气间隙无变化。</w:t>
      </w:r>
      <w:r>
        <w:rPr>
          <w:highlight w:val="none"/>
        </w:rPr>
        <w:t xml:space="preserve"> </w:t>
      </w:r>
    </w:p>
    <w:p>
      <w:pPr>
        <w:spacing w:line="360" w:lineRule="auto"/>
        <w:ind w:firstLine="420"/>
        <w:rPr>
          <w:highlight w:val="none"/>
        </w:rPr>
      </w:pPr>
      <w:r>
        <w:rPr>
          <w:rFonts w:hint="eastAsia"/>
          <w:highlight w:val="none"/>
        </w:rPr>
        <w:t>2</w:t>
      </w:r>
      <w:r>
        <w:rPr>
          <w:highlight w:val="none"/>
        </w:rPr>
        <w:t xml:space="preserve">) </w:t>
      </w:r>
      <w:r>
        <w:rPr>
          <w:rFonts w:hint="eastAsia"/>
          <w:highlight w:val="none"/>
        </w:rPr>
        <w:t>按照</w:t>
      </w:r>
      <w:r>
        <w:rPr>
          <w:highlight w:val="none"/>
        </w:rPr>
        <w:t>GB7251.5-20</w:t>
      </w:r>
      <w:r>
        <w:rPr>
          <w:rFonts w:hint="eastAsia"/>
          <w:highlight w:val="none"/>
          <w:lang w:val="en-US" w:eastAsia="zh-CN"/>
        </w:rPr>
        <w:t>17</w:t>
      </w:r>
      <w:r>
        <w:rPr>
          <w:rFonts w:hint="eastAsia"/>
          <w:highlight w:val="none"/>
        </w:rPr>
        <w:t>中</w:t>
      </w:r>
      <w:r>
        <w:rPr>
          <w:highlight w:val="none"/>
        </w:rPr>
        <w:t>8.2.101.5</w:t>
      </w:r>
      <w:r>
        <w:rPr>
          <w:rFonts w:hint="eastAsia"/>
          <w:highlight w:val="none"/>
        </w:rPr>
        <w:t>的方法，将质量为</w:t>
      </w:r>
      <w:r>
        <w:rPr>
          <w:highlight w:val="none"/>
        </w:rPr>
        <w:t>5kg</w:t>
      </w:r>
      <w:r>
        <w:rPr>
          <w:rFonts w:hint="eastAsia"/>
          <w:highlight w:val="none"/>
        </w:rPr>
        <w:t>的钢制角状物提升到</w:t>
      </w:r>
      <w:r>
        <w:rPr>
          <w:highlight w:val="none"/>
        </w:rPr>
        <w:t>0.2m</w:t>
      </w:r>
      <w:r>
        <w:rPr>
          <w:rFonts w:hint="eastAsia"/>
          <w:highlight w:val="none"/>
        </w:rPr>
        <w:t>的高度时再使其落下，撞击计量表箱的每个面，能量为</w:t>
      </w:r>
      <w:r>
        <w:rPr>
          <w:highlight w:val="none"/>
        </w:rPr>
        <w:t>10J</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试验后，由撞击导致的裂纹直径不超过</w:t>
      </w:r>
      <w:r>
        <w:rPr>
          <w:highlight w:val="none"/>
        </w:rPr>
        <w:t>15mm</w:t>
      </w:r>
      <w:r>
        <w:rPr>
          <w:rFonts w:hint="eastAsia"/>
          <w:highlight w:val="none"/>
        </w:rPr>
        <w:t>，如果撞击物的尖端部穿透了计量表箱的表面，则所形成的孔径应不能插入</w:t>
      </w:r>
      <w:r>
        <w:rPr>
          <w:highlight w:val="none"/>
        </w:rPr>
        <w:t>4mm</w:t>
      </w:r>
      <w:r>
        <w:rPr>
          <w:rFonts w:hint="eastAsia"/>
          <w:highlight w:val="none"/>
        </w:rPr>
        <w:t>塞规。</w:t>
      </w:r>
      <w:r>
        <w:rPr>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7" w:name="_Toc19163"/>
      <w:r>
        <w:rPr>
          <w:rFonts w:hint="eastAsia" w:ascii="宋体" w:hAnsi="宋体"/>
          <w:kern w:val="44"/>
          <w:sz w:val="21"/>
          <w:szCs w:val="21"/>
          <w:highlight w:val="none"/>
          <w:shd w:val="clear" w:color="auto" w:fill="FFFFFF"/>
        </w:rPr>
        <w:t>螺纹紧固连接件机械强度试验</w:t>
      </w:r>
      <w:bookmarkEnd w:id="177"/>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按照</w:t>
      </w:r>
      <w:r>
        <w:rPr>
          <w:highlight w:val="none"/>
        </w:rPr>
        <w:t>GB7251.3-20</w:t>
      </w:r>
      <w:r>
        <w:rPr>
          <w:rFonts w:hint="eastAsia"/>
          <w:highlight w:val="none"/>
          <w:lang w:val="en-US" w:eastAsia="zh-CN"/>
        </w:rPr>
        <w:t>17</w:t>
      </w:r>
      <w:r>
        <w:rPr>
          <w:rFonts w:hint="eastAsia"/>
          <w:highlight w:val="none"/>
        </w:rPr>
        <w:t>中</w:t>
      </w:r>
      <w:r>
        <w:rPr>
          <w:highlight w:val="none"/>
        </w:rPr>
        <w:t xml:space="preserve">8.2.15 </w:t>
      </w:r>
      <w:r>
        <w:rPr>
          <w:rFonts w:hint="eastAsia"/>
          <w:highlight w:val="none"/>
        </w:rPr>
        <w:t>的方法进行。</w:t>
      </w:r>
      <w:r>
        <w:rPr>
          <w:highlight w:val="none"/>
        </w:rPr>
        <w:t xml:space="preserve"> </w:t>
      </w:r>
    </w:p>
    <w:p>
      <w:pPr>
        <w:spacing w:line="360" w:lineRule="auto"/>
        <w:ind w:firstLine="420"/>
        <w:rPr>
          <w:highlight w:val="none"/>
        </w:rPr>
      </w:pPr>
      <w:r>
        <w:rPr>
          <w:rFonts w:hint="eastAsia"/>
          <w:highlight w:val="none"/>
        </w:rPr>
        <w:t>试验过程中，螺钉连接不应出现松动和损坏，也不应发生类似螺钉破碎或裂变，螺纹、垫圈等或外壳和盖板的损坏。</w:t>
      </w:r>
      <w:r>
        <w:rPr>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8" w:name="_Toc31200"/>
      <w:r>
        <w:rPr>
          <w:rFonts w:hint="eastAsia" w:ascii="宋体" w:hAnsi="宋体"/>
          <w:kern w:val="44"/>
          <w:sz w:val="21"/>
          <w:szCs w:val="21"/>
          <w:highlight w:val="none"/>
          <w:shd w:val="clear" w:color="auto" w:fill="FFFFFF"/>
        </w:rPr>
        <w:t>计量表箱外壳封闭防护等级（</w:t>
      </w:r>
      <w:r>
        <w:rPr>
          <w:rFonts w:ascii="宋体" w:hAnsi="宋体"/>
          <w:kern w:val="44"/>
          <w:sz w:val="21"/>
          <w:szCs w:val="21"/>
          <w:highlight w:val="none"/>
          <w:shd w:val="clear" w:color="auto" w:fill="FFFFFF"/>
        </w:rPr>
        <w:t>IP</w:t>
      </w:r>
      <w:r>
        <w:rPr>
          <w:rFonts w:hint="eastAsia" w:ascii="宋体" w:hAnsi="宋体"/>
          <w:kern w:val="44"/>
          <w:sz w:val="21"/>
          <w:szCs w:val="21"/>
          <w:highlight w:val="none"/>
          <w:shd w:val="clear" w:color="auto" w:fill="FFFFFF"/>
        </w:rPr>
        <w:t>代码）验证</w:t>
      </w:r>
      <w:bookmarkEnd w:id="178"/>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计量表箱在闭锁及防雨措施完善状态下进行</w:t>
      </w:r>
      <w:r>
        <w:rPr>
          <w:highlight w:val="none"/>
        </w:rPr>
        <w:t>IP34D</w:t>
      </w:r>
      <w:r>
        <w:rPr>
          <w:rFonts w:hint="eastAsia"/>
          <w:highlight w:val="none"/>
        </w:rPr>
        <w:t>防护等级验证试验。试验按照</w:t>
      </w:r>
      <w:r>
        <w:rPr>
          <w:highlight w:val="none"/>
        </w:rPr>
        <w:t>GB 4208</w:t>
      </w:r>
      <w:r>
        <w:rPr>
          <w:rFonts w:hint="eastAsia"/>
          <w:highlight w:val="none"/>
        </w:rPr>
        <w:t>相应内容及</w:t>
      </w:r>
      <w:r>
        <w:rPr>
          <w:highlight w:val="none"/>
        </w:rPr>
        <w:t>GB/T 20641-20</w:t>
      </w:r>
      <w:r>
        <w:rPr>
          <w:rFonts w:hint="eastAsia"/>
          <w:highlight w:val="none"/>
          <w:lang w:val="en-US" w:eastAsia="zh-CN"/>
        </w:rPr>
        <w:t>14</w:t>
      </w:r>
      <w:r>
        <w:rPr>
          <w:rFonts w:hint="eastAsia"/>
          <w:highlight w:val="none"/>
        </w:rPr>
        <w:t>中</w:t>
      </w:r>
      <w:r>
        <w:rPr>
          <w:highlight w:val="none"/>
        </w:rPr>
        <w:t>9.7</w:t>
      </w:r>
      <w:r>
        <w:rPr>
          <w:rFonts w:hint="eastAsia"/>
          <w:highlight w:val="none"/>
        </w:rPr>
        <w:t>的要求进行。</w:t>
      </w:r>
      <w:r>
        <w:rPr>
          <w:highlight w:val="none"/>
        </w:rPr>
        <w:t xml:space="preserve"> </w:t>
      </w:r>
    </w:p>
    <w:p>
      <w:pPr>
        <w:spacing w:line="360" w:lineRule="auto"/>
        <w:ind w:firstLine="420"/>
        <w:rPr>
          <w:highlight w:val="none"/>
        </w:rPr>
      </w:pPr>
      <w:r>
        <w:rPr>
          <w:rFonts w:hint="eastAsia"/>
          <w:highlight w:val="none"/>
        </w:rPr>
        <w:t>防水试验通过摆管进行，摆管在垂直方向±</w:t>
      </w:r>
      <w:r>
        <w:rPr>
          <w:highlight w:val="none"/>
        </w:rPr>
        <w:t>180</w:t>
      </w:r>
      <w:r>
        <w:rPr>
          <w:rFonts w:hint="eastAsia"/>
          <w:highlight w:val="none"/>
        </w:rPr>
        <w:t>º范围内淋水，最大距离为</w:t>
      </w:r>
      <w:r>
        <w:rPr>
          <w:highlight w:val="none"/>
        </w:rPr>
        <w:t>200mm</w:t>
      </w:r>
      <w:r>
        <w:rPr>
          <w:rFonts w:hint="eastAsia"/>
          <w:highlight w:val="none"/>
        </w:rPr>
        <w:t>，每孔</w:t>
      </w:r>
      <w:r>
        <w:rPr>
          <w:highlight w:val="none"/>
        </w:rPr>
        <w:t>0.07(1</w:t>
      </w:r>
      <w:r>
        <w:rPr>
          <w:rFonts w:hint="eastAsia"/>
          <w:highlight w:val="none"/>
        </w:rPr>
        <w:t>±</w:t>
      </w:r>
      <w:r>
        <w:rPr>
          <w:highlight w:val="none"/>
        </w:rPr>
        <w:t>5%)L/min</w:t>
      </w:r>
      <w:r>
        <w:rPr>
          <w:rFonts w:hint="eastAsia"/>
          <w:highlight w:val="none"/>
        </w:rPr>
        <w:t>，持续</w:t>
      </w:r>
      <w:r>
        <w:rPr>
          <w:highlight w:val="none"/>
        </w:rPr>
        <w:t>10min</w:t>
      </w:r>
      <w:r>
        <w:rPr>
          <w:rFonts w:hint="eastAsia"/>
          <w:highlight w:val="none"/>
        </w:rPr>
        <w:t>，进水应不影响计量表箱安全性，水滴不应积聚在可能导致沿爬电距离引起漏电起痕的绝缘部件上；直径</w:t>
      </w:r>
      <w:r>
        <w:rPr>
          <w:highlight w:val="none"/>
        </w:rPr>
        <w:t>1.0mm</w:t>
      </w:r>
      <w:r>
        <w:rPr>
          <w:rFonts w:hint="eastAsia"/>
          <w:highlight w:val="none"/>
        </w:rPr>
        <w:t>、长</w:t>
      </w:r>
      <w:r>
        <w:rPr>
          <w:highlight w:val="none"/>
        </w:rPr>
        <w:t>100mm</w:t>
      </w:r>
      <w:r>
        <w:rPr>
          <w:rFonts w:hint="eastAsia"/>
          <w:highlight w:val="none"/>
        </w:rPr>
        <w:t>的金属线被施加</w:t>
      </w:r>
      <w:r>
        <w:rPr>
          <w:highlight w:val="none"/>
        </w:rPr>
        <w:t>1N</w:t>
      </w:r>
      <w:r>
        <w:rPr>
          <w:rFonts w:hint="eastAsia"/>
          <w:highlight w:val="none"/>
        </w:rPr>
        <w:t>力时不应进入，或虽进入但与危险部件之间保持足够的间隙；</w:t>
      </w:r>
      <w:r>
        <w:rPr>
          <w:highlight w:val="none"/>
        </w:rPr>
        <w:t>Φ50mm</w:t>
      </w:r>
      <w:r>
        <w:rPr>
          <w:rFonts w:hint="eastAsia"/>
          <w:highlight w:val="none"/>
        </w:rPr>
        <w:t>³</w:t>
      </w:r>
      <w:r>
        <w:rPr>
          <w:highlight w:val="none"/>
        </w:rPr>
        <w:t>20mm</w:t>
      </w:r>
      <w:r>
        <w:rPr>
          <w:rFonts w:hint="eastAsia"/>
          <w:highlight w:val="none"/>
        </w:rPr>
        <w:t>的挡盘不能进入开口。</w:t>
      </w:r>
      <w:r>
        <w:rPr>
          <w:highlight w:val="none"/>
        </w:rPr>
        <w:t xml:space="preserve"> </w:t>
      </w:r>
    </w:p>
    <w:p>
      <w:pPr>
        <w:spacing w:line="360" w:lineRule="auto"/>
        <w:ind w:firstLine="420"/>
        <w:rPr>
          <w:highlight w:val="none"/>
        </w:rPr>
      </w:pPr>
      <w:r>
        <w:rPr>
          <w:rFonts w:hint="eastAsia"/>
          <w:highlight w:val="none"/>
        </w:rPr>
        <w:t>计量表箱外壳应能满足防护等级要求。</w:t>
      </w:r>
      <w:r>
        <w:rPr>
          <w:highlight w:val="none"/>
        </w:rPr>
        <w:t xml:space="preserve"> </w:t>
      </w:r>
    </w:p>
    <w:p>
      <w:pPr>
        <w:pStyle w:val="4"/>
        <w:numPr>
          <w:ilvl w:val="3"/>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79" w:name="_Toc26345"/>
      <w:r>
        <w:rPr>
          <w:rFonts w:hint="eastAsia" w:ascii="宋体" w:hAnsi="宋体"/>
          <w:kern w:val="44"/>
          <w:sz w:val="21"/>
          <w:szCs w:val="21"/>
          <w:highlight w:val="none"/>
          <w:shd w:val="clear" w:color="auto" w:fill="FFFFFF"/>
        </w:rPr>
        <w:t>门锁性能试验及箱门、开关操作试验</w:t>
      </w:r>
      <w:bookmarkEnd w:id="179"/>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门锁性能试验参照</w:t>
      </w:r>
      <w:r>
        <w:rPr>
          <w:highlight w:val="none"/>
        </w:rPr>
        <w:t>GB/T 25293</w:t>
      </w:r>
      <w:r>
        <w:rPr>
          <w:rFonts w:hint="eastAsia"/>
          <w:highlight w:val="none"/>
        </w:rPr>
        <w:t>要求进行。</w:t>
      </w:r>
      <w:r>
        <w:rPr>
          <w:highlight w:val="none"/>
        </w:rPr>
        <w:t xml:space="preserve"> </w:t>
      </w:r>
    </w:p>
    <w:p>
      <w:pPr>
        <w:spacing w:line="360" w:lineRule="auto"/>
        <w:ind w:firstLine="420"/>
        <w:rPr>
          <w:highlight w:val="none"/>
        </w:rPr>
      </w:pPr>
      <w:r>
        <w:rPr>
          <w:rFonts w:hint="eastAsia"/>
          <w:highlight w:val="none"/>
        </w:rPr>
        <w:t>计量表箱箱门、开关操作</w:t>
      </w:r>
      <w:r>
        <w:rPr>
          <w:highlight w:val="none"/>
        </w:rPr>
        <w:t>50</w:t>
      </w:r>
      <w:r>
        <w:rPr>
          <w:rFonts w:hint="eastAsia"/>
          <w:highlight w:val="none"/>
        </w:rPr>
        <w:t>次后，其功能维持正常。</w:t>
      </w:r>
      <w:r>
        <w:rPr>
          <w:highlight w:val="none"/>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80" w:name="_Toc18547"/>
      <w:r>
        <w:rPr>
          <w:rFonts w:hint="eastAsia" w:ascii="宋体" w:hAnsi="宋体" w:eastAsia="宋体"/>
          <w:kern w:val="44"/>
          <w:sz w:val="21"/>
          <w:szCs w:val="21"/>
          <w:highlight w:val="none"/>
          <w:shd w:val="clear" w:color="auto" w:fill="FFFFFF"/>
        </w:rPr>
        <w:t>电气性能试验</w:t>
      </w:r>
      <w:bookmarkEnd w:id="180"/>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81" w:name="_Toc9493"/>
      <w:r>
        <w:rPr>
          <w:rFonts w:hint="eastAsia" w:ascii="宋体" w:hAnsi="宋体"/>
          <w:kern w:val="44"/>
          <w:sz w:val="21"/>
          <w:szCs w:val="21"/>
          <w:highlight w:val="none"/>
          <w:shd w:val="clear" w:color="auto" w:fill="FFFFFF"/>
        </w:rPr>
        <w:t>电气间隙、爬电距离检测</w:t>
      </w:r>
      <w:bookmarkEnd w:id="181"/>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按照</w:t>
      </w:r>
      <w:r>
        <w:rPr>
          <w:highlight w:val="none"/>
        </w:rPr>
        <w:t>GB7251.1-2013</w:t>
      </w:r>
      <w:r>
        <w:rPr>
          <w:rFonts w:hint="eastAsia"/>
          <w:highlight w:val="none"/>
        </w:rPr>
        <w:t>中标准附录</w:t>
      </w:r>
      <w:r>
        <w:rPr>
          <w:highlight w:val="none"/>
        </w:rPr>
        <w:t>F</w:t>
      </w:r>
      <w:r>
        <w:rPr>
          <w:rFonts w:hint="eastAsia"/>
          <w:highlight w:val="none"/>
        </w:rPr>
        <w:t>的规定。</w:t>
      </w:r>
      <w:r>
        <w:rPr>
          <w:highlight w:val="none"/>
        </w:rPr>
        <w:t xml:space="preserve"> </w:t>
      </w:r>
    </w:p>
    <w:p>
      <w:pPr>
        <w:spacing w:line="360" w:lineRule="auto"/>
        <w:ind w:firstLine="420"/>
        <w:rPr>
          <w:highlight w:val="none"/>
        </w:rPr>
      </w:pPr>
      <w:r>
        <w:rPr>
          <w:rFonts w:hint="eastAsia"/>
          <w:highlight w:val="none"/>
        </w:rPr>
        <w:t>通过游标卡尺分别测量电气间隙和爬电距离。</w:t>
      </w:r>
      <w:r>
        <w:rPr>
          <w:highlight w:val="none"/>
        </w:rPr>
        <w:t xml:space="preserve"> </w:t>
      </w:r>
    </w:p>
    <w:p>
      <w:pPr>
        <w:spacing w:line="360" w:lineRule="auto"/>
        <w:ind w:firstLine="420"/>
        <w:rPr>
          <w:highlight w:val="none"/>
        </w:rPr>
      </w:pPr>
      <w:r>
        <w:rPr>
          <w:rFonts w:hint="eastAsia"/>
          <w:highlight w:val="none"/>
        </w:rPr>
        <w:t>计量表箱电气间隙、爬电距离分别大于</w:t>
      </w:r>
      <w:r>
        <w:rPr>
          <w:highlight w:val="none"/>
        </w:rPr>
        <w:t>5.5mm</w:t>
      </w:r>
      <w:r>
        <w:rPr>
          <w:rFonts w:hint="eastAsia"/>
          <w:highlight w:val="none"/>
        </w:rPr>
        <w:t>、</w:t>
      </w:r>
      <w:r>
        <w:rPr>
          <w:highlight w:val="none"/>
        </w:rPr>
        <w:t>6.3mm</w:t>
      </w:r>
      <w:r>
        <w:rPr>
          <w:rFonts w:hint="eastAsia"/>
          <w:highlight w:val="none"/>
        </w:rPr>
        <w:t>。</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82" w:name="_Toc23004"/>
      <w:r>
        <w:rPr>
          <w:rFonts w:hint="eastAsia" w:ascii="宋体" w:hAnsi="宋体"/>
          <w:kern w:val="44"/>
          <w:sz w:val="21"/>
          <w:szCs w:val="21"/>
          <w:highlight w:val="none"/>
          <w:shd w:val="clear" w:color="auto" w:fill="FFFFFF"/>
        </w:rPr>
        <w:t>保护电路有效性试验</w:t>
      </w:r>
      <w:bookmarkEnd w:id="182"/>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按照</w:t>
      </w:r>
      <w:r>
        <w:rPr>
          <w:highlight w:val="none"/>
        </w:rPr>
        <w:t>GB7251.1-2013</w:t>
      </w:r>
      <w:r>
        <w:rPr>
          <w:rFonts w:hint="eastAsia"/>
          <w:highlight w:val="none"/>
        </w:rPr>
        <w:t>中</w:t>
      </w:r>
      <w:r>
        <w:rPr>
          <w:highlight w:val="none"/>
        </w:rPr>
        <w:t>10.5.1</w:t>
      </w:r>
      <w:r>
        <w:rPr>
          <w:rFonts w:hint="eastAsia"/>
          <w:highlight w:val="none"/>
        </w:rPr>
        <w:t>的规定，对计量表箱裸露的箱门、把手、铅封装置、门锁与保护电路金属部分之间施加不低于</w:t>
      </w:r>
      <w:r>
        <w:rPr>
          <w:highlight w:val="none"/>
        </w:rPr>
        <w:t>10A</w:t>
      </w:r>
      <w:r>
        <w:rPr>
          <w:rFonts w:hint="eastAsia"/>
          <w:highlight w:val="none"/>
        </w:rPr>
        <w:t>交流或直流电流，</w:t>
      </w:r>
      <w:r>
        <w:rPr>
          <w:highlight w:val="none"/>
        </w:rPr>
        <w:t>5s</w:t>
      </w:r>
      <w:r>
        <w:rPr>
          <w:rFonts w:hint="eastAsia"/>
          <w:highlight w:val="none"/>
        </w:rPr>
        <w:t>内测量电阻。</w:t>
      </w:r>
      <w:r>
        <w:rPr>
          <w:highlight w:val="none"/>
        </w:rPr>
        <w:t xml:space="preserve"> </w:t>
      </w:r>
    </w:p>
    <w:p>
      <w:pPr>
        <w:spacing w:line="360" w:lineRule="auto"/>
        <w:ind w:firstLine="420"/>
        <w:rPr>
          <w:highlight w:val="none"/>
        </w:rPr>
      </w:pPr>
      <w:r>
        <w:rPr>
          <w:rFonts w:hint="eastAsia"/>
          <w:highlight w:val="none"/>
        </w:rPr>
        <w:t>测得的电阻值应不大于</w:t>
      </w:r>
      <w:r>
        <w:rPr>
          <w:highlight w:val="none"/>
        </w:rPr>
        <w:t>0.1Ω</w:t>
      </w:r>
      <w:r>
        <w:rPr>
          <w:rFonts w:hint="eastAsia"/>
          <w:highlight w:val="none"/>
        </w:rPr>
        <w:t>。</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83" w:name="_Toc12335"/>
      <w:r>
        <w:rPr>
          <w:rFonts w:hint="eastAsia" w:ascii="宋体" w:hAnsi="宋体"/>
          <w:kern w:val="44"/>
          <w:sz w:val="21"/>
          <w:szCs w:val="21"/>
          <w:highlight w:val="none"/>
          <w:shd w:val="clear" w:color="auto" w:fill="FFFFFF"/>
        </w:rPr>
        <w:t>绝缘电阻试验</w:t>
      </w:r>
      <w:bookmarkEnd w:id="183"/>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试验按照</w:t>
      </w:r>
      <w:r>
        <w:rPr>
          <w:highlight w:val="none"/>
        </w:rPr>
        <w:t>GB7251.1-2013</w:t>
      </w:r>
      <w:r>
        <w:rPr>
          <w:rFonts w:hint="eastAsia"/>
          <w:highlight w:val="none"/>
        </w:rPr>
        <w:t>中</w:t>
      </w:r>
      <w:r>
        <w:rPr>
          <w:highlight w:val="none"/>
        </w:rPr>
        <w:t>11.9</w:t>
      </w:r>
      <w:r>
        <w:rPr>
          <w:rFonts w:hint="eastAsia"/>
          <w:highlight w:val="none"/>
        </w:rPr>
        <w:t>的规定进行。在计量表箱内相间、相与外壳间、相与地间施加</w:t>
      </w:r>
      <w:r>
        <w:rPr>
          <w:highlight w:val="none"/>
        </w:rPr>
        <w:t>500V</w:t>
      </w:r>
      <w:r>
        <w:rPr>
          <w:rFonts w:hint="eastAsia"/>
          <w:highlight w:val="none"/>
        </w:rPr>
        <w:t>电压。</w:t>
      </w:r>
      <w:r>
        <w:rPr>
          <w:highlight w:val="none"/>
        </w:rPr>
        <w:t xml:space="preserve"> </w:t>
      </w:r>
    </w:p>
    <w:p>
      <w:pPr>
        <w:spacing w:line="360" w:lineRule="auto"/>
        <w:ind w:firstLine="420"/>
        <w:rPr>
          <w:highlight w:val="none"/>
        </w:rPr>
      </w:pPr>
      <w:r>
        <w:rPr>
          <w:rFonts w:hint="eastAsia"/>
          <w:highlight w:val="none"/>
        </w:rPr>
        <w:t>绝缘电阻应大于</w:t>
      </w:r>
      <w:r>
        <w:rPr>
          <w:highlight w:val="none"/>
        </w:rPr>
        <w:t>1000Ω/V</w:t>
      </w:r>
      <w:r>
        <w:rPr>
          <w:rFonts w:hint="eastAsia"/>
          <w:highlight w:val="none"/>
        </w:rPr>
        <w:t>。</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84" w:name="_Toc4401"/>
      <w:r>
        <w:rPr>
          <w:rFonts w:hint="eastAsia" w:ascii="宋体" w:hAnsi="宋体"/>
          <w:kern w:val="44"/>
          <w:sz w:val="21"/>
          <w:szCs w:val="21"/>
          <w:highlight w:val="none"/>
          <w:shd w:val="clear" w:color="auto" w:fill="FFFFFF"/>
        </w:rPr>
        <w:t>介电性能试验</w:t>
      </w:r>
      <w:bookmarkEnd w:id="184"/>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按照</w:t>
      </w:r>
      <w:r>
        <w:rPr>
          <w:highlight w:val="none"/>
        </w:rPr>
        <w:t>GB7251.1-2013</w:t>
      </w:r>
      <w:r>
        <w:rPr>
          <w:rFonts w:hint="eastAsia"/>
          <w:highlight w:val="none"/>
        </w:rPr>
        <w:t>中</w:t>
      </w:r>
      <w:r>
        <w:rPr>
          <w:highlight w:val="none"/>
        </w:rPr>
        <w:t>10.9.2</w:t>
      </w:r>
      <w:r>
        <w:rPr>
          <w:rFonts w:hint="eastAsia"/>
          <w:highlight w:val="none"/>
        </w:rPr>
        <w:t>的规定，在计量表箱外壳与金属门锁、铅封螺钉、金属铰链等带金属部件之间施加</w:t>
      </w:r>
      <w:r>
        <w:rPr>
          <w:highlight w:val="none"/>
        </w:rPr>
        <w:t>50Hz</w:t>
      </w:r>
      <w:r>
        <w:rPr>
          <w:rFonts w:hint="eastAsia"/>
          <w:highlight w:val="none"/>
        </w:rPr>
        <w:t>、</w:t>
      </w:r>
      <w:r>
        <w:rPr>
          <w:highlight w:val="none"/>
        </w:rPr>
        <w:t xml:space="preserve">1.5×2500V </w:t>
      </w:r>
      <w:r>
        <w:rPr>
          <w:rFonts w:hint="eastAsia"/>
          <w:highlight w:val="none"/>
        </w:rPr>
        <w:t>交流电压</w:t>
      </w:r>
      <w:r>
        <w:rPr>
          <w:highlight w:val="none"/>
        </w:rPr>
        <w:t>1min</w:t>
      </w:r>
      <w:r>
        <w:rPr>
          <w:rFonts w:hint="eastAsia"/>
          <w:highlight w:val="none"/>
        </w:rPr>
        <w:t>。</w:t>
      </w:r>
      <w:r>
        <w:rPr>
          <w:highlight w:val="none"/>
        </w:rPr>
        <w:t xml:space="preserve"> </w:t>
      </w:r>
    </w:p>
    <w:p>
      <w:pPr>
        <w:spacing w:line="360" w:lineRule="auto"/>
        <w:ind w:firstLine="420"/>
        <w:rPr>
          <w:highlight w:val="none"/>
        </w:rPr>
      </w:pPr>
      <w:r>
        <w:rPr>
          <w:rFonts w:hint="eastAsia"/>
          <w:highlight w:val="none"/>
        </w:rPr>
        <w:t>试验中无闪络、击穿现象，试验后试品无破损且泄露电流不超过</w:t>
      </w:r>
      <w:r>
        <w:rPr>
          <w:highlight w:val="none"/>
        </w:rPr>
        <w:t>100mA</w:t>
      </w:r>
      <w:r>
        <w:rPr>
          <w:rFonts w:hint="eastAsia"/>
          <w:highlight w:val="none"/>
        </w:rPr>
        <w:t>。</w:t>
      </w:r>
      <w:r>
        <w:rPr>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85" w:name="_Toc15472"/>
      <w:r>
        <w:rPr>
          <w:rFonts w:hint="eastAsia" w:ascii="宋体" w:hAnsi="宋体"/>
          <w:kern w:val="44"/>
          <w:sz w:val="21"/>
          <w:szCs w:val="21"/>
          <w:highlight w:val="none"/>
          <w:shd w:val="clear" w:color="auto" w:fill="FFFFFF"/>
        </w:rPr>
        <w:t>温升极限试验</w:t>
      </w:r>
      <w:bookmarkEnd w:id="185"/>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试验对电器、电能表完全安装及门锁封闭状态下的计量表箱进行。</w:t>
      </w:r>
      <w:r>
        <w:rPr>
          <w:highlight w:val="none"/>
        </w:rPr>
        <w:t xml:space="preserve"> </w:t>
      </w:r>
    </w:p>
    <w:p>
      <w:pPr>
        <w:spacing w:line="360" w:lineRule="auto"/>
        <w:ind w:firstLine="420"/>
        <w:rPr>
          <w:highlight w:val="none"/>
        </w:rPr>
      </w:pPr>
      <w:r>
        <w:rPr>
          <w:rFonts w:hint="eastAsia"/>
          <w:highlight w:val="none"/>
        </w:rPr>
        <w:t>温升试验按照</w:t>
      </w:r>
      <w:r>
        <w:rPr>
          <w:highlight w:val="none"/>
        </w:rPr>
        <w:t>GB7251.1-2013</w:t>
      </w:r>
      <w:r>
        <w:rPr>
          <w:rFonts w:hint="eastAsia"/>
          <w:highlight w:val="none"/>
        </w:rPr>
        <w:t>中</w:t>
      </w:r>
      <w:r>
        <w:rPr>
          <w:highlight w:val="none"/>
        </w:rPr>
        <w:t>10.10</w:t>
      </w:r>
      <w:r>
        <w:rPr>
          <w:rFonts w:hint="eastAsia"/>
          <w:highlight w:val="none"/>
        </w:rPr>
        <w:t>的规定，试验后测试表7中各部位温度。温度测量采用热电偶。</w:t>
      </w:r>
      <w:r>
        <w:rPr>
          <w:highlight w:val="none"/>
        </w:rPr>
        <w:t xml:space="preserve"> </w:t>
      </w:r>
    </w:p>
    <w:p>
      <w:pPr>
        <w:spacing w:line="360" w:lineRule="auto"/>
        <w:ind w:firstLine="420"/>
        <w:rPr>
          <w:highlight w:val="none"/>
        </w:rPr>
      </w:pPr>
      <w:r>
        <w:rPr>
          <w:rFonts w:hint="eastAsia"/>
          <w:highlight w:val="none"/>
        </w:rPr>
        <w:t>试验结果：各部位的温升极限满足表7要求。</w:t>
      </w:r>
      <w:r>
        <w:rPr>
          <w:highlight w:val="none"/>
        </w:rPr>
        <w:t xml:space="preserve"> </w:t>
      </w:r>
    </w:p>
    <w:p>
      <w:pPr>
        <w:pStyle w:val="156"/>
        <w:numPr>
          <w:ilvl w:val="0"/>
          <w:numId w:val="26"/>
        </w:numPr>
        <w:spacing w:before="120" w:beforeLines="50"/>
        <w:ind w:left="357" w:hanging="357"/>
        <w:jc w:val="center"/>
        <w:rPr>
          <w:rFonts w:ascii="黑体" w:hAnsi="黑体" w:eastAsia="黑体"/>
          <w:b/>
          <w:color w:val="auto"/>
          <w:sz w:val="21"/>
          <w:szCs w:val="21"/>
          <w:highlight w:val="none"/>
        </w:rPr>
      </w:pPr>
      <w:r>
        <w:rPr>
          <w:rFonts w:hint="eastAsia" w:ascii="黑体" w:hAnsi="黑体" w:eastAsia="黑体"/>
          <w:b/>
          <w:color w:val="auto"/>
          <w:sz w:val="21"/>
          <w:szCs w:val="21"/>
          <w:highlight w:val="none"/>
        </w:rPr>
        <w:t>表7 温升极限值</w:t>
      </w:r>
    </w:p>
    <w:tbl>
      <w:tblPr>
        <w:tblStyle w:val="43"/>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5"/>
        <w:gridCol w:w="4385"/>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0" w:type="dxa"/>
            <w:gridSpan w:val="2"/>
            <w:noWrap w:val="0"/>
            <w:vAlign w:val="center"/>
          </w:tcPr>
          <w:p>
            <w:pPr>
              <w:jc w:val="center"/>
              <w:rPr>
                <w:szCs w:val="21"/>
                <w:highlight w:val="none"/>
              </w:rPr>
            </w:pPr>
            <w:r>
              <w:rPr>
                <w:rFonts w:hint="eastAsia"/>
                <w:szCs w:val="21"/>
                <w:highlight w:val="none"/>
              </w:rPr>
              <w:t>计量表箱的部件</w:t>
            </w:r>
          </w:p>
        </w:tc>
        <w:tc>
          <w:tcPr>
            <w:tcW w:w="1807" w:type="dxa"/>
            <w:noWrap w:val="0"/>
            <w:vAlign w:val="center"/>
          </w:tcPr>
          <w:p>
            <w:pPr>
              <w:jc w:val="center"/>
              <w:rPr>
                <w:szCs w:val="21"/>
                <w:highlight w:val="none"/>
              </w:rPr>
            </w:pPr>
            <w:r>
              <w:rPr>
                <w:rFonts w:hint="eastAsia"/>
                <w:szCs w:val="21"/>
                <w:highlight w:val="none"/>
              </w:rPr>
              <w:t>温升</w:t>
            </w:r>
            <w:r>
              <w:rPr>
                <w:szCs w:val="21"/>
                <w:highlight w:val="none"/>
              </w:rPr>
              <w:t>/K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95" w:type="dxa"/>
            <w:vMerge w:val="restart"/>
            <w:noWrap w:val="0"/>
            <w:vAlign w:val="center"/>
          </w:tcPr>
          <w:p>
            <w:pPr>
              <w:jc w:val="center"/>
              <w:rPr>
                <w:szCs w:val="21"/>
                <w:highlight w:val="none"/>
              </w:rPr>
            </w:pPr>
            <w:r>
              <w:rPr>
                <w:rFonts w:hint="eastAsia"/>
                <w:szCs w:val="21"/>
                <w:highlight w:val="none"/>
              </w:rPr>
              <w:t>进、出线端子</w:t>
            </w:r>
          </w:p>
        </w:tc>
        <w:tc>
          <w:tcPr>
            <w:tcW w:w="4385" w:type="dxa"/>
            <w:noWrap w:val="0"/>
            <w:vAlign w:val="center"/>
          </w:tcPr>
          <w:p>
            <w:pPr>
              <w:jc w:val="center"/>
              <w:rPr>
                <w:szCs w:val="21"/>
                <w:highlight w:val="none"/>
              </w:rPr>
            </w:pPr>
            <w:r>
              <w:rPr>
                <w:rFonts w:hint="eastAsia" w:hAnsi="Arial"/>
                <w:szCs w:val="21"/>
                <w:highlight w:val="none"/>
              </w:rPr>
              <w:t>断路器（</w:t>
            </w:r>
            <w:r>
              <w:rPr>
                <w:rFonts w:ascii="Arial" w:hAnsi="Arial" w:cs="Arial"/>
                <w:szCs w:val="21"/>
                <w:highlight w:val="none"/>
              </w:rPr>
              <w:t>MCCB</w:t>
            </w:r>
            <w:r>
              <w:rPr>
                <w:rFonts w:hint="eastAsia" w:hAnsi="Arial"/>
                <w:szCs w:val="21"/>
                <w:highlight w:val="none"/>
              </w:rPr>
              <w:t>）</w:t>
            </w:r>
          </w:p>
        </w:tc>
        <w:tc>
          <w:tcPr>
            <w:tcW w:w="1807" w:type="dxa"/>
            <w:noWrap w:val="0"/>
            <w:vAlign w:val="center"/>
          </w:tcPr>
          <w:p>
            <w:pPr>
              <w:jc w:val="center"/>
              <w:rPr>
                <w:szCs w:val="21"/>
                <w:highlight w:val="none"/>
              </w:rPr>
            </w:pPr>
            <w:r>
              <w:rPr>
                <w:rFonts w:hint="eastAsia"/>
                <w:szCs w:val="21"/>
                <w:highlight w:val="none"/>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95" w:type="dxa"/>
            <w:vMerge w:val="continue"/>
            <w:noWrap w:val="0"/>
            <w:vAlign w:val="center"/>
          </w:tcPr>
          <w:p>
            <w:pPr>
              <w:jc w:val="center"/>
              <w:rPr>
                <w:szCs w:val="21"/>
                <w:highlight w:val="none"/>
              </w:rPr>
            </w:pPr>
          </w:p>
        </w:tc>
        <w:tc>
          <w:tcPr>
            <w:tcW w:w="4385" w:type="dxa"/>
            <w:noWrap w:val="0"/>
            <w:vAlign w:val="center"/>
          </w:tcPr>
          <w:p>
            <w:pPr>
              <w:jc w:val="center"/>
              <w:rPr>
                <w:szCs w:val="21"/>
                <w:highlight w:val="none"/>
              </w:rPr>
            </w:pPr>
            <w:r>
              <w:rPr>
                <w:rFonts w:hint="eastAsia" w:hAnsi="Arial"/>
                <w:szCs w:val="21"/>
                <w:highlight w:val="none"/>
              </w:rPr>
              <w:t>小型断路器（</w:t>
            </w:r>
            <w:r>
              <w:rPr>
                <w:rFonts w:ascii="Arial" w:hAnsi="Arial" w:cs="Arial"/>
                <w:szCs w:val="21"/>
                <w:highlight w:val="none"/>
              </w:rPr>
              <w:t>MCB</w:t>
            </w:r>
            <w:r>
              <w:rPr>
                <w:rFonts w:hint="eastAsia" w:hAnsi="Arial"/>
                <w:szCs w:val="21"/>
                <w:highlight w:val="none"/>
              </w:rPr>
              <w:t>）</w:t>
            </w:r>
          </w:p>
        </w:tc>
        <w:tc>
          <w:tcPr>
            <w:tcW w:w="1807" w:type="dxa"/>
            <w:noWrap w:val="0"/>
            <w:vAlign w:val="center"/>
          </w:tcPr>
          <w:p>
            <w:pPr>
              <w:jc w:val="center"/>
              <w:rPr>
                <w:szCs w:val="21"/>
                <w:highlight w:val="none"/>
              </w:rPr>
            </w:pPr>
            <w:r>
              <w:rPr>
                <w:rFonts w:hint="eastAsia"/>
                <w:szCs w:val="21"/>
                <w:highlight w:val="none"/>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0" w:type="dxa"/>
            <w:gridSpan w:val="2"/>
            <w:noWrap w:val="0"/>
            <w:vAlign w:val="center"/>
          </w:tcPr>
          <w:p>
            <w:pPr>
              <w:jc w:val="center"/>
              <w:rPr>
                <w:szCs w:val="21"/>
                <w:highlight w:val="none"/>
              </w:rPr>
            </w:pPr>
            <w:r>
              <w:rPr>
                <w:rFonts w:hint="eastAsia"/>
                <w:szCs w:val="21"/>
                <w:highlight w:val="none"/>
              </w:rPr>
              <w:t>母排、导线，连接到母排上的可移式部件和抽出式部件插接式触点（如有）</w:t>
            </w:r>
          </w:p>
        </w:tc>
        <w:tc>
          <w:tcPr>
            <w:tcW w:w="1807" w:type="dxa"/>
            <w:noWrap w:val="0"/>
            <w:vAlign w:val="center"/>
          </w:tcPr>
          <w:p>
            <w:pPr>
              <w:jc w:val="center"/>
              <w:rPr>
                <w:szCs w:val="21"/>
                <w:highlight w:val="none"/>
              </w:rPr>
            </w:pPr>
            <w:r>
              <w:rPr>
                <w:rFonts w:hint="eastAsia"/>
                <w:szCs w:val="21"/>
                <w:highlight w:val="none"/>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0" w:type="dxa"/>
            <w:gridSpan w:val="2"/>
            <w:noWrap w:val="0"/>
            <w:vAlign w:val="center"/>
          </w:tcPr>
          <w:p>
            <w:pPr>
              <w:jc w:val="center"/>
              <w:rPr>
                <w:szCs w:val="21"/>
                <w:highlight w:val="none"/>
              </w:rPr>
            </w:pPr>
            <w:r>
              <w:rPr>
                <w:rFonts w:hint="eastAsia"/>
                <w:szCs w:val="21"/>
                <w:highlight w:val="none"/>
              </w:rPr>
              <w:t>操作手柄（锁体）、把手</w:t>
            </w:r>
          </w:p>
        </w:tc>
        <w:tc>
          <w:tcPr>
            <w:tcW w:w="1807" w:type="dxa"/>
            <w:noWrap w:val="0"/>
            <w:vAlign w:val="center"/>
          </w:tcPr>
          <w:p>
            <w:pPr>
              <w:jc w:val="center"/>
              <w:rPr>
                <w:szCs w:val="21"/>
                <w:highlight w:val="none"/>
              </w:rPr>
            </w:pPr>
            <w:r>
              <w:rPr>
                <w:rFonts w:hint="eastAsia"/>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0" w:type="dxa"/>
            <w:gridSpan w:val="2"/>
            <w:noWrap w:val="0"/>
            <w:vAlign w:val="center"/>
          </w:tcPr>
          <w:p>
            <w:pPr>
              <w:jc w:val="center"/>
              <w:rPr>
                <w:szCs w:val="21"/>
                <w:highlight w:val="none"/>
              </w:rPr>
            </w:pPr>
            <w:r>
              <w:rPr>
                <w:rFonts w:hint="eastAsia"/>
                <w:szCs w:val="21"/>
                <w:highlight w:val="none"/>
              </w:rPr>
              <w:t>外壳表面</w:t>
            </w:r>
          </w:p>
        </w:tc>
        <w:tc>
          <w:tcPr>
            <w:tcW w:w="1807" w:type="dxa"/>
            <w:noWrap w:val="0"/>
            <w:vAlign w:val="center"/>
          </w:tcPr>
          <w:p>
            <w:pPr>
              <w:jc w:val="center"/>
              <w:rPr>
                <w:szCs w:val="21"/>
                <w:highlight w:val="none"/>
              </w:rPr>
            </w:pPr>
            <w:r>
              <w:rPr>
                <w:rFonts w:hint="eastAsia"/>
                <w:szCs w:val="21"/>
                <w:highlight w:val="none"/>
              </w:rPr>
              <w:t>30</w:t>
            </w:r>
          </w:p>
        </w:tc>
      </w:tr>
    </w:tbl>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86" w:name="_Toc8530"/>
      <w:r>
        <w:rPr>
          <w:rFonts w:hint="eastAsia" w:ascii="宋体" w:hAnsi="宋体"/>
          <w:kern w:val="44"/>
          <w:sz w:val="21"/>
          <w:szCs w:val="21"/>
          <w:highlight w:val="none"/>
          <w:shd w:val="clear" w:color="auto" w:fill="FFFFFF"/>
        </w:rPr>
        <w:t>电气开关性能检验</w:t>
      </w:r>
      <w:bookmarkEnd w:id="186"/>
      <w:r>
        <w:rPr>
          <w:rFonts w:ascii="宋体" w:hAnsi="宋体"/>
          <w:kern w:val="44"/>
          <w:sz w:val="21"/>
          <w:szCs w:val="21"/>
          <w:highlight w:val="none"/>
          <w:shd w:val="clear" w:color="auto" w:fill="FFFFFF"/>
        </w:rPr>
        <w:t xml:space="preserve"> </w:t>
      </w:r>
    </w:p>
    <w:p>
      <w:pPr>
        <w:spacing w:line="360" w:lineRule="auto"/>
        <w:ind w:firstLine="420"/>
        <w:rPr>
          <w:highlight w:val="none"/>
        </w:rPr>
      </w:pPr>
      <w:r>
        <w:rPr>
          <w:rFonts w:hint="eastAsia"/>
          <w:highlight w:val="none"/>
        </w:rPr>
        <w:t>试验按照</w:t>
      </w:r>
      <w:r>
        <w:rPr>
          <w:highlight w:val="none"/>
        </w:rPr>
        <w:t>GB 10963.1</w:t>
      </w:r>
      <w:r>
        <w:rPr>
          <w:rFonts w:hint="eastAsia"/>
          <w:highlight w:val="none"/>
        </w:rPr>
        <w:t>、</w:t>
      </w:r>
      <w:r>
        <w:rPr>
          <w:highlight w:val="none"/>
        </w:rPr>
        <w:t>GB/T 14048.2</w:t>
      </w:r>
      <w:r>
        <w:rPr>
          <w:rFonts w:hint="eastAsia"/>
          <w:highlight w:val="none"/>
        </w:rPr>
        <w:t>、</w:t>
      </w:r>
      <w:r>
        <w:rPr>
          <w:highlight w:val="none"/>
        </w:rPr>
        <w:t>GB/T 14048.3</w:t>
      </w:r>
      <w:r>
        <w:rPr>
          <w:rFonts w:hint="eastAsia"/>
          <w:highlight w:val="none"/>
        </w:rPr>
        <w:t>的规定，依次进行电气开关的耐燃试验、分断能力、过流脱扣性能指标试验，试验结果符合相应技术指标要求。</w:t>
      </w:r>
      <w:r>
        <w:rPr>
          <w:highlight w:val="none"/>
        </w:rPr>
        <w:t xml:space="preserve"> </w:t>
      </w:r>
    </w:p>
    <w:bookmarkEnd w:id="88"/>
    <w:p>
      <w:pPr>
        <w:pStyle w:val="2"/>
        <w:keepLines/>
        <w:numPr>
          <w:ilvl w:val="0"/>
          <w:numId w:val="25"/>
        </w:numPr>
        <w:topLinePunct/>
        <w:adjustRightInd w:val="0"/>
        <w:spacing w:before="120" w:beforeLines="50" w:line="360" w:lineRule="auto"/>
        <w:rPr>
          <w:rFonts w:ascii="Times New Roman" w:hAnsi="Times New Roman"/>
          <w:b/>
          <w:w w:val="100"/>
          <w:kern w:val="44"/>
          <w:sz w:val="21"/>
          <w:szCs w:val="21"/>
          <w:highlight w:val="none"/>
          <w:shd w:val="clear" w:color="auto" w:fill="FFFFFF"/>
        </w:rPr>
      </w:pPr>
      <w:bookmarkStart w:id="187" w:name="_Toc2685"/>
      <w:bookmarkStart w:id="188" w:name="_Toc275195140"/>
      <w:bookmarkStart w:id="189" w:name="_Toc259106521"/>
      <w:bookmarkStart w:id="190" w:name="_Toc250476597"/>
      <w:bookmarkStart w:id="191" w:name="_Toc407271812"/>
      <w:r>
        <w:rPr>
          <w:rFonts w:ascii="Times New Roman" w:hAnsi="Times New Roman"/>
          <w:b/>
          <w:w w:val="100"/>
          <w:kern w:val="44"/>
          <w:sz w:val="21"/>
          <w:szCs w:val="21"/>
          <w:highlight w:val="none"/>
          <w:shd w:val="clear" w:color="auto" w:fill="FFFFFF"/>
        </w:rPr>
        <w:t>验收方法</w:t>
      </w:r>
      <w:bookmarkEnd w:id="187"/>
      <w:bookmarkEnd w:id="188"/>
      <w:bookmarkEnd w:id="189"/>
      <w:bookmarkEnd w:id="190"/>
      <w:bookmarkEnd w:id="191"/>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192" w:name="_Toc25717"/>
      <w:r>
        <w:rPr>
          <w:rFonts w:hint="eastAsia" w:ascii="宋体" w:hAnsi="宋体" w:eastAsia="宋体"/>
          <w:kern w:val="44"/>
          <w:sz w:val="21"/>
          <w:szCs w:val="21"/>
          <w:highlight w:val="none"/>
          <w:shd w:val="clear" w:color="auto" w:fill="FFFFFF"/>
        </w:rPr>
        <w:t>到货抽检</w:t>
      </w:r>
      <w:bookmarkEnd w:id="192"/>
    </w:p>
    <w:p>
      <w:pPr>
        <w:spacing w:line="360" w:lineRule="auto"/>
        <w:ind w:firstLine="420" w:firstLineChars="200"/>
        <w:rPr>
          <w:highlight w:val="none"/>
        </w:rPr>
      </w:pPr>
      <w:r>
        <w:rPr>
          <w:rFonts w:hint="eastAsia"/>
          <w:highlight w:val="none"/>
        </w:rPr>
        <w:t>省级计量中心</w:t>
      </w:r>
      <w:r>
        <w:rPr>
          <w:highlight w:val="none"/>
        </w:rPr>
        <w:tab/>
      </w:r>
      <w:r>
        <w:rPr>
          <w:highlight w:val="none"/>
        </w:rPr>
        <w:t>按相关国家标准及行业标准、以及本标准的要求，进行</w:t>
      </w:r>
      <w:r>
        <w:rPr>
          <w:rFonts w:hint="eastAsia"/>
          <w:highlight w:val="none"/>
        </w:rPr>
        <w:t>外观检查</w:t>
      </w:r>
      <w:r>
        <w:rPr>
          <w:highlight w:val="none"/>
        </w:rPr>
        <w:t>、</w:t>
      </w:r>
      <w:r>
        <w:rPr>
          <w:rFonts w:hint="eastAsia"/>
          <w:highlight w:val="none"/>
        </w:rPr>
        <w:t>结构尺寸及计量表箱配件检查</w:t>
      </w:r>
      <w:r>
        <w:rPr>
          <w:highlight w:val="none"/>
        </w:rPr>
        <w:t>、</w:t>
      </w:r>
      <w:r>
        <w:rPr>
          <w:rFonts w:hint="eastAsia"/>
          <w:highlight w:val="none"/>
        </w:rPr>
        <w:t>材料性能</w:t>
      </w:r>
      <w:r>
        <w:rPr>
          <w:highlight w:val="none"/>
        </w:rPr>
        <w:t>、</w:t>
      </w:r>
      <w:r>
        <w:rPr>
          <w:rFonts w:hint="eastAsia"/>
          <w:highlight w:val="none"/>
        </w:rPr>
        <w:t>机械性能</w:t>
      </w:r>
      <w:r>
        <w:rPr>
          <w:highlight w:val="none"/>
        </w:rPr>
        <w:t>和</w:t>
      </w:r>
      <w:r>
        <w:rPr>
          <w:rFonts w:hint="eastAsia"/>
          <w:highlight w:val="none"/>
        </w:rPr>
        <w:t>电气性能</w:t>
      </w:r>
      <w:r>
        <w:rPr>
          <w:highlight w:val="none"/>
        </w:rPr>
        <w:t>等方面的试验，试验项目</w:t>
      </w:r>
      <w:r>
        <w:rPr>
          <w:rFonts w:hint="eastAsia"/>
          <w:highlight w:val="none"/>
        </w:rPr>
        <w:t>参照</w:t>
      </w:r>
      <w:r>
        <w:rPr>
          <w:highlight w:val="none"/>
        </w:rPr>
        <w:t>附录</w:t>
      </w:r>
      <w:r>
        <w:rPr>
          <w:rFonts w:hint="eastAsia"/>
          <w:highlight w:val="none"/>
        </w:rPr>
        <w:t>A选取</w:t>
      </w:r>
      <w:r>
        <w:rPr>
          <w:highlight w:val="none"/>
        </w:rPr>
        <w:t>。</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93" w:name="_Toc275165177"/>
      <w:bookmarkStart w:id="194" w:name="_Toc259106523"/>
      <w:bookmarkStart w:id="195" w:name="_Toc275195142"/>
      <w:r>
        <w:rPr>
          <w:rFonts w:hint="eastAsia" w:ascii="宋体" w:hAnsi="宋体"/>
          <w:kern w:val="44"/>
          <w:sz w:val="21"/>
          <w:szCs w:val="21"/>
          <w:highlight w:val="none"/>
          <w:shd w:val="clear" w:color="auto" w:fill="FFFFFF"/>
        </w:rPr>
        <w:t xml:space="preserve"> </w:t>
      </w:r>
      <w:bookmarkStart w:id="196" w:name="_Toc407271814"/>
      <w:bookmarkStart w:id="197" w:name="_Toc16213"/>
      <w:r>
        <w:rPr>
          <w:rFonts w:ascii="宋体" w:hAnsi="宋体"/>
          <w:kern w:val="44"/>
          <w:sz w:val="21"/>
          <w:szCs w:val="21"/>
          <w:highlight w:val="none"/>
          <w:shd w:val="clear" w:color="auto" w:fill="FFFFFF"/>
        </w:rPr>
        <w:t>抽样方案</w:t>
      </w:r>
      <w:bookmarkEnd w:id="193"/>
      <w:bookmarkEnd w:id="194"/>
      <w:bookmarkEnd w:id="195"/>
      <w:bookmarkEnd w:id="196"/>
      <w:bookmarkEnd w:id="197"/>
    </w:p>
    <w:p>
      <w:pPr>
        <w:spacing w:line="360" w:lineRule="auto"/>
        <w:ind w:firstLine="420" w:firstLineChars="200"/>
        <w:rPr>
          <w:highlight w:val="none"/>
        </w:rPr>
      </w:pPr>
      <w:r>
        <w:rPr>
          <w:rFonts w:hint="eastAsia"/>
          <w:highlight w:val="none"/>
        </w:rPr>
        <w:t>以同一个厂家、同一个合同、同一时期交货的产品为一个供货批次。计量表箱每批次每种型号规格各随机抽取1台送检。</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198" w:name="_Toc275195143"/>
      <w:bookmarkStart w:id="199" w:name="_Toc259106524"/>
      <w:bookmarkStart w:id="200" w:name="_Toc275165178"/>
      <w:r>
        <w:rPr>
          <w:rFonts w:hint="eastAsia" w:ascii="宋体" w:hAnsi="宋体"/>
          <w:kern w:val="44"/>
          <w:sz w:val="21"/>
          <w:szCs w:val="21"/>
          <w:highlight w:val="none"/>
          <w:shd w:val="clear" w:color="auto" w:fill="FFFFFF"/>
        </w:rPr>
        <w:t xml:space="preserve"> </w:t>
      </w:r>
      <w:bookmarkStart w:id="201" w:name="_Toc14545"/>
      <w:bookmarkStart w:id="202" w:name="_Toc407271815"/>
      <w:r>
        <w:rPr>
          <w:rFonts w:ascii="宋体" w:hAnsi="宋体"/>
          <w:kern w:val="44"/>
          <w:sz w:val="21"/>
          <w:szCs w:val="21"/>
          <w:highlight w:val="none"/>
          <w:shd w:val="clear" w:color="auto" w:fill="FFFFFF"/>
        </w:rPr>
        <w:t>不合格分类</w:t>
      </w:r>
      <w:bookmarkEnd w:id="198"/>
      <w:bookmarkEnd w:id="199"/>
      <w:bookmarkEnd w:id="200"/>
      <w:bookmarkEnd w:id="201"/>
      <w:bookmarkEnd w:id="202"/>
    </w:p>
    <w:p>
      <w:pPr>
        <w:spacing w:line="360" w:lineRule="auto"/>
        <w:ind w:firstLine="420" w:firstLineChars="200"/>
        <w:rPr>
          <w:szCs w:val="21"/>
          <w:highlight w:val="none"/>
        </w:rPr>
      </w:pPr>
      <w:r>
        <w:rPr>
          <w:kern w:val="0"/>
          <w:szCs w:val="21"/>
          <w:highlight w:val="none"/>
        </w:rPr>
        <w:t>不合格分为A、B、C 三类。A 类不合格权值为1.0，B 类不合格权值为0.6，C 类不合格权值为0.2。检验项目不合格类别的划分见附录</w:t>
      </w:r>
      <w:r>
        <w:rPr>
          <w:rFonts w:hint="eastAsia"/>
          <w:kern w:val="0"/>
          <w:szCs w:val="21"/>
          <w:highlight w:val="none"/>
        </w:rPr>
        <w:t>A</w:t>
      </w:r>
      <w:r>
        <w:rPr>
          <w:kern w:val="0"/>
          <w:szCs w:val="21"/>
          <w:highlight w:val="none"/>
        </w:rPr>
        <w:t>。</w:t>
      </w:r>
    </w:p>
    <w:p>
      <w:pPr>
        <w:pStyle w:val="4"/>
        <w:numPr>
          <w:ilvl w:val="2"/>
          <w:numId w:val="25"/>
        </w:numPr>
        <w:topLinePunct/>
        <w:adjustRightInd w:val="0"/>
        <w:spacing w:before="120" w:beforeLines="50" w:after="0" w:line="360" w:lineRule="auto"/>
        <w:rPr>
          <w:b w:val="0"/>
          <w:kern w:val="21"/>
          <w:sz w:val="21"/>
          <w:szCs w:val="20"/>
          <w:highlight w:val="none"/>
        </w:rPr>
      </w:pPr>
      <w:bookmarkStart w:id="203" w:name="_Toc259106525"/>
      <w:bookmarkStart w:id="204" w:name="_Toc275195144"/>
      <w:bookmarkStart w:id="205" w:name="_Toc275165179"/>
      <w:r>
        <w:rPr>
          <w:rFonts w:hint="eastAsia"/>
          <w:b w:val="0"/>
          <w:kern w:val="21"/>
          <w:sz w:val="21"/>
          <w:szCs w:val="20"/>
          <w:highlight w:val="none"/>
        </w:rPr>
        <w:t xml:space="preserve"> </w:t>
      </w:r>
      <w:bookmarkStart w:id="206" w:name="_Toc8373"/>
      <w:bookmarkStart w:id="207" w:name="_Toc407271816"/>
      <w:r>
        <w:rPr>
          <w:rFonts w:ascii="宋体" w:hAnsi="宋体"/>
          <w:kern w:val="44"/>
          <w:sz w:val="21"/>
          <w:szCs w:val="21"/>
          <w:highlight w:val="none"/>
          <w:shd w:val="clear" w:color="auto" w:fill="FFFFFF"/>
        </w:rPr>
        <w:t>检验结果的判定</w:t>
      </w:r>
      <w:bookmarkEnd w:id="203"/>
      <w:bookmarkEnd w:id="204"/>
      <w:bookmarkEnd w:id="205"/>
      <w:bookmarkEnd w:id="206"/>
      <w:bookmarkEnd w:id="207"/>
    </w:p>
    <w:p>
      <w:pPr>
        <w:autoSpaceDE w:val="0"/>
        <w:autoSpaceDN w:val="0"/>
        <w:adjustRightInd w:val="0"/>
        <w:spacing w:line="360" w:lineRule="auto"/>
        <w:ind w:left="794" w:leftChars="228" w:hanging="315" w:hangingChars="150"/>
        <w:jc w:val="left"/>
        <w:rPr>
          <w:kern w:val="0"/>
          <w:szCs w:val="21"/>
          <w:highlight w:val="none"/>
        </w:rPr>
      </w:pPr>
      <w:r>
        <w:rPr>
          <w:rFonts w:cs="Arial"/>
          <w:szCs w:val="21"/>
          <w:highlight w:val="none"/>
        </w:rPr>
        <w:t>——</w:t>
      </w:r>
      <w:r>
        <w:rPr>
          <w:kern w:val="0"/>
          <w:szCs w:val="21"/>
          <w:highlight w:val="none"/>
        </w:rPr>
        <w:t xml:space="preserve"> 检验中，以样本的A类不合格或其他类不合格折算为A类不合格，作为不合格判定数。</w:t>
      </w:r>
    </w:p>
    <w:p>
      <w:pPr>
        <w:autoSpaceDE w:val="0"/>
        <w:autoSpaceDN w:val="0"/>
        <w:adjustRightInd w:val="0"/>
        <w:spacing w:line="360" w:lineRule="auto"/>
        <w:ind w:left="794" w:leftChars="228" w:hanging="315" w:hangingChars="150"/>
        <w:jc w:val="left"/>
        <w:rPr>
          <w:kern w:val="0"/>
          <w:szCs w:val="21"/>
          <w:highlight w:val="none"/>
        </w:rPr>
      </w:pPr>
      <w:r>
        <w:rPr>
          <w:rFonts w:cs="Arial"/>
          <w:szCs w:val="21"/>
          <w:highlight w:val="none"/>
        </w:rPr>
        <w:t>——</w:t>
      </w:r>
      <w:r>
        <w:rPr>
          <w:kern w:val="0"/>
          <w:szCs w:val="21"/>
          <w:highlight w:val="none"/>
        </w:rPr>
        <w:t xml:space="preserve"> 除另有说明外，对在同一样本上重复出现的不合格（以A类计算），均按一个不合格计。</w:t>
      </w:r>
    </w:p>
    <w:p>
      <w:pPr>
        <w:autoSpaceDE w:val="0"/>
        <w:autoSpaceDN w:val="0"/>
        <w:adjustRightInd w:val="0"/>
        <w:spacing w:line="360" w:lineRule="auto"/>
        <w:ind w:firstLine="478" w:firstLineChars="228"/>
        <w:jc w:val="left"/>
        <w:rPr>
          <w:kern w:val="0"/>
          <w:szCs w:val="21"/>
          <w:highlight w:val="none"/>
        </w:rPr>
      </w:pPr>
      <w:r>
        <w:rPr>
          <w:rFonts w:cs="Arial"/>
          <w:szCs w:val="21"/>
          <w:highlight w:val="none"/>
        </w:rPr>
        <w:t>——</w:t>
      </w:r>
      <w:r>
        <w:rPr>
          <w:kern w:val="0"/>
          <w:szCs w:val="21"/>
          <w:highlight w:val="none"/>
        </w:rPr>
        <w:t xml:space="preserve"> 检验中发现任一样品的A 类不合格或其他类不合格，折算为A类不合格的权值，累积数大于或等于1 时，则判为验收不合格。</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208" w:name="_Toc21486"/>
      <w:r>
        <w:rPr>
          <w:rFonts w:hint="eastAsia" w:ascii="宋体" w:hAnsi="宋体" w:eastAsia="宋体"/>
          <w:kern w:val="44"/>
          <w:sz w:val="21"/>
          <w:szCs w:val="21"/>
          <w:highlight w:val="none"/>
          <w:shd w:val="clear" w:color="auto" w:fill="FFFFFF"/>
        </w:rPr>
        <w:t>安装前检验</w:t>
      </w:r>
      <w:bookmarkEnd w:id="208"/>
    </w:p>
    <w:p>
      <w:pPr>
        <w:spacing w:line="360" w:lineRule="auto"/>
        <w:ind w:firstLine="420" w:firstLineChars="200"/>
        <w:rPr>
          <w:kern w:val="0"/>
          <w:szCs w:val="21"/>
          <w:highlight w:val="none"/>
        </w:rPr>
      </w:pPr>
      <w:r>
        <w:rPr>
          <w:rFonts w:hint="eastAsia"/>
          <w:kern w:val="0"/>
          <w:szCs w:val="21"/>
          <w:highlight w:val="none"/>
        </w:rPr>
        <w:t>订货单位按照</w:t>
      </w:r>
      <w:r>
        <w:rPr>
          <w:highlight w:val="none"/>
        </w:rPr>
        <w:t>按本标准</w:t>
      </w:r>
      <w:r>
        <w:rPr>
          <w:rFonts w:hint="eastAsia"/>
          <w:highlight w:val="none"/>
        </w:rPr>
        <w:t>及订货补充技术协议的</w:t>
      </w:r>
      <w:r>
        <w:rPr>
          <w:highlight w:val="none"/>
        </w:rPr>
        <w:t>要求</w:t>
      </w:r>
      <w:r>
        <w:rPr>
          <w:rFonts w:hint="eastAsia"/>
          <w:highlight w:val="none"/>
        </w:rPr>
        <w:t>，对即将安装的计量表箱进行外观检查</w:t>
      </w:r>
      <w:r>
        <w:rPr>
          <w:highlight w:val="none"/>
        </w:rPr>
        <w:t>、</w:t>
      </w:r>
      <w:r>
        <w:rPr>
          <w:rFonts w:hint="eastAsia"/>
          <w:highlight w:val="none"/>
        </w:rPr>
        <w:t>结构尺寸及计量表箱配件检查，</w:t>
      </w:r>
      <w:r>
        <w:rPr>
          <w:highlight w:val="none"/>
        </w:rPr>
        <w:t>试验项目</w:t>
      </w:r>
      <w:r>
        <w:rPr>
          <w:rFonts w:hint="eastAsia"/>
          <w:highlight w:val="none"/>
        </w:rPr>
        <w:t>参照</w:t>
      </w:r>
      <w:r>
        <w:rPr>
          <w:highlight w:val="none"/>
        </w:rPr>
        <w:t>附录</w:t>
      </w:r>
      <w:r>
        <w:rPr>
          <w:rFonts w:hint="eastAsia"/>
          <w:highlight w:val="none"/>
        </w:rPr>
        <w:t>A选取</w:t>
      </w:r>
      <w:r>
        <w:rPr>
          <w:highlight w:val="none"/>
        </w:rPr>
        <w:t>。</w:t>
      </w:r>
    </w:p>
    <w:p>
      <w:pPr>
        <w:pStyle w:val="2"/>
        <w:keepLines/>
        <w:numPr>
          <w:ilvl w:val="0"/>
          <w:numId w:val="25"/>
        </w:numPr>
        <w:topLinePunct/>
        <w:adjustRightInd w:val="0"/>
        <w:spacing w:before="120" w:beforeLines="50" w:line="360" w:lineRule="auto"/>
        <w:rPr>
          <w:rFonts w:ascii="Times New Roman" w:hAnsi="Times New Roman"/>
          <w:b/>
          <w:w w:val="100"/>
          <w:kern w:val="44"/>
          <w:sz w:val="21"/>
          <w:szCs w:val="21"/>
          <w:highlight w:val="none"/>
          <w:shd w:val="clear" w:color="auto" w:fill="FFFFFF"/>
        </w:rPr>
      </w:pPr>
      <w:bookmarkStart w:id="209" w:name="_Toc455"/>
      <w:bookmarkStart w:id="210" w:name="_Toc236731980"/>
      <w:bookmarkStart w:id="211" w:name="_Toc275195148"/>
      <w:r>
        <w:rPr>
          <w:rFonts w:hint="eastAsia" w:ascii="Times New Roman" w:hAnsi="Times New Roman"/>
          <w:b/>
          <w:w w:val="100"/>
          <w:kern w:val="44"/>
          <w:sz w:val="21"/>
          <w:szCs w:val="21"/>
          <w:highlight w:val="none"/>
          <w:shd w:val="clear" w:color="auto" w:fill="FFFFFF"/>
        </w:rPr>
        <w:t>计量表箱包装、贮存、运输</w:t>
      </w:r>
      <w:bookmarkEnd w:id="209"/>
      <w:r>
        <w:rPr>
          <w:rFonts w:ascii="Times New Roman" w:hAnsi="Times New Roman"/>
          <w:b/>
          <w:w w:val="100"/>
          <w:kern w:val="44"/>
          <w:sz w:val="21"/>
          <w:szCs w:val="21"/>
          <w:highlight w:val="none"/>
          <w:shd w:val="clear" w:color="auto" w:fill="FFFFFF"/>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212" w:name="_Toc18721"/>
      <w:r>
        <w:rPr>
          <w:rFonts w:hint="eastAsia" w:ascii="宋体" w:hAnsi="宋体" w:eastAsia="宋体"/>
          <w:kern w:val="44"/>
          <w:sz w:val="21"/>
          <w:szCs w:val="21"/>
          <w:highlight w:val="none"/>
          <w:shd w:val="clear" w:color="auto" w:fill="FFFFFF"/>
        </w:rPr>
        <w:t>包装</w:t>
      </w:r>
      <w:bookmarkEnd w:id="212"/>
      <w:r>
        <w:rPr>
          <w:rFonts w:ascii="宋体" w:hAnsi="宋体" w:eastAsia="宋体"/>
          <w:kern w:val="44"/>
          <w:sz w:val="21"/>
          <w:szCs w:val="21"/>
          <w:highlight w:val="none"/>
          <w:shd w:val="clear" w:color="auto" w:fill="FFFFFF"/>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213" w:name="_Toc18961"/>
      <w:r>
        <w:rPr>
          <w:rFonts w:hint="eastAsia" w:ascii="宋体" w:hAnsi="宋体"/>
          <w:kern w:val="44"/>
          <w:sz w:val="21"/>
          <w:szCs w:val="21"/>
          <w:highlight w:val="none"/>
          <w:shd w:val="clear" w:color="auto" w:fill="FFFFFF"/>
        </w:rPr>
        <w:t>总则</w:t>
      </w:r>
      <w:bookmarkEnd w:id="213"/>
      <w:r>
        <w:rPr>
          <w:rFonts w:ascii="宋体" w:hAnsi="宋体"/>
          <w:kern w:val="44"/>
          <w:sz w:val="21"/>
          <w:szCs w:val="21"/>
          <w:highlight w:val="none"/>
          <w:shd w:val="clear" w:color="auto" w:fill="FFFFFF"/>
        </w:rPr>
        <w:t xml:space="preserve"> </w:t>
      </w:r>
    </w:p>
    <w:p>
      <w:pPr>
        <w:spacing w:line="360" w:lineRule="auto"/>
        <w:ind w:firstLine="420"/>
        <w:rPr>
          <w:szCs w:val="21"/>
          <w:highlight w:val="none"/>
        </w:rPr>
      </w:pPr>
      <w:r>
        <w:rPr>
          <w:rFonts w:hint="eastAsia"/>
          <w:szCs w:val="21"/>
          <w:highlight w:val="none"/>
        </w:rPr>
        <w:t>包装分产品包装（内包装）和运输包装（外包装），其包装。</w:t>
      </w:r>
      <w:r>
        <w:rPr>
          <w:szCs w:val="21"/>
          <w:highlight w:val="none"/>
        </w:rPr>
        <w:t xml:space="preserve"> </w:t>
      </w:r>
    </w:p>
    <w:p>
      <w:pPr>
        <w:spacing w:line="360" w:lineRule="auto"/>
        <w:ind w:firstLine="420"/>
        <w:rPr>
          <w:szCs w:val="21"/>
          <w:highlight w:val="none"/>
        </w:rPr>
      </w:pPr>
      <w:r>
        <w:rPr>
          <w:rFonts w:hint="eastAsia"/>
          <w:szCs w:val="21"/>
          <w:highlight w:val="none"/>
        </w:rPr>
        <w:t>包装应满足</w:t>
      </w:r>
      <w:r>
        <w:rPr>
          <w:szCs w:val="21"/>
          <w:highlight w:val="none"/>
        </w:rPr>
        <w:t>GB/T 191</w:t>
      </w:r>
      <w:r>
        <w:rPr>
          <w:rFonts w:hint="eastAsia"/>
          <w:szCs w:val="21"/>
          <w:highlight w:val="none"/>
        </w:rPr>
        <w:t>、</w:t>
      </w:r>
      <w:r>
        <w:rPr>
          <w:szCs w:val="21"/>
          <w:highlight w:val="none"/>
        </w:rPr>
        <w:t xml:space="preserve"> GB/T 13384</w:t>
      </w:r>
      <w:r>
        <w:rPr>
          <w:rFonts w:hint="eastAsia"/>
          <w:szCs w:val="21"/>
          <w:highlight w:val="none"/>
        </w:rPr>
        <w:t>的相应要求。</w:t>
      </w:r>
      <w:r>
        <w:rPr>
          <w:szCs w:val="21"/>
          <w:highlight w:val="none"/>
        </w:rPr>
        <w:t xml:space="preserve"> </w:t>
      </w:r>
    </w:p>
    <w:p>
      <w:pPr>
        <w:spacing w:line="360" w:lineRule="auto"/>
        <w:ind w:firstLine="420"/>
        <w:rPr>
          <w:szCs w:val="21"/>
          <w:highlight w:val="none"/>
        </w:rPr>
      </w:pPr>
      <w:r>
        <w:rPr>
          <w:rFonts w:hint="eastAsia"/>
          <w:szCs w:val="21"/>
          <w:highlight w:val="none"/>
        </w:rPr>
        <w:t>产品包装方式满足现场安装需求，可采用整体包装或拆卸包装。</w:t>
      </w:r>
      <w:r>
        <w:rPr>
          <w:szCs w:val="21"/>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214" w:name="_Toc9532"/>
      <w:r>
        <w:rPr>
          <w:rFonts w:hint="eastAsia" w:ascii="宋体" w:hAnsi="宋体"/>
          <w:kern w:val="44"/>
          <w:sz w:val="21"/>
          <w:szCs w:val="21"/>
          <w:highlight w:val="none"/>
          <w:shd w:val="clear" w:color="auto" w:fill="FFFFFF"/>
        </w:rPr>
        <w:t>产品包装</w:t>
      </w:r>
      <w:bookmarkEnd w:id="214"/>
      <w:r>
        <w:rPr>
          <w:rFonts w:ascii="宋体" w:hAnsi="宋体"/>
          <w:kern w:val="44"/>
          <w:sz w:val="21"/>
          <w:szCs w:val="21"/>
          <w:highlight w:val="none"/>
          <w:shd w:val="clear" w:color="auto" w:fill="FFFFFF"/>
        </w:rPr>
        <w:t xml:space="preserve"> </w:t>
      </w:r>
    </w:p>
    <w:p>
      <w:pPr>
        <w:spacing w:line="360" w:lineRule="auto"/>
        <w:ind w:firstLine="420"/>
        <w:rPr>
          <w:szCs w:val="21"/>
          <w:highlight w:val="none"/>
        </w:rPr>
      </w:pPr>
      <w:r>
        <w:rPr>
          <w:rFonts w:hint="eastAsia"/>
          <w:szCs w:val="21"/>
          <w:highlight w:val="none"/>
        </w:rPr>
        <w:t>产品包装采用环保材料，包装箱内应有：</w:t>
      </w:r>
      <w:r>
        <w:rPr>
          <w:szCs w:val="21"/>
          <w:highlight w:val="none"/>
        </w:rPr>
        <w:t xml:space="preserve"> </w:t>
      </w:r>
    </w:p>
    <w:p>
      <w:pPr>
        <w:spacing w:line="380" w:lineRule="exact"/>
        <w:ind w:firstLine="420"/>
        <w:rPr>
          <w:szCs w:val="21"/>
          <w:highlight w:val="none"/>
        </w:rPr>
      </w:pPr>
      <w:r>
        <w:rPr>
          <w:rFonts w:hint="eastAsia"/>
          <w:szCs w:val="21"/>
          <w:highlight w:val="none"/>
        </w:rPr>
        <w:t>1</w:t>
      </w:r>
      <w:r>
        <w:rPr>
          <w:szCs w:val="21"/>
          <w:highlight w:val="none"/>
        </w:rPr>
        <w:t xml:space="preserve">) </w:t>
      </w:r>
      <w:r>
        <w:rPr>
          <w:rFonts w:hint="eastAsia"/>
          <w:szCs w:val="21"/>
          <w:highlight w:val="none"/>
        </w:rPr>
        <w:t>安装附件；</w:t>
      </w:r>
      <w:r>
        <w:rPr>
          <w:szCs w:val="21"/>
          <w:highlight w:val="none"/>
        </w:rPr>
        <w:t xml:space="preserve"> </w:t>
      </w:r>
    </w:p>
    <w:p>
      <w:pPr>
        <w:spacing w:line="380" w:lineRule="exact"/>
        <w:ind w:firstLine="420"/>
        <w:rPr>
          <w:szCs w:val="21"/>
          <w:highlight w:val="none"/>
        </w:rPr>
      </w:pPr>
      <w:r>
        <w:rPr>
          <w:rFonts w:hint="eastAsia"/>
          <w:szCs w:val="21"/>
          <w:highlight w:val="none"/>
        </w:rPr>
        <w:t>2</w:t>
      </w:r>
      <w:r>
        <w:rPr>
          <w:szCs w:val="21"/>
          <w:highlight w:val="none"/>
        </w:rPr>
        <w:t xml:space="preserve">) </w:t>
      </w:r>
      <w:r>
        <w:rPr>
          <w:rFonts w:hint="eastAsia"/>
          <w:szCs w:val="21"/>
          <w:highlight w:val="none"/>
        </w:rPr>
        <w:t>箱门钥匙；</w:t>
      </w:r>
      <w:r>
        <w:rPr>
          <w:szCs w:val="21"/>
          <w:highlight w:val="none"/>
        </w:rPr>
        <w:t xml:space="preserve"> </w:t>
      </w:r>
    </w:p>
    <w:p>
      <w:pPr>
        <w:spacing w:line="380" w:lineRule="exact"/>
        <w:ind w:firstLine="420"/>
        <w:rPr>
          <w:szCs w:val="21"/>
          <w:highlight w:val="none"/>
        </w:rPr>
      </w:pPr>
      <w:r>
        <w:rPr>
          <w:rFonts w:hint="eastAsia"/>
          <w:szCs w:val="21"/>
          <w:highlight w:val="none"/>
        </w:rPr>
        <w:t>3</w:t>
      </w:r>
      <w:r>
        <w:rPr>
          <w:szCs w:val="21"/>
          <w:highlight w:val="none"/>
        </w:rPr>
        <w:t xml:space="preserve">) </w:t>
      </w:r>
      <w:r>
        <w:rPr>
          <w:rFonts w:hint="eastAsia"/>
          <w:szCs w:val="21"/>
          <w:highlight w:val="none"/>
        </w:rPr>
        <w:t>产品及安装说明书；电气原理图和安装接线图等；</w:t>
      </w:r>
      <w:r>
        <w:rPr>
          <w:szCs w:val="21"/>
          <w:highlight w:val="none"/>
        </w:rPr>
        <w:t xml:space="preserve"> </w:t>
      </w:r>
    </w:p>
    <w:p>
      <w:pPr>
        <w:spacing w:line="380" w:lineRule="exact"/>
        <w:ind w:firstLine="420"/>
        <w:rPr>
          <w:szCs w:val="21"/>
          <w:highlight w:val="none"/>
        </w:rPr>
      </w:pPr>
      <w:r>
        <w:rPr>
          <w:rFonts w:hint="eastAsia"/>
          <w:szCs w:val="21"/>
          <w:highlight w:val="none"/>
        </w:rPr>
        <w:t>4</w:t>
      </w:r>
      <w:r>
        <w:rPr>
          <w:szCs w:val="21"/>
          <w:highlight w:val="none"/>
        </w:rPr>
        <w:t xml:space="preserve">) </w:t>
      </w:r>
      <w:r>
        <w:rPr>
          <w:rFonts w:hint="eastAsia"/>
          <w:szCs w:val="21"/>
          <w:highlight w:val="none"/>
        </w:rPr>
        <w:t>装箱清单；</w:t>
      </w:r>
      <w:r>
        <w:rPr>
          <w:szCs w:val="21"/>
          <w:highlight w:val="none"/>
        </w:rPr>
        <w:t xml:space="preserve"> </w:t>
      </w:r>
    </w:p>
    <w:p>
      <w:pPr>
        <w:spacing w:line="380" w:lineRule="exact"/>
        <w:ind w:firstLine="420"/>
        <w:rPr>
          <w:szCs w:val="21"/>
          <w:highlight w:val="none"/>
        </w:rPr>
      </w:pPr>
      <w:r>
        <w:rPr>
          <w:rFonts w:hint="eastAsia"/>
          <w:szCs w:val="21"/>
          <w:highlight w:val="none"/>
        </w:rPr>
        <w:t>5</w:t>
      </w:r>
      <w:r>
        <w:rPr>
          <w:szCs w:val="21"/>
          <w:highlight w:val="none"/>
        </w:rPr>
        <w:t xml:space="preserve">) </w:t>
      </w:r>
      <w:r>
        <w:rPr>
          <w:rFonts w:hint="eastAsia"/>
          <w:szCs w:val="21"/>
          <w:highlight w:val="none"/>
        </w:rPr>
        <w:t>外购配件相关资质、进货、验收等证明文件，产品及配件合格证、出厂检验报告等。</w:t>
      </w:r>
      <w:r>
        <w:rPr>
          <w:szCs w:val="21"/>
          <w:highlight w:val="none"/>
        </w:rPr>
        <w:t xml:space="preserve"> </w:t>
      </w:r>
    </w:p>
    <w:p>
      <w:pPr>
        <w:pStyle w:val="4"/>
        <w:numPr>
          <w:ilvl w:val="2"/>
          <w:numId w:val="25"/>
        </w:numPr>
        <w:topLinePunct/>
        <w:adjustRightInd w:val="0"/>
        <w:spacing w:before="120" w:beforeLines="50" w:after="0" w:line="360" w:lineRule="auto"/>
        <w:rPr>
          <w:rFonts w:ascii="宋体" w:hAnsi="宋体"/>
          <w:kern w:val="44"/>
          <w:sz w:val="21"/>
          <w:szCs w:val="21"/>
          <w:highlight w:val="none"/>
          <w:shd w:val="clear" w:color="auto" w:fill="FFFFFF"/>
        </w:rPr>
      </w:pPr>
      <w:bookmarkStart w:id="215" w:name="_Toc4343"/>
      <w:r>
        <w:rPr>
          <w:rFonts w:hint="eastAsia" w:ascii="宋体" w:hAnsi="宋体"/>
          <w:kern w:val="44"/>
          <w:sz w:val="21"/>
          <w:szCs w:val="21"/>
          <w:highlight w:val="none"/>
          <w:shd w:val="clear" w:color="auto" w:fill="FFFFFF"/>
        </w:rPr>
        <w:t>运输包装</w:t>
      </w:r>
      <w:bookmarkEnd w:id="215"/>
      <w:r>
        <w:rPr>
          <w:rFonts w:ascii="宋体" w:hAnsi="宋体"/>
          <w:kern w:val="44"/>
          <w:sz w:val="21"/>
          <w:szCs w:val="21"/>
          <w:highlight w:val="none"/>
          <w:shd w:val="clear" w:color="auto" w:fill="FFFFFF"/>
        </w:rPr>
        <w:t xml:space="preserve"> </w:t>
      </w:r>
    </w:p>
    <w:p>
      <w:pPr>
        <w:spacing w:line="360" w:lineRule="auto"/>
        <w:ind w:firstLine="420"/>
        <w:rPr>
          <w:szCs w:val="21"/>
          <w:highlight w:val="none"/>
        </w:rPr>
      </w:pPr>
      <w:r>
        <w:rPr>
          <w:rFonts w:hint="eastAsia"/>
          <w:szCs w:val="21"/>
          <w:highlight w:val="none"/>
        </w:rPr>
        <w:t>产品运输包装应能满足陆运、水运、空运条件下安全防护要求。</w:t>
      </w:r>
      <w:r>
        <w:rPr>
          <w:szCs w:val="21"/>
          <w:highlight w:val="none"/>
        </w:rPr>
        <w:t xml:space="preserve"> </w:t>
      </w:r>
    </w:p>
    <w:p>
      <w:pPr>
        <w:pStyle w:val="3"/>
        <w:numPr>
          <w:ilvl w:val="1"/>
          <w:numId w:val="25"/>
        </w:numPr>
        <w:topLinePunct/>
        <w:adjustRightInd w:val="0"/>
        <w:spacing w:before="120" w:beforeLines="50" w:after="0" w:line="360" w:lineRule="auto"/>
        <w:rPr>
          <w:rFonts w:ascii="宋体" w:hAnsi="宋体" w:eastAsia="宋体"/>
          <w:kern w:val="44"/>
          <w:sz w:val="21"/>
          <w:szCs w:val="21"/>
          <w:highlight w:val="none"/>
          <w:shd w:val="clear" w:color="auto" w:fill="FFFFFF"/>
        </w:rPr>
      </w:pPr>
      <w:bookmarkStart w:id="216" w:name="_Toc20611"/>
      <w:r>
        <w:rPr>
          <w:rFonts w:hint="eastAsia" w:ascii="宋体" w:hAnsi="宋体" w:eastAsia="宋体"/>
          <w:kern w:val="44"/>
          <w:sz w:val="21"/>
          <w:szCs w:val="21"/>
          <w:highlight w:val="none"/>
          <w:shd w:val="clear" w:color="auto" w:fill="FFFFFF"/>
        </w:rPr>
        <w:t>贮存</w:t>
      </w:r>
      <w:bookmarkEnd w:id="216"/>
      <w:r>
        <w:rPr>
          <w:rFonts w:ascii="宋体" w:hAnsi="宋体" w:eastAsia="宋体"/>
          <w:kern w:val="44"/>
          <w:sz w:val="21"/>
          <w:szCs w:val="21"/>
          <w:highlight w:val="none"/>
          <w:shd w:val="clear" w:color="auto" w:fill="FFFFFF"/>
        </w:rPr>
        <w:t xml:space="preserve"> </w:t>
      </w:r>
    </w:p>
    <w:p>
      <w:pPr>
        <w:spacing w:line="360" w:lineRule="auto"/>
        <w:ind w:firstLine="420"/>
        <w:rPr>
          <w:szCs w:val="21"/>
          <w:highlight w:val="none"/>
        </w:rPr>
      </w:pPr>
      <w:r>
        <w:rPr>
          <w:rFonts w:hint="eastAsia"/>
          <w:szCs w:val="21"/>
          <w:highlight w:val="none"/>
        </w:rPr>
        <w:t>包装完好的产品应存放于室内仓库中，仓库内应有良好的保温、通风、降湿措施。仓库内环境条件为：</w:t>
      </w:r>
      <w:r>
        <w:rPr>
          <w:szCs w:val="21"/>
          <w:highlight w:val="none"/>
        </w:rPr>
        <w:t xml:space="preserve"> </w:t>
      </w:r>
    </w:p>
    <w:p>
      <w:pPr>
        <w:spacing w:line="360" w:lineRule="auto"/>
        <w:ind w:firstLine="420"/>
        <w:rPr>
          <w:szCs w:val="21"/>
          <w:highlight w:val="none"/>
        </w:rPr>
      </w:pPr>
      <w:r>
        <w:rPr>
          <w:rFonts w:hint="eastAsia"/>
          <w:szCs w:val="21"/>
          <w:highlight w:val="none"/>
        </w:rPr>
        <w:t>1</w:t>
      </w:r>
      <w:r>
        <w:rPr>
          <w:szCs w:val="21"/>
          <w:highlight w:val="none"/>
        </w:rPr>
        <w:t xml:space="preserve">) </w:t>
      </w:r>
      <w:r>
        <w:rPr>
          <w:rFonts w:hint="eastAsia"/>
          <w:szCs w:val="21"/>
          <w:highlight w:val="none"/>
        </w:rPr>
        <w:t>温度</w:t>
      </w:r>
      <w:r>
        <w:rPr>
          <w:szCs w:val="21"/>
          <w:highlight w:val="none"/>
        </w:rPr>
        <w:t>-10</w:t>
      </w:r>
      <w:r>
        <w:rPr>
          <w:rFonts w:hint="eastAsia"/>
          <w:szCs w:val="21"/>
          <w:highlight w:val="none"/>
        </w:rPr>
        <w:t>℃～</w:t>
      </w:r>
      <w:r>
        <w:rPr>
          <w:szCs w:val="21"/>
          <w:highlight w:val="none"/>
        </w:rPr>
        <w:t>40</w:t>
      </w:r>
      <w:r>
        <w:rPr>
          <w:rFonts w:hint="eastAsia"/>
          <w:szCs w:val="21"/>
          <w:highlight w:val="none"/>
        </w:rPr>
        <w:t>℃、湿度</w:t>
      </w:r>
      <w:r>
        <w:rPr>
          <w:szCs w:val="21"/>
          <w:highlight w:val="none"/>
        </w:rPr>
        <w:t>&lt;80</w:t>
      </w:r>
      <w:r>
        <w:rPr>
          <w:rFonts w:hint="eastAsia"/>
          <w:szCs w:val="21"/>
          <w:highlight w:val="none"/>
        </w:rPr>
        <w:t>％。</w:t>
      </w:r>
      <w:r>
        <w:rPr>
          <w:szCs w:val="21"/>
          <w:highlight w:val="none"/>
        </w:rPr>
        <w:t xml:space="preserve"> </w:t>
      </w:r>
    </w:p>
    <w:p>
      <w:pPr>
        <w:spacing w:line="360" w:lineRule="auto"/>
        <w:ind w:firstLine="420"/>
        <w:rPr>
          <w:szCs w:val="21"/>
          <w:highlight w:val="none"/>
        </w:rPr>
      </w:pPr>
      <w:r>
        <w:rPr>
          <w:rFonts w:hint="eastAsia"/>
          <w:szCs w:val="21"/>
          <w:highlight w:val="none"/>
        </w:rPr>
        <w:t>2</w:t>
      </w:r>
      <w:r>
        <w:rPr>
          <w:szCs w:val="21"/>
          <w:highlight w:val="none"/>
        </w:rPr>
        <w:t xml:space="preserve">) </w:t>
      </w:r>
      <w:r>
        <w:rPr>
          <w:rFonts w:hint="eastAsia"/>
          <w:szCs w:val="21"/>
          <w:highlight w:val="none"/>
        </w:rPr>
        <w:t>仓库内应无酸、碱、盐及腐蚀性、爆炸性气体和灰尘，无强烈冲击、振动。</w:t>
      </w:r>
      <w:r>
        <w:rPr>
          <w:szCs w:val="21"/>
          <w:highlight w:val="none"/>
        </w:rPr>
        <w:t xml:space="preserve"> </w:t>
      </w:r>
    </w:p>
    <w:p>
      <w:pPr>
        <w:pStyle w:val="3"/>
        <w:numPr>
          <w:ilvl w:val="1"/>
          <w:numId w:val="25"/>
        </w:numPr>
        <w:topLinePunct/>
        <w:adjustRightInd w:val="0"/>
        <w:spacing w:before="120" w:beforeLines="50" w:after="0" w:line="360" w:lineRule="auto"/>
        <w:rPr>
          <w:sz w:val="21"/>
          <w:szCs w:val="21"/>
          <w:highlight w:val="none"/>
        </w:rPr>
      </w:pPr>
      <w:bookmarkStart w:id="217" w:name="_Toc23129"/>
      <w:r>
        <w:rPr>
          <w:rFonts w:hint="eastAsia" w:ascii="宋体" w:hAnsi="宋体" w:eastAsia="宋体"/>
          <w:kern w:val="44"/>
          <w:sz w:val="21"/>
          <w:szCs w:val="21"/>
          <w:highlight w:val="none"/>
          <w:shd w:val="clear" w:color="auto" w:fill="FFFFFF"/>
        </w:rPr>
        <w:t>运输</w:t>
      </w:r>
      <w:bookmarkEnd w:id="217"/>
      <w:r>
        <w:rPr>
          <w:sz w:val="21"/>
          <w:szCs w:val="21"/>
          <w:highlight w:val="none"/>
        </w:rPr>
        <w:t xml:space="preserve"> </w:t>
      </w:r>
    </w:p>
    <w:p>
      <w:pPr>
        <w:spacing w:line="360" w:lineRule="auto"/>
        <w:ind w:firstLine="420"/>
        <w:rPr>
          <w:szCs w:val="21"/>
          <w:highlight w:val="none"/>
        </w:rPr>
      </w:pPr>
      <w:r>
        <w:rPr>
          <w:rFonts w:hint="eastAsia"/>
          <w:szCs w:val="21"/>
          <w:highlight w:val="none"/>
        </w:rPr>
        <w:t>运输装卸按包装箱的标志及运输部门要求进行操作。</w:t>
      </w:r>
      <w:r>
        <w:rPr>
          <w:szCs w:val="21"/>
          <w:highlight w:val="none"/>
        </w:rPr>
        <w:t xml:space="preserve"> </w:t>
      </w:r>
    </w:p>
    <w:p>
      <w:pPr>
        <w:spacing w:line="360" w:lineRule="auto"/>
        <w:jc w:val="center"/>
        <w:rPr>
          <w:rFonts w:ascii="Times New Roman" w:hAnsi="Times New Roman"/>
          <w:b/>
          <w:w w:val="100"/>
          <w:kern w:val="44"/>
          <w:sz w:val="21"/>
          <w:szCs w:val="21"/>
          <w:highlight w:val="none"/>
          <w:shd w:val="clear" w:color="auto" w:fill="FFFFFF"/>
        </w:rPr>
      </w:pPr>
      <w:r>
        <w:rPr>
          <w:rFonts w:hint="eastAsia"/>
          <w:szCs w:val="21"/>
          <w:highlight w:val="none"/>
        </w:rPr>
        <w:t>在运输和保管过程中产品不得受潮，避免挤压和碰撞。</w:t>
      </w:r>
      <w:r>
        <w:rPr>
          <w:szCs w:val="21"/>
          <w:highlight w:val="none"/>
        </w:rPr>
        <w:t xml:space="preserve"> </w:t>
      </w:r>
      <w:r>
        <w:rPr>
          <w:szCs w:val="21"/>
          <w:highlight w:val="none"/>
        </w:rPr>
        <w:br w:type="page"/>
      </w:r>
      <w:bookmarkStart w:id="218" w:name="_Toc407271820"/>
      <w:bookmarkStart w:id="219" w:name="_Toc12629"/>
      <w:r>
        <w:rPr>
          <w:rFonts w:hint="eastAsia" w:ascii="Times New Roman" w:hAnsi="Times New Roman"/>
          <w:b/>
          <w:w w:val="100"/>
          <w:kern w:val="44"/>
          <w:sz w:val="21"/>
          <w:szCs w:val="21"/>
          <w:highlight w:val="none"/>
          <w:shd w:val="clear" w:color="auto" w:fill="FFFFFF"/>
        </w:rPr>
        <w:t>附录A</w:t>
      </w:r>
      <w:bookmarkEnd w:id="210"/>
      <w:r>
        <w:rPr>
          <w:rFonts w:ascii="Times New Roman" w:hAnsi="Times New Roman"/>
          <w:b/>
          <w:w w:val="100"/>
          <w:kern w:val="44"/>
          <w:sz w:val="21"/>
          <w:szCs w:val="21"/>
          <w:highlight w:val="none"/>
          <w:shd w:val="clear" w:color="auto" w:fill="FFFFFF"/>
        </w:rPr>
        <w:br w:type="textWrapping" w:clear="all"/>
      </w:r>
      <w:r>
        <w:rPr>
          <w:rFonts w:hint="eastAsia" w:ascii="Times New Roman" w:hAnsi="Times New Roman"/>
          <w:b/>
          <w:w w:val="100"/>
          <w:kern w:val="44"/>
          <w:sz w:val="21"/>
          <w:szCs w:val="21"/>
          <w:highlight w:val="none"/>
          <w:shd w:val="clear" w:color="auto" w:fill="FFFFFF"/>
        </w:rPr>
        <w:t>（规范性附录）</w:t>
      </w:r>
      <w:r>
        <w:rPr>
          <w:rFonts w:ascii="Times New Roman" w:hAnsi="Times New Roman"/>
          <w:b/>
          <w:w w:val="100"/>
          <w:kern w:val="44"/>
          <w:sz w:val="21"/>
          <w:szCs w:val="21"/>
          <w:highlight w:val="none"/>
          <w:shd w:val="clear" w:color="auto" w:fill="FFFFFF"/>
        </w:rPr>
        <w:br w:type="textWrapping" w:clear="all"/>
      </w:r>
      <w:r>
        <w:rPr>
          <w:rFonts w:ascii="Times New Roman" w:hAnsi="Times New Roman"/>
          <w:b/>
          <w:w w:val="100"/>
          <w:kern w:val="44"/>
          <w:sz w:val="21"/>
          <w:szCs w:val="21"/>
          <w:highlight w:val="none"/>
          <w:shd w:val="clear" w:color="auto" w:fill="FFFFFF"/>
        </w:rPr>
        <w:t>试验项目</w:t>
      </w:r>
      <w:bookmarkEnd w:id="211"/>
      <w:r>
        <w:rPr>
          <w:rFonts w:hint="eastAsia" w:ascii="Times New Roman" w:hAnsi="Times New Roman"/>
          <w:b/>
          <w:w w:val="100"/>
          <w:kern w:val="44"/>
          <w:sz w:val="21"/>
          <w:szCs w:val="21"/>
          <w:highlight w:val="none"/>
          <w:shd w:val="clear" w:color="auto" w:fill="FFFFFF"/>
        </w:rPr>
        <w:t>明细表</w:t>
      </w:r>
      <w:bookmarkEnd w:id="218"/>
      <w:bookmarkEnd w:id="219"/>
    </w:p>
    <w:tbl>
      <w:tblPr>
        <w:tblStyle w:val="43"/>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2221"/>
        <w:gridCol w:w="4946"/>
        <w:gridCol w:w="1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exact"/>
          <w:tblHeader/>
          <w:jc w:val="center"/>
        </w:trPr>
        <w:tc>
          <w:tcPr>
            <w:tcW w:w="941" w:type="dxa"/>
            <w:noWrap w:val="0"/>
            <w:vAlign w:val="center"/>
          </w:tcPr>
          <w:p>
            <w:pPr>
              <w:snapToGrid w:val="0"/>
              <w:jc w:val="center"/>
              <w:rPr>
                <w:b/>
                <w:sz w:val="18"/>
                <w:szCs w:val="18"/>
                <w:highlight w:val="none"/>
              </w:rPr>
            </w:pPr>
            <w:bookmarkStart w:id="220" w:name="_Toc236731981"/>
            <w:bookmarkStart w:id="221" w:name="_Toc275195149"/>
            <w:r>
              <w:rPr>
                <w:b/>
                <w:sz w:val="18"/>
                <w:szCs w:val="18"/>
                <w:highlight w:val="none"/>
              </w:rPr>
              <w:t>序号</w:t>
            </w:r>
          </w:p>
        </w:tc>
        <w:tc>
          <w:tcPr>
            <w:tcW w:w="7167" w:type="dxa"/>
            <w:gridSpan w:val="2"/>
            <w:noWrap w:val="0"/>
            <w:vAlign w:val="center"/>
          </w:tcPr>
          <w:p>
            <w:pPr>
              <w:pStyle w:val="142"/>
              <w:widowControl w:val="0"/>
              <w:adjustRightInd w:val="0"/>
              <w:snapToGrid w:val="0"/>
              <w:spacing w:before="0" w:line="360" w:lineRule="auto"/>
              <w:rPr>
                <w:rFonts w:ascii="Times New Roman"/>
                <w:b/>
                <w:sz w:val="18"/>
                <w:szCs w:val="18"/>
                <w:highlight w:val="none"/>
              </w:rPr>
            </w:pPr>
            <w:r>
              <w:rPr>
                <w:rFonts w:ascii="Times New Roman"/>
                <w:b/>
                <w:sz w:val="18"/>
                <w:szCs w:val="18"/>
                <w:highlight w:val="none"/>
              </w:rPr>
              <w:t xml:space="preserve">试验项目                </w:t>
            </w:r>
          </w:p>
        </w:tc>
        <w:tc>
          <w:tcPr>
            <w:tcW w:w="1179" w:type="dxa"/>
            <w:noWrap w:val="0"/>
            <w:vAlign w:val="center"/>
          </w:tcPr>
          <w:p>
            <w:pPr>
              <w:pStyle w:val="142"/>
              <w:widowControl w:val="0"/>
              <w:adjustRightInd w:val="0"/>
              <w:snapToGrid w:val="0"/>
              <w:spacing w:before="0" w:line="240" w:lineRule="auto"/>
              <w:rPr>
                <w:rFonts w:ascii="Times New Roman"/>
                <w:b/>
                <w:sz w:val="18"/>
                <w:szCs w:val="18"/>
                <w:highlight w:val="none"/>
              </w:rPr>
            </w:pPr>
            <w:r>
              <w:rPr>
                <w:rFonts w:ascii="Times New Roman"/>
                <w:b/>
                <w:sz w:val="18"/>
                <w:szCs w:val="18"/>
                <w:highlight w:val="none"/>
              </w:rPr>
              <w:t>不合格类别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w:t>
            </w:r>
          </w:p>
        </w:tc>
        <w:tc>
          <w:tcPr>
            <w:tcW w:w="2221" w:type="dxa"/>
            <w:vMerge w:val="restart"/>
            <w:noWrap w:val="0"/>
            <w:vAlign w:val="center"/>
          </w:tcPr>
          <w:p>
            <w:pPr>
              <w:pStyle w:val="29"/>
              <w:pBdr>
                <w:bottom w:val="none" w:color="auto" w:sz="0" w:space="0"/>
              </w:pBdr>
              <w:tabs>
                <w:tab w:val="clear" w:pos="4153"/>
                <w:tab w:val="clear" w:pos="8306"/>
              </w:tabs>
              <w:adjustRightInd w:val="0"/>
              <w:rPr>
                <w:kern w:val="0"/>
                <w:highlight w:val="none"/>
              </w:rPr>
            </w:pPr>
            <w:r>
              <w:rPr>
                <w:rFonts w:hint="eastAsia"/>
                <w:kern w:val="0"/>
                <w:highlight w:val="none"/>
              </w:rPr>
              <w:t>外观检查</w:t>
            </w:r>
          </w:p>
        </w:tc>
        <w:tc>
          <w:tcPr>
            <w:tcW w:w="4946" w:type="dxa"/>
            <w:noWrap w:val="0"/>
            <w:vAlign w:val="center"/>
          </w:tcPr>
          <w:p>
            <w:pPr>
              <w:snapToGrid w:val="0"/>
              <w:rPr>
                <w:sz w:val="18"/>
                <w:szCs w:val="18"/>
                <w:highlight w:val="none"/>
              </w:rPr>
            </w:pPr>
            <w:r>
              <w:rPr>
                <w:rFonts w:hint="eastAsia"/>
                <w:sz w:val="18"/>
                <w:szCs w:val="18"/>
                <w:highlight w:val="none"/>
              </w:rPr>
              <w:t>外观颜色</w:t>
            </w:r>
          </w:p>
        </w:tc>
        <w:tc>
          <w:tcPr>
            <w:tcW w:w="1179" w:type="dxa"/>
            <w:noWrap w:val="0"/>
            <w:vAlign w:val="center"/>
          </w:tcPr>
          <w:p>
            <w:pPr>
              <w:snapToGrid w:val="0"/>
              <w:jc w:val="center"/>
              <w:rPr>
                <w:sz w:val="18"/>
                <w:szCs w:val="18"/>
                <w:highlight w:val="none"/>
              </w:rPr>
            </w:pPr>
            <w:r>
              <w:rPr>
                <w:rFonts w:hint="eastAsia"/>
                <w:sz w:val="18"/>
                <w:szCs w:val="18"/>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标识铭牌</w:t>
            </w:r>
          </w:p>
        </w:tc>
        <w:tc>
          <w:tcPr>
            <w:tcW w:w="1179" w:type="dxa"/>
            <w:noWrap w:val="0"/>
            <w:vAlign w:val="center"/>
          </w:tcPr>
          <w:p>
            <w:pPr>
              <w:snapToGrid w:val="0"/>
              <w:jc w:val="center"/>
              <w:rPr>
                <w:sz w:val="18"/>
                <w:szCs w:val="18"/>
                <w:highlight w:val="none"/>
              </w:rPr>
            </w:pPr>
            <w:r>
              <w:rPr>
                <w:rFonts w:hint="eastAsia"/>
                <w:sz w:val="18"/>
                <w:szCs w:val="18"/>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3</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安装间距</w:t>
            </w:r>
          </w:p>
        </w:tc>
        <w:tc>
          <w:tcPr>
            <w:tcW w:w="1179" w:type="dxa"/>
            <w:noWrap w:val="0"/>
            <w:vAlign w:val="center"/>
          </w:tcPr>
          <w:p>
            <w:pPr>
              <w:snapToGrid w:val="0"/>
              <w:jc w:val="center"/>
              <w:rPr>
                <w:sz w:val="18"/>
                <w:szCs w:val="18"/>
                <w:highlight w:val="none"/>
              </w:rPr>
            </w:pPr>
            <w:r>
              <w:rPr>
                <w:rFonts w:hint="eastAsia"/>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4</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门锁及加封机构</w:t>
            </w:r>
          </w:p>
        </w:tc>
        <w:tc>
          <w:tcPr>
            <w:tcW w:w="1179" w:type="dxa"/>
            <w:noWrap w:val="0"/>
            <w:vAlign w:val="center"/>
          </w:tcPr>
          <w:p>
            <w:pPr>
              <w:snapToGrid w:val="0"/>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5</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电气配置</w:t>
            </w:r>
          </w:p>
        </w:tc>
        <w:tc>
          <w:tcPr>
            <w:tcW w:w="1179" w:type="dxa"/>
            <w:noWrap w:val="0"/>
            <w:vAlign w:val="center"/>
          </w:tcPr>
          <w:p>
            <w:pPr>
              <w:snapToGrid w:val="0"/>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sz w:val="18"/>
                <w:szCs w:val="18"/>
                <w:highlight w:val="none"/>
              </w:rPr>
              <w:t>6</w:t>
            </w:r>
          </w:p>
        </w:tc>
        <w:tc>
          <w:tcPr>
            <w:tcW w:w="2221" w:type="dxa"/>
            <w:vMerge w:val="restart"/>
            <w:noWrap w:val="0"/>
            <w:vAlign w:val="center"/>
          </w:tcPr>
          <w:p>
            <w:pPr>
              <w:pStyle w:val="29"/>
              <w:pBdr>
                <w:bottom w:val="none" w:color="auto" w:sz="0" w:space="0"/>
              </w:pBdr>
              <w:tabs>
                <w:tab w:val="clear" w:pos="4153"/>
                <w:tab w:val="clear" w:pos="8306"/>
              </w:tabs>
              <w:adjustRightInd w:val="0"/>
              <w:jc w:val="left"/>
              <w:rPr>
                <w:kern w:val="0"/>
                <w:highlight w:val="none"/>
              </w:rPr>
            </w:pPr>
            <w:r>
              <w:rPr>
                <w:rFonts w:hint="eastAsia"/>
                <w:kern w:val="0"/>
                <w:highlight w:val="none"/>
              </w:rPr>
              <w:t>结构尺寸及计量表箱配件检查</w:t>
            </w:r>
          </w:p>
        </w:tc>
        <w:tc>
          <w:tcPr>
            <w:tcW w:w="4946" w:type="dxa"/>
            <w:noWrap w:val="0"/>
            <w:vAlign w:val="center"/>
          </w:tcPr>
          <w:p>
            <w:pPr>
              <w:snapToGrid w:val="0"/>
              <w:rPr>
                <w:sz w:val="18"/>
                <w:szCs w:val="18"/>
                <w:highlight w:val="none"/>
              </w:rPr>
            </w:pPr>
            <w:r>
              <w:rPr>
                <w:rFonts w:hint="eastAsia"/>
                <w:sz w:val="18"/>
                <w:szCs w:val="18"/>
                <w:highlight w:val="none"/>
              </w:rPr>
              <w:t>结构类型</w:t>
            </w:r>
          </w:p>
        </w:tc>
        <w:tc>
          <w:tcPr>
            <w:tcW w:w="1179" w:type="dxa"/>
            <w:noWrap w:val="0"/>
            <w:vAlign w:val="center"/>
          </w:tcPr>
          <w:p>
            <w:pPr>
              <w:snapToGrid w:val="0"/>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sz w:val="18"/>
                <w:szCs w:val="18"/>
                <w:highlight w:val="none"/>
              </w:rPr>
              <w:t>7</w:t>
            </w:r>
          </w:p>
        </w:tc>
        <w:tc>
          <w:tcPr>
            <w:tcW w:w="2221" w:type="dxa"/>
            <w:vMerge w:val="continue"/>
            <w:noWrap w:val="0"/>
            <w:vAlign w:val="center"/>
          </w:tcPr>
          <w:p>
            <w:pPr>
              <w:pStyle w:val="29"/>
              <w:pBdr>
                <w:bottom w:val="none" w:color="auto" w:sz="0" w:space="0"/>
              </w:pBdr>
              <w:tabs>
                <w:tab w:val="clear" w:pos="4153"/>
                <w:tab w:val="clear" w:pos="8306"/>
              </w:tabs>
              <w:adjustRightInd w:val="0"/>
              <w:jc w:val="left"/>
              <w:rPr>
                <w:kern w:val="0"/>
                <w:highlight w:val="none"/>
              </w:rPr>
            </w:pPr>
          </w:p>
        </w:tc>
        <w:tc>
          <w:tcPr>
            <w:tcW w:w="4946" w:type="dxa"/>
            <w:noWrap w:val="0"/>
            <w:vAlign w:val="center"/>
          </w:tcPr>
          <w:p>
            <w:pPr>
              <w:snapToGrid w:val="0"/>
              <w:rPr>
                <w:sz w:val="18"/>
                <w:szCs w:val="18"/>
                <w:highlight w:val="none"/>
              </w:rPr>
            </w:pPr>
            <w:r>
              <w:rPr>
                <w:rFonts w:hint="eastAsia"/>
                <w:sz w:val="18"/>
                <w:szCs w:val="18"/>
                <w:highlight w:val="none"/>
              </w:rPr>
              <w:t>箱体尺寸</w:t>
            </w:r>
          </w:p>
        </w:tc>
        <w:tc>
          <w:tcPr>
            <w:tcW w:w="1179" w:type="dxa"/>
            <w:noWrap w:val="0"/>
            <w:vAlign w:val="center"/>
          </w:tcPr>
          <w:p>
            <w:pPr>
              <w:snapToGrid w:val="0"/>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8</w:t>
            </w:r>
          </w:p>
        </w:tc>
        <w:tc>
          <w:tcPr>
            <w:tcW w:w="2221" w:type="dxa"/>
            <w:vMerge w:val="continue"/>
            <w:noWrap w:val="0"/>
            <w:vAlign w:val="center"/>
          </w:tcPr>
          <w:p>
            <w:pPr>
              <w:pStyle w:val="29"/>
              <w:pBdr>
                <w:bottom w:val="none" w:color="auto" w:sz="0" w:space="0"/>
              </w:pBdr>
              <w:tabs>
                <w:tab w:val="clear" w:pos="4153"/>
                <w:tab w:val="clear" w:pos="8306"/>
              </w:tabs>
              <w:adjustRightInd w:val="0"/>
              <w:jc w:val="left"/>
              <w:rPr>
                <w:kern w:val="0"/>
                <w:highlight w:val="none"/>
              </w:rPr>
            </w:pPr>
          </w:p>
        </w:tc>
        <w:tc>
          <w:tcPr>
            <w:tcW w:w="4946" w:type="dxa"/>
            <w:noWrap w:val="0"/>
            <w:vAlign w:val="center"/>
          </w:tcPr>
          <w:p>
            <w:pPr>
              <w:snapToGrid w:val="0"/>
              <w:rPr>
                <w:sz w:val="18"/>
                <w:szCs w:val="18"/>
                <w:highlight w:val="none"/>
              </w:rPr>
            </w:pPr>
            <w:r>
              <w:rPr>
                <w:rFonts w:hint="eastAsia"/>
                <w:sz w:val="18"/>
                <w:szCs w:val="18"/>
                <w:highlight w:val="none"/>
              </w:rPr>
              <w:t>材料厚度</w:t>
            </w:r>
          </w:p>
        </w:tc>
        <w:tc>
          <w:tcPr>
            <w:tcW w:w="1179" w:type="dxa"/>
            <w:noWrap w:val="0"/>
            <w:vAlign w:val="center"/>
          </w:tcPr>
          <w:p>
            <w:pPr>
              <w:snapToGrid w:val="0"/>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9</w:t>
            </w:r>
          </w:p>
        </w:tc>
        <w:tc>
          <w:tcPr>
            <w:tcW w:w="2221" w:type="dxa"/>
            <w:vMerge w:val="continue"/>
            <w:noWrap w:val="0"/>
            <w:vAlign w:val="center"/>
          </w:tcPr>
          <w:p>
            <w:pPr>
              <w:pStyle w:val="29"/>
              <w:pBdr>
                <w:bottom w:val="none" w:color="auto" w:sz="0" w:space="0"/>
              </w:pBdr>
              <w:tabs>
                <w:tab w:val="clear" w:pos="4153"/>
                <w:tab w:val="clear" w:pos="8306"/>
              </w:tabs>
              <w:adjustRightInd w:val="0"/>
              <w:jc w:val="left"/>
              <w:rPr>
                <w:kern w:val="0"/>
                <w:highlight w:val="none"/>
              </w:rPr>
            </w:pPr>
          </w:p>
        </w:tc>
        <w:tc>
          <w:tcPr>
            <w:tcW w:w="4946" w:type="dxa"/>
            <w:noWrap w:val="0"/>
            <w:vAlign w:val="center"/>
          </w:tcPr>
          <w:p>
            <w:pPr>
              <w:snapToGrid w:val="0"/>
              <w:rPr>
                <w:sz w:val="18"/>
                <w:szCs w:val="18"/>
                <w:highlight w:val="none"/>
              </w:rPr>
            </w:pPr>
            <w:r>
              <w:rPr>
                <w:rFonts w:hint="eastAsia"/>
                <w:sz w:val="18"/>
                <w:szCs w:val="18"/>
                <w:highlight w:val="none"/>
              </w:rPr>
              <w:t>材质分析</w:t>
            </w:r>
          </w:p>
        </w:tc>
        <w:tc>
          <w:tcPr>
            <w:tcW w:w="1179" w:type="dxa"/>
            <w:noWrap w:val="0"/>
            <w:vAlign w:val="center"/>
          </w:tcPr>
          <w:p>
            <w:pPr>
              <w:snapToGrid w:val="0"/>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sz w:val="18"/>
                <w:szCs w:val="18"/>
                <w:highlight w:val="none"/>
              </w:rPr>
              <w:t>1</w:t>
            </w:r>
            <w:r>
              <w:rPr>
                <w:rFonts w:hint="eastAsia"/>
                <w:sz w:val="18"/>
                <w:szCs w:val="18"/>
                <w:highlight w:val="none"/>
              </w:rPr>
              <w:t>0</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配件资料</w:t>
            </w:r>
          </w:p>
        </w:tc>
        <w:tc>
          <w:tcPr>
            <w:tcW w:w="1179" w:type="dxa"/>
            <w:noWrap w:val="0"/>
            <w:vAlign w:val="center"/>
          </w:tcPr>
          <w:p>
            <w:pPr>
              <w:snapToGrid w:val="0"/>
              <w:jc w:val="center"/>
              <w:rPr>
                <w:sz w:val="18"/>
                <w:szCs w:val="18"/>
                <w:highlight w:val="none"/>
              </w:rPr>
            </w:pPr>
            <w:r>
              <w:rPr>
                <w:rFonts w:hint="eastAsia"/>
                <w:sz w:val="18"/>
                <w:szCs w:val="18"/>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sz w:val="18"/>
                <w:szCs w:val="18"/>
                <w:highlight w:val="none"/>
              </w:rPr>
              <w:t>1</w:t>
            </w:r>
            <w:r>
              <w:rPr>
                <w:rFonts w:hint="eastAsia"/>
                <w:sz w:val="18"/>
                <w:szCs w:val="18"/>
                <w:highlight w:val="none"/>
              </w:rPr>
              <w:t>1</w:t>
            </w:r>
          </w:p>
        </w:tc>
        <w:tc>
          <w:tcPr>
            <w:tcW w:w="2221" w:type="dxa"/>
            <w:vMerge w:val="restart"/>
            <w:noWrap w:val="0"/>
            <w:vAlign w:val="center"/>
          </w:tcPr>
          <w:p>
            <w:pPr>
              <w:snapToGrid w:val="0"/>
              <w:jc w:val="center"/>
              <w:rPr>
                <w:sz w:val="18"/>
                <w:szCs w:val="18"/>
                <w:highlight w:val="none"/>
              </w:rPr>
            </w:pPr>
            <w:r>
              <w:rPr>
                <w:rFonts w:hint="eastAsia"/>
                <w:sz w:val="18"/>
                <w:szCs w:val="18"/>
                <w:highlight w:val="none"/>
              </w:rPr>
              <w:t>材料性能</w:t>
            </w:r>
            <w:r>
              <w:rPr>
                <w:sz w:val="18"/>
                <w:szCs w:val="18"/>
                <w:highlight w:val="none"/>
              </w:rPr>
              <w:t>试验</w:t>
            </w:r>
          </w:p>
        </w:tc>
        <w:tc>
          <w:tcPr>
            <w:tcW w:w="4946" w:type="dxa"/>
            <w:noWrap w:val="0"/>
            <w:vAlign w:val="center"/>
          </w:tcPr>
          <w:p>
            <w:pPr>
              <w:snapToGrid w:val="0"/>
              <w:rPr>
                <w:sz w:val="18"/>
                <w:szCs w:val="18"/>
                <w:highlight w:val="none"/>
              </w:rPr>
            </w:pPr>
            <w:r>
              <w:rPr>
                <w:rFonts w:hint="eastAsia"/>
                <w:sz w:val="18"/>
                <w:szCs w:val="18"/>
                <w:highlight w:val="none"/>
              </w:rPr>
              <w:t>热稳定性试验</w:t>
            </w:r>
          </w:p>
        </w:tc>
        <w:tc>
          <w:tcPr>
            <w:tcW w:w="1179" w:type="dxa"/>
            <w:noWrap w:val="0"/>
            <w:vAlign w:val="center"/>
          </w:tcPr>
          <w:p>
            <w:pPr>
              <w:snapToGrid w:val="0"/>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12</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耐热性试验</w:t>
            </w:r>
          </w:p>
        </w:tc>
        <w:tc>
          <w:tcPr>
            <w:tcW w:w="1179" w:type="dxa"/>
            <w:noWrap w:val="0"/>
            <w:vAlign w:val="center"/>
          </w:tcPr>
          <w:p>
            <w:pPr>
              <w:snapToGrid w:val="0"/>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13</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耐受非正常发热和火焰的试验</w:t>
            </w:r>
          </w:p>
        </w:tc>
        <w:tc>
          <w:tcPr>
            <w:tcW w:w="1179" w:type="dxa"/>
            <w:noWrap w:val="0"/>
            <w:vAlign w:val="center"/>
          </w:tcPr>
          <w:p>
            <w:pPr>
              <w:snapToGrid w:val="0"/>
              <w:jc w:val="center"/>
              <w:rPr>
                <w:sz w:val="18"/>
                <w:szCs w:val="18"/>
                <w:highlight w:val="none"/>
              </w:rPr>
            </w:pPr>
            <w:r>
              <w:rPr>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14</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耐老化试验</w:t>
            </w:r>
          </w:p>
        </w:tc>
        <w:tc>
          <w:tcPr>
            <w:tcW w:w="1179" w:type="dxa"/>
            <w:noWrap w:val="0"/>
            <w:vAlign w:val="center"/>
          </w:tcPr>
          <w:p>
            <w:pPr>
              <w:snapToGrid w:val="0"/>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15</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温度冲击试验</w:t>
            </w:r>
          </w:p>
        </w:tc>
        <w:tc>
          <w:tcPr>
            <w:tcW w:w="1179" w:type="dxa"/>
            <w:noWrap w:val="0"/>
            <w:vAlign w:val="center"/>
          </w:tcPr>
          <w:p>
            <w:pPr>
              <w:snapToGrid w:val="0"/>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16</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塑料冲击性能测定试验</w:t>
            </w:r>
          </w:p>
        </w:tc>
        <w:tc>
          <w:tcPr>
            <w:tcW w:w="1179" w:type="dxa"/>
            <w:noWrap w:val="0"/>
            <w:vAlign w:val="center"/>
          </w:tcPr>
          <w:p>
            <w:pPr>
              <w:snapToGrid w:val="0"/>
              <w:jc w:val="center"/>
              <w:rPr>
                <w:sz w:val="18"/>
                <w:szCs w:val="18"/>
                <w:highlight w:val="none"/>
              </w:rPr>
            </w:pPr>
            <w:r>
              <w:rPr>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17</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塑料弯曲性能测定试验</w:t>
            </w:r>
          </w:p>
        </w:tc>
        <w:tc>
          <w:tcPr>
            <w:tcW w:w="1179" w:type="dxa"/>
            <w:noWrap w:val="0"/>
            <w:vAlign w:val="center"/>
          </w:tcPr>
          <w:p>
            <w:pPr>
              <w:snapToGrid w:val="0"/>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18</w:t>
            </w:r>
          </w:p>
        </w:tc>
        <w:tc>
          <w:tcPr>
            <w:tcW w:w="2221" w:type="dxa"/>
            <w:vMerge w:val="restart"/>
            <w:noWrap w:val="0"/>
            <w:vAlign w:val="center"/>
          </w:tcPr>
          <w:p>
            <w:pPr>
              <w:snapToGrid w:val="0"/>
              <w:jc w:val="center"/>
              <w:rPr>
                <w:sz w:val="18"/>
                <w:szCs w:val="18"/>
                <w:highlight w:val="none"/>
              </w:rPr>
            </w:pPr>
            <w:r>
              <w:rPr>
                <w:rFonts w:hint="eastAsia"/>
                <w:sz w:val="18"/>
                <w:szCs w:val="18"/>
                <w:highlight w:val="none"/>
              </w:rPr>
              <w:t>机械性能试验</w:t>
            </w:r>
          </w:p>
        </w:tc>
        <w:tc>
          <w:tcPr>
            <w:tcW w:w="4946" w:type="dxa"/>
            <w:noWrap w:val="0"/>
            <w:vAlign w:val="center"/>
          </w:tcPr>
          <w:p>
            <w:pPr>
              <w:snapToGrid w:val="0"/>
              <w:rPr>
                <w:sz w:val="18"/>
                <w:szCs w:val="18"/>
                <w:highlight w:val="none"/>
              </w:rPr>
            </w:pPr>
            <w:r>
              <w:rPr>
                <w:rFonts w:hint="eastAsia"/>
                <w:sz w:val="18"/>
                <w:szCs w:val="18"/>
                <w:highlight w:val="none"/>
              </w:rPr>
              <w:t>静态试验</w:t>
            </w:r>
          </w:p>
        </w:tc>
        <w:tc>
          <w:tcPr>
            <w:tcW w:w="1179" w:type="dxa"/>
            <w:noWrap w:val="0"/>
            <w:vAlign w:val="center"/>
          </w:tcPr>
          <w:p>
            <w:pPr>
              <w:snapToGrid w:val="0"/>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19</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振动试验</w:t>
            </w:r>
          </w:p>
        </w:tc>
        <w:tc>
          <w:tcPr>
            <w:tcW w:w="1179" w:type="dxa"/>
            <w:noWrap w:val="0"/>
            <w:vAlign w:val="center"/>
          </w:tcPr>
          <w:p>
            <w:pPr>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20</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冲击试验</w:t>
            </w:r>
          </w:p>
        </w:tc>
        <w:tc>
          <w:tcPr>
            <w:tcW w:w="1179" w:type="dxa"/>
            <w:noWrap w:val="0"/>
            <w:vAlign w:val="center"/>
          </w:tcPr>
          <w:p>
            <w:pPr>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21</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螺纹紧固连接件机械强度试验</w:t>
            </w:r>
          </w:p>
        </w:tc>
        <w:tc>
          <w:tcPr>
            <w:tcW w:w="1179" w:type="dxa"/>
            <w:noWrap w:val="0"/>
            <w:vAlign w:val="center"/>
          </w:tcPr>
          <w:p>
            <w:pPr>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22</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计量表箱外壳封闭防护等级验证</w:t>
            </w:r>
          </w:p>
        </w:tc>
        <w:tc>
          <w:tcPr>
            <w:tcW w:w="1179" w:type="dxa"/>
            <w:noWrap w:val="0"/>
            <w:vAlign w:val="center"/>
          </w:tcPr>
          <w:p>
            <w:pPr>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23</w:t>
            </w:r>
          </w:p>
        </w:tc>
        <w:tc>
          <w:tcPr>
            <w:tcW w:w="2221" w:type="dxa"/>
            <w:vMerge w:val="continue"/>
            <w:noWrap w:val="0"/>
            <w:vAlign w:val="center"/>
          </w:tcPr>
          <w:p>
            <w:pPr>
              <w:snapToGrid w:val="0"/>
              <w:jc w:val="center"/>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门锁性能试验及箱门、开关操作试验</w:t>
            </w:r>
          </w:p>
        </w:tc>
        <w:tc>
          <w:tcPr>
            <w:tcW w:w="1179" w:type="dxa"/>
            <w:noWrap w:val="0"/>
            <w:vAlign w:val="center"/>
          </w:tcPr>
          <w:p>
            <w:pPr>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24</w:t>
            </w:r>
          </w:p>
        </w:tc>
        <w:tc>
          <w:tcPr>
            <w:tcW w:w="2221" w:type="dxa"/>
            <w:vMerge w:val="restart"/>
            <w:noWrap w:val="0"/>
            <w:vAlign w:val="center"/>
          </w:tcPr>
          <w:p>
            <w:pPr>
              <w:snapToGrid w:val="0"/>
              <w:jc w:val="center"/>
              <w:rPr>
                <w:sz w:val="18"/>
                <w:szCs w:val="18"/>
                <w:highlight w:val="none"/>
              </w:rPr>
            </w:pPr>
            <w:r>
              <w:rPr>
                <w:rFonts w:hint="eastAsia"/>
                <w:sz w:val="18"/>
                <w:szCs w:val="18"/>
                <w:highlight w:val="none"/>
              </w:rPr>
              <w:t>电气性能</w:t>
            </w:r>
            <w:r>
              <w:rPr>
                <w:sz w:val="18"/>
                <w:szCs w:val="18"/>
                <w:highlight w:val="none"/>
              </w:rPr>
              <w:t>试验</w:t>
            </w:r>
          </w:p>
        </w:tc>
        <w:tc>
          <w:tcPr>
            <w:tcW w:w="4946" w:type="dxa"/>
            <w:noWrap w:val="0"/>
            <w:vAlign w:val="center"/>
          </w:tcPr>
          <w:p>
            <w:pPr>
              <w:snapToGrid w:val="0"/>
              <w:rPr>
                <w:sz w:val="18"/>
                <w:szCs w:val="18"/>
                <w:highlight w:val="none"/>
              </w:rPr>
            </w:pPr>
            <w:r>
              <w:rPr>
                <w:rFonts w:hint="eastAsia"/>
                <w:sz w:val="18"/>
                <w:szCs w:val="18"/>
                <w:highlight w:val="none"/>
              </w:rPr>
              <w:t>电气间隙、爬电距离检测</w:t>
            </w:r>
          </w:p>
        </w:tc>
        <w:tc>
          <w:tcPr>
            <w:tcW w:w="1179" w:type="dxa"/>
            <w:noWrap w:val="0"/>
            <w:vAlign w:val="center"/>
          </w:tcPr>
          <w:p>
            <w:pPr>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25</w:t>
            </w:r>
          </w:p>
        </w:tc>
        <w:tc>
          <w:tcPr>
            <w:tcW w:w="2221" w:type="dxa"/>
            <w:vMerge w:val="continue"/>
            <w:noWrap w:val="0"/>
            <w:vAlign w:val="center"/>
          </w:tcPr>
          <w:p>
            <w:pPr>
              <w:snapToGrid w:val="0"/>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保护电路有效性试验</w:t>
            </w:r>
          </w:p>
        </w:tc>
        <w:tc>
          <w:tcPr>
            <w:tcW w:w="1179" w:type="dxa"/>
            <w:noWrap w:val="0"/>
            <w:vAlign w:val="center"/>
          </w:tcPr>
          <w:p>
            <w:pPr>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26</w:t>
            </w:r>
          </w:p>
        </w:tc>
        <w:tc>
          <w:tcPr>
            <w:tcW w:w="2221" w:type="dxa"/>
            <w:vMerge w:val="continue"/>
            <w:noWrap w:val="0"/>
            <w:vAlign w:val="center"/>
          </w:tcPr>
          <w:p>
            <w:pPr>
              <w:snapToGrid w:val="0"/>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绝缘电阻试验</w:t>
            </w:r>
          </w:p>
        </w:tc>
        <w:tc>
          <w:tcPr>
            <w:tcW w:w="1179" w:type="dxa"/>
            <w:noWrap w:val="0"/>
            <w:vAlign w:val="center"/>
          </w:tcPr>
          <w:p>
            <w:pPr>
              <w:jc w:val="center"/>
              <w:rPr>
                <w:sz w:val="18"/>
                <w:szCs w:val="18"/>
                <w:highlight w:val="none"/>
              </w:rPr>
            </w:pPr>
            <w:r>
              <w:rPr>
                <w:sz w:val="18"/>
                <w:szCs w:val="18"/>
                <w:highlight w:val="none"/>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27</w:t>
            </w:r>
          </w:p>
        </w:tc>
        <w:tc>
          <w:tcPr>
            <w:tcW w:w="2221" w:type="dxa"/>
            <w:vMerge w:val="continue"/>
            <w:noWrap w:val="0"/>
            <w:vAlign w:val="center"/>
          </w:tcPr>
          <w:p>
            <w:pPr>
              <w:snapToGrid w:val="0"/>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介电性能试验</w:t>
            </w:r>
          </w:p>
        </w:tc>
        <w:tc>
          <w:tcPr>
            <w:tcW w:w="1179" w:type="dxa"/>
            <w:noWrap w:val="0"/>
            <w:vAlign w:val="center"/>
          </w:tcPr>
          <w:p>
            <w:pPr>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28</w:t>
            </w:r>
          </w:p>
        </w:tc>
        <w:tc>
          <w:tcPr>
            <w:tcW w:w="2221" w:type="dxa"/>
            <w:vMerge w:val="continue"/>
            <w:noWrap w:val="0"/>
            <w:vAlign w:val="center"/>
          </w:tcPr>
          <w:p>
            <w:pPr>
              <w:snapToGrid w:val="0"/>
              <w:rPr>
                <w:sz w:val="18"/>
                <w:szCs w:val="18"/>
                <w:highlight w:val="none"/>
              </w:rPr>
            </w:pPr>
          </w:p>
        </w:tc>
        <w:tc>
          <w:tcPr>
            <w:tcW w:w="4946" w:type="dxa"/>
            <w:noWrap w:val="0"/>
            <w:vAlign w:val="center"/>
          </w:tcPr>
          <w:p>
            <w:pPr>
              <w:pStyle w:val="179"/>
              <w:numPr>
                <w:ilvl w:val="0"/>
                <w:numId w:val="0"/>
              </w:numPr>
              <w:adjustRightInd w:val="0"/>
              <w:spacing w:line="360" w:lineRule="auto"/>
              <w:rPr>
                <w:rFonts w:ascii="Times New Roman"/>
                <w:kern w:val="0"/>
                <w:highlight w:val="none"/>
              </w:rPr>
            </w:pPr>
            <w:r>
              <w:rPr>
                <w:rFonts w:hint="eastAsia" w:ascii="Times New Roman"/>
                <w:highlight w:val="none"/>
              </w:rPr>
              <w:t>温升极限试验</w:t>
            </w:r>
          </w:p>
        </w:tc>
        <w:tc>
          <w:tcPr>
            <w:tcW w:w="1179" w:type="dxa"/>
            <w:noWrap w:val="0"/>
            <w:vAlign w:val="center"/>
          </w:tcPr>
          <w:p>
            <w:pPr>
              <w:jc w:val="center"/>
              <w:rPr>
                <w:sz w:val="18"/>
                <w:szCs w:val="18"/>
                <w:highlight w:val="none"/>
              </w:rPr>
            </w:pPr>
            <w:r>
              <w:rPr>
                <w:rFonts w:hint="eastAsia"/>
                <w:sz w:val="18"/>
                <w:szCs w:val="18"/>
                <w:highlight w:val="none"/>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exact"/>
          <w:jc w:val="center"/>
        </w:trPr>
        <w:tc>
          <w:tcPr>
            <w:tcW w:w="941" w:type="dxa"/>
            <w:noWrap w:val="0"/>
            <w:vAlign w:val="center"/>
          </w:tcPr>
          <w:p>
            <w:pPr>
              <w:snapToGrid w:val="0"/>
              <w:jc w:val="center"/>
              <w:rPr>
                <w:sz w:val="18"/>
                <w:szCs w:val="18"/>
                <w:highlight w:val="none"/>
              </w:rPr>
            </w:pPr>
            <w:r>
              <w:rPr>
                <w:rFonts w:hint="eastAsia"/>
                <w:sz w:val="18"/>
                <w:szCs w:val="18"/>
                <w:highlight w:val="none"/>
              </w:rPr>
              <w:t>29</w:t>
            </w:r>
          </w:p>
        </w:tc>
        <w:tc>
          <w:tcPr>
            <w:tcW w:w="2221" w:type="dxa"/>
            <w:vMerge w:val="continue"/>
            <w:noWrap w:val="0"/>
            <w:vAlign w:val="center"/>
          </w:tcPr>
          <w:p>
            <w:pPr>
              <w:snapToGrid w:val="0"/>
              <w:rPr>
                <w:sz w:val="18"/>
                <w:szCs w:val="18"/>
                <w:highlight w:val="none"/>
              </w:rPr>
            </w:pPr>
          </w:p>
        </w:tc>
        <w:tc>
          <w:tcPr>
            <w:tcW w:w="4946" w:type="dxa"/>
            <w:noWrap w:val="0"/>
            <w:vAlign w:val="center"/>
          </w:tcPr>
          <w:p>
            <w:pPr>
              <w:snapToGrid w:val="0"/>
              <w:rPr>
                <w:sz w:val="18"/>
                <w:szCs w:val="18"/>
                <w:highlight w:val="none"/>
              </w:rPr>
            </w:pPr>
            <w:r>
              <w:rPr>
                <w:rFonts w:hint="eastAsia"/>
                <w:sz w:val="18"/>
                <w:szCs w:val="18"/>
                <w:highlight w:val="none"/>
              </w:rPr>
              <w:t>电气开关性能检验</w:t>
            </w:r>
          </w:p>
        </w:tc>
        <w:tc>
          <w:tcPr>
            <w:tcW w:w="1179" w:type="dxa"/>
            <w:noWrap w:val="0"/>
            <w:vAlign w:val="center"/>
          </w:tcPr>
          <w:p>
            <w:pPr>
              <w:jc w:val="center"/>
              <w:rPr>
                <w:sz w:val="18"/>
                <w:szCs w:val="18"/>
                <w:highlight w:val="none"/>
              </w:rPr>
            </w:pPr>
            <w:r>
              <w:rPr>
                <w:rFonts w:hint="eastAsia"/>
                <w:sz w:val="18"/>
                <w:szCs w:val="18"/>
                <w:highlight w:val="none"/>
              </w:rPr>
              <w:t>A</w:t>
            </w:r>
          </w:p>
        </w:tc>
      </w:tr>
      <w:bookmarkEnd w:id="220"/>
      <w:bookmarkEnd w:id="221"/>
    </w:tbl>
    <w:p>
      <w:pPr>
        <w:pStyle w:val="18"/>
        <w:spacing w:after="0" w:line="340" w:lineRule="exact"/>
        <w:ind w:firstLine="420" w:firstLineChars="200"/>
        <w:rPr>
          <w:kern w:val="21"/>
          <w:highlight w:val="none"/>
        </w:rPr>
      </w:pPr>
    </w:p>
    <w:p>
      <w:pPr>
        <w:widowControl/>
        <w:jc w:val="left"/>
        <w:rPr>
          <w:kern w:val="21"/>
          <w:szCs w:val="24"/>
          <w:highlight w:val="none"/>
        </w:rPr>
      </w:pPr>
      <w:r>
        <w:rPr>
          <w:kern w:val="21"/>
          <w:highlight w:val="none"/>
        </w:rPr>
        <w:br w:type="page"/>
      </w:r>
    </w:p>
    <w:p>
      <w:pPr>
        <w:pStyle w:val="2"/>
        <w:keepLines/>
        <w:topLinePunct/>
        <w:adjustRightInd w:val="0"/>
        <w:spacing w:line="360" w:lineRule="auto"/>
        <w:jc w:val="center"/>
        <w:rPr>
          <w:rFonts w:ascii="Times New Roman" w:hAnsi="Times New Roman"/>
          <w:b/>
          <w:w w:val="100"/>
          <w:kern w:val="44"/>
          <w:sz w:val="21"/>
          <w:szCs w:val="21"/>
          <w:highlight w:val="none"/>
          <w:shd w:val="clear" w:color="auto" w:fill="FFFFFF"/>
        </w:rPr>
      </w:pPr>
      <w:bookmarkStart w:id="222" w:name="_Toc9490"/>
      <w:r>
        <w:rPr>
          <w:rFonts w:hint="eastAsia" w:ascii="Times New Roman" w:hAnsi="Times New Roman"/>
          <w:b/>
          <w:w w:val="100"/>
          <w:kern w:val="44"/>
          <w:sz w:val="21"/>
          <w:szCs w:val="21"/>
          <w:highlight w:val="none"/>
          <w:shd w:val="clear" w:color="auto" w:fill="FFFFFF"/>
        </w:rPr>
        <w:t>附录B</w:t>
      </w:r>
      <w:r>
        <w:rPr>
          <w:rFonts w:ascii="Times New Roman" w:hAnsi="Times New Roman"/>
          <w:b/>
          <w:w w:val="100"/>
          <w:kern w:val="44"/>
          <w:sz w:val="21"/>
          <w:szCs w:val="21"/>
          <w:highlight w:val="none"/>
          <w:shd w:val="clear" w:color="auto" w:fill="FFFFFF"/>
        </w:rPr>
        <w:br w:type="textWrapping" w:clear="all"/>
      </w:r>
      <w:r>
        <w:rPr>
          <w:rFonts w:hint="eastAsia" w:ascii="Times New Roman" w:hAnsi="Times New Roman"/>
          <w:b/>
          <w:w w:val="100"/>
          <w:kern w:val="44"/>
          <w:sz w:val="21"/>
          <w:szCs w:val="21"/>
          <w:highlight w:val="none"/>
          <w:shd w:val="clear" w:color="auto" w:fill="FFFFFF"/>
        </w:rPr>
        <w:t>（规范性附录）</w:t>
      </w:r>
      <w:r>
        <w:rPr>
          <w:rFonts w:ascii="Times New Roman" w:hAnsi="Times New Roman"/>
          <w:b/>
          <w:w w:val="100"/>
          <w:kern w:val="44"/>
          <w:sz w:val="21"/>
          <w:szCs w:val="21"/>
          <w:highlight w:val="none"/>
          <w:shd w:val="clear" w:color="auto" w:fill="FFFFFF"/>
        </w:rPr>
        <w:br w:type="textWrapping" w:clear="all"/>
      </w:r>
      <w:r>
        <w:rPr>
          <w:rFonts w:hint="eastAsia" w:ascii="Times New Roman" w:hAnsi="Times New Roman"/>
          <w:b/>
          <w:w w:val="100"/>
          <w:kern w:val="44"/>
          <w:sz w:val="21"/>
          <w:szCs w:val="21"/>
          <w:highlight w:val="none"/>
          <w:shd w:val="clear" w:color="auto" w:fill="FFFFFF"/>
        </w:rPr>
        <w:t>计量表箱铭牌样式</w:t>
      </w:r>
      <w:bookmarkEnd w:id="222"/>
    </w:p>
    <w:p>
      <w:pPr>
        <w:pStyle w:val="18"/>
        <w:spacing w:after="0"/>
        <w:ind w:left="0" w:leftChars="0" w:firstLine="0" w:firstLineChars="0"/>
        <w:jc w:val="center"/>
        <w:rPr>
          <w:highlight w:val="none"/>
        </w:rPr>
      </w:pPr>
      <w:r>
        <w:drawing>
          <wp:inline distT="0" distB="0" distL="114300" distR="114300">
            <wp:extent cx="4875530" cy="3145790"/>
            <wp:effectExtent l="0" t="0" r="1270" b="16510"/>
            <wp:docPr id="28" name="ID_56EF827AECC04142943C89E7923E3F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D_56EF827AECC04142943C89E7923E3FB3"/>
                    <pic:cNvPicPr>
                      <a:picLocks noChangeAspect="1"/>
                    </pic:cNvPicPr>
                  </pic:nvPicPr>
                  <pic:blipFill>
                    <a:blip r:embed="rId10"/>
                    <a:stretch>
                      <a:fillRect/>
                    </a:stretch>
                  </pic:blipFill>
                  <pic:spPr>
                    <a:xfrm>
                      <a:off x="0" y="0"/>
                      <a:ext cx="4875530" cy="3145790"/>
                    </a:xfrm>
                    <a:prstGeom prst="rect">
                      <a:avLst/>
                    </a:prstGeom>
                    <a:noFill/>
                    <a:ln w="9525">
                      <a:noFill/>
                    </a:ln>
                  </pic:spPr>
                </pic:pic>
              </a:graphicData>
            </a:graphic>
          </wp:inline>
        </w:drawing>
      </w:r>
    </w:p>
    <w:p>
      <w:pPr>
        <w:pStyle w:val="18"/>
        <w:spacing w:after="0"/>
        <w:ind w:firstLine="420" w:firstLineChars="200"/>
        <w:jc w:val="center"/>
        <w:rPr>
          <w:highlight w:val="none"/>
        </w:rPr>
      </w:pPr>
    </w:p>
    <w:p>
      <w:pPr>
        <w:pStyle w:val="18"/>
        <w:spacing w:after="0"/>
        <w:ind w:firstLine="420" w:firstLineChars="200"/>
        <w:jc w:val="center"/>
        <w:rPr>
          <w:highlight w:val="none"/>
        </w:rPr>
      </w:pPr>
    </w:p>
    <w:p>
      <w:pPr>
        <w:pStyle w:val="18"/>
        <w:spacing w:after="0"/>
        <w:ind w:firstLine="420" w:firstLineChars="200"/>
        <w:jc w:val="center"/>
        <w:rPr>
          <w:highlight w:val="none"/>
        </w:rPr>
      </w:pPr>
    </w:p>
    <w:p>
      <w:pPr>
        <w:widowControl/>
        <w:jc w:val="left"/>
        <w:rPr>
          <w:kern w:val="21"/>
          <w:highlight w:val="none"/>
        </w:rPr>
        <w:sectPr>
          <w:footerReference r:id="rId4" w:type="default"/>
          <w:type w:val="continuous"/>
          <w:pgSz w:w="11907" w:h="16840"/>
          <w:pgMar w:top="1418" w:right="1418" w:bottom="1418" w:left="1418" w:header="851" w:footer="964" w:gutter="0"/>
          <w:pgNumType w:start="1"/>
          <w:cols w:space="720" w:num="1"/>
          <w:docGrid w:linePitch="312" w:charSpace="0"/>
        </w:sectPr>
      </w:pPr>
    </w:p>
    <w:p>
      <w:pPr>
        <w:pStyle w:val="2"/>
        <w:keepLines/>
        <w:topLinePunct/>
        <w:adjustRightInd w:val="0"/>
        <w:spacing w:line="360" w:lineRule="auto"/>
        <w:jc w:val="center"/>
        <w:rPr>
          <w:rFonts w:ascii="Times New Roman" w:hAnsi="Times New Roman"/>
          <w:b/>
          <w:w w:val="100"/>
          <w:kern w:val="44"/>
          <w:sz w:val="21"/>
          <w:szCs w:val="21"/>
          <w:highlight w:val="none"/>
          <w:shd w:val="clear" w:color="auto" w:fill="FFFFFF"/>
        </w:rPr>
      </w:pPr>
      <w:bookmarkStart w:id="223" w:name="_Toc7481"/>
      <w:r>
        <w:rPr>
          <w:rFonts w:hint="eastAsia" w:ascii="Times New Roman" w:hAnsi="Times New Roman"/>
          <w:b/>
          <w:w w:val="100"/>
          <w:kern w:val="44"/>
          <w:sz w:val="21"/>
          <w:szCs w:val="21"/>
          <w:highlight w:val="none"/>
          <w:shd w:val="clear" w:color="auto" w:fill="FFFFFF"/>
        </w:rPr>
        <w:t>附录C</w:t>
      </w:r>
      <w:r>
        <w:rPr>
          <w:rFonts w:ascii="Times New Roman" w:hAnsi="Times New Roman"/>
          <w:b/>
          <w:w w:val="100"/>
          <w:kern w:val="44"/>
          <w:sz w:val="21"/>
          <w:szCs w:val="21"/>
          <w:highlight w:val="none"/>
          <w:shd w:val="clear" w:color="auto" w:fill="FFFFFF"/>
        </w:rPr>
        <w:br w:type="textWrapping" w:clear="all"/>
      </w:r>
      <w:r>
        <w:rPr>
          <w:rFonts w:hint="eastAsia" w:ascii="Times New Roman" w:hAnsi="Times New Roman"/>
          <w:b/>
          <w:w w:val="100"/>
          <w:kern w:val="44"/>
          <w:sz w:val="21"/>
          <w:szCs w:val="21"/>
          <w:highlight w:val="none"/>
          <w:shd w:val="clear" w:color="auto" w:fill="FFFFFF"/>
        </w:rPr>
        <w:t>低压费控计量表箱外观尺寸图</w:t>
      </w:r>
      <w:bookmarkEnd w:id="223"/>
    </w:p>
    <w:p>
      <w:pPr>
        <w:widowControl/>
        <w:jc w:val="center"/>
        <w:rPr>
          <w:rFonts w:hint="eastAsia"/>
          <w:highlight w:val="none"/>
        </w:rPr>
      </w:pPr>
      <w:r>
        <w:rPr>
          <w:highlight w:val="none"/>
        </w:rPr>
        <w:drawing>
          <wp:inline distT="0" distB="0" distL="114300" distR="114300">
            <wp:extent cx="5154295" cy="7687310"/>
            <wp:effectExtent l="0" t="0" r="8890" b="8255"/>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11"/>
                    <a:srcRect l="2397" r="2701"/>
                    <a:stretch>
                      <a:fillRect/>
                    </a:stretch>
                  </pic:blipFill>
                  <pic:spPr>
                    <a:xfrm rot="16200000">
                      <a:off x="0" y="0"/>
                      <a:ext cx="5154295" cy="7687310"/>
                    </a:xfrm>
                    <a:prstGeom prst="rect">
                      <a:avLst/>
                    </a:prstGeom>
                    <a:noFill/>
                    <a:ln>
                      <a:noFill/>
                    </a:ln>
                  </pic:spPr>
                </pic:pic>
              </a:graphicData>
            </a:graphic>
          </wp:inline>
        </w:drawing>
      </w:r>
    </w:p>
    <w:p>
      <w:pPr>
        <w:widowControl/>
        <w:jc w:val="center"/>
        <w:rPr>
          <w:rFonts w:hint="eastAsia"/>
          <w:highlight w:val="none"/>
        </w:rPr>
      </w:pPr>
      <w:r>
        <w:rPr>
          <w:highlight w:val="none"/>
        </w:rPr>
        <w:drawing>
          <wp:inline distT="0" distB="0" distL="114300" distR="114300">
            <wp:extent cx="5760085" cy="8152765"/>
            <wp:effectExtent l="0" t="0" r="635" b="12065"/>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12"/>
                    <a:stretch>
                      <a:fillRect/>
                    </a:stretch>
                  </pic:blipFill>
                  <pic:spPr>
                    <a:xfrm rot="16200000">
                      <a:off x="0" y="0"/>
                      <a:ext cx="5760085" cy="8152765"/>
                    </a:xfrm>
                    <a:prstGeom prst="rect">
                      <a:avLst/>
                    </a:prstGeom>
                    <a:noFill/>
                    <a:ln>
                      <a:noFill/>
                    </a:ln>
                  </pic:spPr>
                </pic:pic>
              </a:graphicData>
            </a:graphic>
          </wp:inline>
        </w:drawing>
      </w:r>
      <w:r>
        <w:rPr>
          <w:highlight w:val="none"/>
        </w:rPr>
        <w:drawing>
          <wp:inline distT="0" distB="0" distL="114300" distR="114300">
            <wp:extent cx="5753735" cy="8139430"/>
            <wp:effectExtent l="0" t="0" r="13970" b="18415"/>
            <wp:docPr id="19" name="图片 28" descr="20211120深圳费控表箱2(3) Model (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8" descr="20211120深圳费控表箱2(3) Model (1)_00"/>
                    <pic:cNvPicPr>
                      <a:picLocks noChangeAspect="1"/>
                    </pic:cNvPicPr>
                  </pic:nvPicPr>
                  <pic:blipFill>
                    <a:blip r:embed="rId13"/>
                    <a:stretch>
                      <a:fillRect/>
                    </a:stretch>
                  </pic:blipFill>
                  <pic:spPr>
                    <a:xfrm rot="16200000">
                      <a:off x="0" y="0"/>
                      <a:ext cx="5753735" cy="8139430"/>
                    </a:xfrm>
                    <a:prstGeom prst="rect">
                      <a:avLst/>
                    </a:prstGeom>
                    <a:noFill/>
                    <a:ln>
                      <a:noFill/>
                    </a:ln>
                  </pic:spPr>
                </pic:pic>
              </a:graphicData>
            </a:graphic>
          </wp:inline>
        </w:drawing>
      </w:r>
      <w:r>
        <w:rPr>
          <w:highlight w:val="none"/>
        </w:rPr>
        <w:drawing>
          <wp:inline distT="0" distB="0" distL="114300" distR="114300">
            <wp:extent cx="5760085" cy="8152765"/>
            <wp:effectExtent l="0" t="0" r="635" b="12065"/>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14"/>
                    <a:stretch>
                      <a:fillRect/>
                    </a:stretch>
                  </pic:blipFill>
                  <pic:spPr>
                    <a:xfrm rot="16200000">
                      <a:off x="0" y="0"/>
                      <a:ext cx="5760085" cy="8152765"/>
                    </a:xfrm>
                    <a:prstGeom prst="rect">
                      <a:avLst/>
                    </a:prstGeom>
                    <a:noFill/>
                    <a:ln>
                      <a:noFill/>
                    </a:ln>
                  </pic:spPr>
                </pic:pic>
              </a:graphicData>
            </a:graphic>
          </wp:inline>
        </w:drawing>
      </w:r>
      <w:r>
        <w:rPr>
          <w:highlight w:val="none"/>
        </w:rPr>
        <w:drawing>
          <wp:inline distT="0" distB="0" distL="114300" distR="114300">
            <wp:extent cx="5760085" cy="8152765"/>
            <wp:effectExtent l="0" t="0" r="635" b="12065"/>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15"/>
                    <a:stretch>
                      <a:fillRect/>
                    </a:stretch>
                  </pic:blipFill>
                  <pic:spPr>
                    <a:xfrm rot="16200000">
                      <a:off x="0" y="0"/>
                      <a:ext cx="5760085" cy="8152765"/>
                    </a:xfrm>
                    <a:prstGeom prst="rect">
                      <a:avLst/>
                    </a:prstGeom>
                    <a:noFill/>
                    <a:ln>
                      <a:noFill/>
                    </a:ln>
                  </pic:spPr>
                </pic:pic>
              </a:graphicData>
            </a:graphic>
          </wp:inline>
        </w:drawing>
      </w:r>
      <w:r>
        <w:rPr>
          <w:highlight w:val="none"/>
        </w:rPr>
        <w:drawing>
          <wp:inline distT="0" distB="0" distL="114300" distR="114300">
            <wp:extent cx="5760085" cy="8152765"/>
            <wp:effectExtent l="0" t="0" r="635" b="1206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16"/>
                    <a:stretch>
                      <a:fillRect/>
                    </a:stretch>
                  </pic:blipFill>
                  <pic:spPr>
                    <a:xfrm rot="16200000">
                      <a:off x="0" y="0"/>
                      <a:ext cx="5760085" cy="8152765"/>
                    </a:xfrm>
                    <a:prstGeom prst="rect">
                      <a:avLst/>
                    </a:prstGeom>
                    <a:noFill/>
                    <a:ln>
                      <a:noFill/>
                    </a:ln>
                  </pic:spPr>
                </pic:pic>
              </a:graphicData>
            </a:graphic>
          </wp:inline>
        </w:drawing>
      </w:r>
      <w:r>
        <w:rPr>
          <w:highlight w:val="none"/>
        </w:rPr>
        <w:drawing>
          <wp:inline distT="0" distB="0" distL="114300" distR="114300">
            <wp:extent cx="5760085" cy="8152765"/>
            <wp:effectExtent l="0" t="0" r="635" b="1206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icPr>
                  <pic:blipFill>
                    <a:blip r:embed="rId17"/>
                    <a:stretch>
                      <a:fillRect/>
                    </a:stretch>
                  </pic:blipFill>
                  <pic:spPr>
                    <a:xfrm rot="16200000">
                      <a:off x="0" y="0"/>
                      <a:ext cx="5760085" cy="8152765"/>
                    </a:xfrm>
                    <a:prstGeom prst="rect">
                      <a:avLst/>
                    </a:prstGeom>
                    <a:noFill/>
                    <a:ln>
                      <a:noFill/>
                    </a:ln>
                  </pic:spPr>
                </pic:pic>
              </a:graphicData>
            </a:graphic>
          </wp:inline>
        </w:drawing>
      </w:r>
      <w:r>
        <w:rPr>
          <w:highlight w:val="none"/>
        </w:rPr>
        <w:drawing>
          <wp:inline distT="0" distB="0" distL="114300" distR="114300">
            <wp:extent cx="5692775" cy="8219440"/>
            <wp:effectExtent l="0" t="0" r="10160" b="3175"/>
            <wp:docPr id="3" name="图片 70" descr="客户侧电能计量装置通用设计要求 第2部分 低压用电客户电能计量装置(典型设计图集)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0" descr="客户侧电能计量装置通用设计要求 第2部分 低压用电客户电能计量装置(典型设计图集)_02"/>
                    <pic:cNvPicPr>
                      <a:picLocks noChangeAspect="1"/>
                    </pic:cNvPicPr>
                  </pic:nvPicPr>
                  <pic:blipFill>
                    <a:blip r:embed="rId18"/>
                    <a:srcRect l="9386" t="8382" r="6888" b="6238"/>
                    <a:stretch>
                      <a:fillRect/>
                    </a:stretch>
                  </pic:blipFill>
                  <pic:spPr>
                    <a:xfrm rot="16200000">
                      <a:off x="0" y="0"/>
                      <a:ext cx="5692775" cy="8219440"/>
                    </a:xfrm>
                    <a:prstGeom prst="rect">
                      <a:avLst/>
                    </a:prstGeom>
                    <a:noFill/>
                    <a:ln>
                      <a:noFill/>
                    </a:ln>
                  </pic:spPr>
                </pic:pic>
              </a:graphicData>
            </a:graphic>
          </wp:inline>
        </w:drawing>
      </w:r>
      <w:r>
        <w:rPr>
          <w:highlight w:val="none"/>
        </w:rPr>
        <w:drawing>
          <wp:inline distT="0" distB="0" distL="114300" distR="114300">
            <wp:extent cx="5760085" cy="8152765"/>
            <wp:effectExtent l="0" t="0" r="635" b="12065"/>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icPr>
                  <pic:blipFill>
                    <a:blip r:embed="rId19"/>
                    <a:stretch>
                      <a:fillRect/>
                    </a:stretch>
                  </pic:blipFill>
                  <pic:spPr>
                    <a:xfrm rot="16200000">
                      <a:off x="0" y="0"/>
                      <a:ext cx="5760085" cy="8152765"/>
                    </a:xfrm>
                    <a:prstGeom prst="rect">
                      <a:avLst/>
                    </a:prstGeom>
                    <a:noFill/>
                    <a:ln>
                      <a:noFill/>
                    </a:ln>
                  </pic:spPr>
                </pic:pic>
              </a:graphicData>
            </a:graphic>
          </wp:inline>
        </w:drawing>
      </w:r>
      <w:r>
        <w:rPr>
          <w:highlight w:val="none"/>
        </w:rPr>
        <w:drawing>
          <wp:inline distT="0" distB="0" distL="114300" distR="114300">
            <wp:extent cx="5683250" cy="8002905"/>
            <wp:effectExtent l="0" t="0" r="17145" b="12700"/>
            <wp:docPr id="4" name="图片 71" descr="G:\WORKS\tec001\HGKJ2021\20-标准修订技术交流等\20230222_征求广东电网有限责任公司低压费控计量表箱（PC外壳）技术规范书意见\与赵闻沟通讨论收到的征集意见\典设图纸\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1" descr="G:\WORKS\tec001\HGKJ2021\20-标准修订技术交流等\20230222_征求广东电网有限责任公司低压费控计量表箱（PC外壳）技术规范书意见\与赵闻沟通讨论收到的征集意见\典设图纸\图片1.jpg图片1"/>
                    <pic:cNvPicPr>
                      <a:picLocks noChangeAspect="1"/>
                    </pic:cNvPicPr>
                  </pic:nvPicPr>
                  <pic:blipFill>
                    <a:blip r:embed="rId20"/>
                    <a:stretch>
                      <a:fillRect/>
                    </a:stretch>
                  </pic:blipFill>
                  <pic:spPr>
                    <a:xfrm rot="16200000">
                      <a:off x="0" y="0"/>
                      <a:ext cx="5683250" cy="8002905"/>
                    </a:xfrm>
                    <a:prstGeom prst="rect">
                      <a:avLst/>
                    </a:prstGeom>
                    <a:noFill/>
                    <a:ln>
                      <a:noFill/>
                    </a:ln>
                  </pic:spPr>
                </pic:pic>
              </a:graphicData>
            </a:graphic>
          </wp:inline>
        </w:drawing>
      </w:r>
      <w:r>
        <w:rPr>
          <w:highlight w:val="none"/>
        </w:rPr>
        <w:drawing>
          <wp:inline distT="0" distB="0" distL="114300" distR="114300">
            <wp:extent cx="5579745" cy="7211695"/>
            <wp:effectExtent l="0" t="0" r="8255" b="1905"/>
            <wp:docPr id="5" name="图片 72" descr="客户侧电能计量装置通用设计要求 第2部分 低压用电客户电能计量装置(典型设计图集)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2" descr="客户侧电能计量装置通用设计要求 第2部分 低压用电客户电能计量装置(典型设计图集)_06"/>
                    <pic:cNvPicPr>
                      <a:picLocks noChangeAspect="1"/>
                    </pic:cNvPicPr>
                  </pic:nvPicPr>
                  <pic:blipFill>
                    <a:blip r:embed="rId21"/>
                    <a:srcRect l="20551" t="7695" r="9233" b="28261"/>
                    <a:stretch>
                      <a:fillRect/>
                    </a:stretch>
                  </pic:blipFill>
                  <pic:spPr>
                    <a:xfrm rot="16200000">
                      <a:off x="0" y="0"/>
                      <a:ext cx="5579745" cy="7211695"/>
                    </a:xfrm>
                    <a:prstGeom prst="rect">
                      <a:avLst/>
                    </a:prstGeom>
                    <a:noFill/>
                    <a:ln>
                      <a:noFill/>
                    </a:ln>
                  </pic:spPr>
                </pic:pic>
              </a:graphicData>
            </a:graphic>
          </wp:inline>
        </w:drawing>
      </w:r>
      <w:r>
        <w:rPr>
          <w:highlight w:val="none"/>
        </w:rPr>
        <w:drawing>
          <wp:inline distT="0" distB="0" distL="114300" distR="114300">
            <wp:extent cx="5646420" cy="8411210"/>
            <wp:effectExtent l="0" t="0" r="8890" b="11430"/>
            <wp:docPr id="6" name="图片 73" descr="G:\WORKS\tec001\HGKJ2021\20-标准修订技术交流等\20230222_征求广东电网有限责任公司低压费控计量表箱（PC外壳）技术规范书意见\与赵闻沟通讨论收到的征集意见\典设图纸\图片2.jpg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3" descr="G:\WORKS\tec001\HGKJ2021\20-标准修订技术交流等\20230222_征求广东电网有限责任公司低压费控计量表箱（PC外壳）技术规范书意见\与赵闻沟通讨论收到的征集意见\典设图纸\图片2.jpg图片2"/>
                    <pic:cNvPicPr>
                      <a:picLocks noChangeAspect="1"/>
                    </pic:cNvPicPr>
                  </pic:nvPicPr>
                  <pic:blipFill>
                    <a:blip r:embed="rId22"/>
                    <a:stretch>
                      <a:fillRect/>
                    </a:stretch>
                  </pic:blipFill>
                  <pic:spPr>
                    <a:xfrm rot="16200000">
                      <a:off x="0" y="0"/>
                      <a:ext cx="5646420" cy="8411210"/>
                    </a:xfrm>
                    <a:prstGeom prst="rect">
                      <a:avLst/>
                    </a:prstGeom>
                    <a:noFill/>
                    <a:ln>
                      <a:noFill/>
                    </a:ln>
                  </pic:spPr>
                </pic:pic>
              </a:graphicData>
            </a:graphic>
          </wp:inline>
        </w:drawing>
      </w:r>
      <w:r>
        <w:rPr>
          <w:highlight w:val="none"/>
        </w:rPr>
        <w:drawing>
          <wp:inline distT="0" distB="0" distL="114300" distR="114300">
            <wp:extent cx="5674995" cy="7606665"/>
            <wp:effectExtent l="0" t="0" r="13335" b="1905"/>
            <wp:docPr id="7" name="图片 74" descr="客户侧电能计量装置通用设计要求 第2部分 低压用电客户电能计量装置(典型设计图集)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4" descr="客户侧电能计量装置通用设计要求 第2部分 低压用电客户电能计量装置(典型设计图集)_08"/>
                    <pic:cNvPicPr>
                      <a:picLocks noChangeAspect="1"/>
                    </pic:cNvPicPr>
                  </pic:nvPicPr>
                  <pic:blipFill>
                    <a:blip r:embed="rId23"/>
                    <a:srcRect l="19266" t="4501" r="9709" b="28189"/>
                    <a:stretch>
                      <a:fillRect/>
                    </a:stretch>
                  </pic:blipFill>
                  <pic:spPr>
                    <a:xfrm rot="16200000">
                      <a:off x="0" y="0"/>
                      <a:ext cx="5674995" cy="7606665"/>
                    </a:xfrm>
                    <a:prstGeom prst="rect">
                      <a:avLst/>
                    </a:prstGeom>
                    <a:noFill/>
                    <a:ln>
                      <a:noFill/>
                    </a:ln>
                  </pic:spPr>
                </pic:pic>
              </a:graphicData>
            </a:graphic>
          </wp:inline>
        </w:drawing>
      </w:r>
      <w:r>
        <w:rPr>
          <w:highlight w:val="none"/>
        </w:rPr>
        <w:drawing>
          <wp:inline distT="0" distB="0" distL="114300" distR="114300">
            <wp:extent cx="5635625" cy="8416290"/>
            <wp:effectExtent l="0" t="0" r="3810" b="3175"/>
            <wp:docPr id="8" name="图片 75" descr="G:\WORKS\tec001\HGKJ2021\20-标准修订技术交流等\20230222_征求广东电网有限责任公司低压费控计量表箱（PC外壳）技术规范书意见\与赵闻沟通讨论收到的征集意见\典设图纸\图片3.jpg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5" descr="G:\WORKS\tec001\HGKJ2021\20-标准修订技术交流等\20230222_征求广东电网有限责任公司低压费控计量表箱（PC外壳）技术规范书意见\与赵闻沟通讨论收到的征集意见\典设图纸\图片3.jpg图片3"/>
                    <pic:cNvPicPr>
                      <a:picLocks noChangeAspect="1"/>
                    </pic:cNvPicPr>
                  </pic:nvPicPr>
                  <pic:blipFill>
                    <a:blip r:embed="rId24"/>
                    <a:stretch>
                      <a:fillRect/>
                    </a:stretch>
                  </pic:blipFill>
                  <pic:spPr>
                    <a:xfrm rot="16200000">
                      <a:off x="0" y="0"/>
                      <a:ext cx="5635625" cy="8416290"/>
                    </a:xfrm>
                    <a:prstGeom prst="rect">
                      <a:avLst/>
                    </a:prstGeom>
                    <a:noFill/>
                    <a:ln>
                      <a:noFill/>
                    </a:ln>
                  </pic:spPr>
                </pic:pic>
              </a:graphicData>
            </a:graphic>
          </wp:inline>
        </w:drawing>
      </w:r>
      <w:r>
        <w:rPr>
          <w:highlight w:val="none"/>
        </w:rPr>
        <w:drawing>
          <wp:inline distT="0" distB="0" distL="114300" distR="114300">
            <wp:extent cx="5651500" cy="7567930"/>
            <wp:effectExtent l="0" t="0" r="13970" b="6350"/>
            <wp:docPr id="9" name="图片 76" descr="客户侧电能计量装置通用设计要求 第2部分 低压用电客户电能计量装置(典型设计图集)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6" descr="客户侧电能计量装置通用设计要求 第2部分 低压用电客户电能计量装置(典型设计图集)_10"/>
                    <pic:cNvPicPr>
                      <a:picLocks noChangeAspect="1"/>
                    </pic:cNvPicPr>
                  </pic:nvPicPr>
                  <pic:blipFill>
                    <a:blip r:embed="rId25"/>
                    <a:srcRect l="21844" t="7610" r="12439" b="30225"/>
                    <a:stretch>
                      <a:fillRect/>
                    </a:stretch>
                  </pic:blipFill>
                  <pic:spPr>
                    <a:xfrm rot="16200000">
                      <a:off x="0" y="0"/>
                      <a:ext cx="5651500" cy="7567930"/>
                    </a:xfrm>
                    <a:prstGeom prst="rect">
                      <a:avLst/>
                    </a:prstGeom>
                    <a:noFill/>
                    <a:ln>
                      <a:noFill/>
                    </a:ln>
                  </pic:spPr>
                </pic:pic>
              </a:graphicData>
            </a:graphic>
          </wp:inline>
        </w:drawing>
      </w:r>
      <w:r>
        <w:rPr>
          <w:highlight w:val="none"/>
        </w:rPr>
        <w:drawing>
          <wp:inline distT="0" distB="0" distL="114300" distR="114300">
            <wp:extent cx="5622290" cy="8335010"/>
            <wp:effectExtent l="0" t="0" r="8890" b="16510"/>
            <wp:docPr id="10" name="图片 79" descr="G:\WORKS\tec001\HGKJ2021\20-标准修订技术交流等\20230222_征求广东电网有限责任公司低压费控计量表箱（PC外壳）技术规范书意见\与赵闻沟通讨论收到的征集意见\典设图纸\图片5.jpg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9" descr="G:\WORKS\tec001\HGKJ2021\20-标准修订技术交流等\20230222_征求广东电网有限责任公司低压费控计量表箱（PC外壳）技术规范书意见\与赵闻沟通讨论收到的征集意见\典设图纸\图片5.jpg图片5"/>
                    <pic:cNvPicPr>
                      <a:picLocks noChangeAspect="1"/>
                    </pic:cNvPicPr>
                  </pic:nvPicPr>
                  <pic:blipFill>
                    <a:blip r:embed="rId26"/>
                    <a:stretch>
                      <a:fillRect/>
                    </a:stretch>
                  </pic:blipFill>
                  <pic:spPr>
                    <a:xfrm rot="16200000">
                      <a:off x="0" y="0"/>
                      <a:ext cx="5622290" cy="8335010"/>
                    </a:xfrm>
                    <a:prstGeom prst="rect">
                      <a:avLst/>
                    </a:prstGeom>
                    <a:noFill/>
                    <a:ln>
                      <a:noFill/>
                    </a:ln>
                  </pic:spPr>
                </pic:pic>
              </a:graphicData>
            </a:graphic>
          </wp:inline>
        </w:drawing>
      </w:r>
      <w:r>
        <w:rPr>
          <w:highlight w:val="none"/>
        </w:rPr>
        <w:drawing>
          <wp:inline distT="0" distB="0" distL="114300" distR="114300">
            <wp:extent cx="5699125" cy="6711950"/>
            <wp:effectExtent l="0" t="0" r="12700" b="15875"/>
            <wp:docPr id="11" name="图片 80" descr="客户侧电能计量装置通用设计要求 第2部分 低压用电客户电能计量装置(典型设计图集)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0" descr="客户侧电能计量装置通用设计要求 第2部分 低压用电客户电能计量装置(典型设计图集)_14"/>
                    <pic:cNvPicPr>
                      <a:picLocks noChangeAspect="1"/>
                    </pic:cNvPicPr>
                  </pic:nvPicPr>
                  <pic:blipFill>
                    <a:blip r:embed="rId27"/>
                    <a:srcRect l="19469" t="5894" b="27060"/>
                    <a:stretch>
                      <a:fillRect/>
                    </a:stretch>
                  </pic:blipFill>
                  <pic:spPr>
                    <a:xfrm rot="16200000">
                      <a:off x="0" y="0"/>
                      <a:ext cx="5699125" cy="6711950"/>
                    </a:xfrm>
                    <a:prstGeom prst="rect">
                      <a:avLst/>
                    </a:prstGeom>
                    <a:noFill/>
                    <a:ln>
                      <a:noFill/>
                    </a:ln>
                  </pic:spPr>
                </pic:pic>
              </a:graphicData>
            </a:graphic>
          </wp:inline>
        </w:drawing>
      </w:r>
      <w:r>
        <w:rPr>
          <w:highlight w:val="none"/>
        </w:rPr>
        <w:drawing>
          <wp:inline distT="0" distB="0" distL="114300" distR="114300">
            <wp:extent cx="5760085" cy="8152765"/>
            <wp:effectExtent l="0" t="0" r="635" b="12065"/>
            <wp:docPr id="2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8"/>
                    <pic:cNvPicPr>
                      <a:picLocks noChangeAspect="1"/>
                    </pic:cNvPicPr>
                  </pic:nvPicPr>
                  <pic:blipFill>
                    <a:blip r:embed="rId28"/>
                    <a:stretch>
                      <a:fillRect/>
                    </a:stretch>
                  </pic:blipFill>
                  <pic:spPr>
                    <a:xfrm rot="16200000">
                      <a:off x="0" y="0"/>
                      <a:ext cx="5760085" cy="8152765"/>
                    </a:xfrm>
                    <a:prstGeom prst="rect">
                      <a:avLst/>
                    </a:prstGeom>
                    <a:noFill/>
                    <a:ln>
                      <a:noFill/>
                    </a:ln>
                  </pic:spPr>
                </pic:pic>
              </a:graphicData>
            </a:graphic>
          </wp:inline>
        </w:drawing>
      </w:r>
      <w:r>
        <w:rPr>
          <w:highlight w:val="none"/>
        </w:rPr>
        <w:drawing>
          <wp:inline distT="0" distB="0" distL="114300" distR="114300">
            <wp:extent cx="5730875" cy="8368665"/>
            <wp:effectExtent l="0" t="0" r="13335" b="3175"/>
            <wp:docPr id="12" name="图片 83" descr="客户侧电能计量装置通用设计要求 第2部分 低压用电客户电能计量装置(典型设计图集)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3" descr="客户侧电能计量装置通用设计要求 第2部分 低压用电客户电能计量装置(典型设计图集)_18"/>
                    <pic:cNvPicPr>
                      <a:picLocks noChangeAspect="1"/>
                    </pic:cNvPicPr>
                  </pic:nvPicPr>
                  <pic:blipFill>
                    <a:blip r:embed="rId29"/>
                    <a:srcRect l="9102" t="7596" r="9355" b="8302"/>
                    <a:stretch>
                      <a:fillRect/>
                    </a:stretch>
                  </pic:blipFill>
                  <pic:spPr>
                    <a:xfrm rot="16200000">
                      <a:off x="0" y="0"/>
                      <a:ext cx="5730875" cy="8368665"/>
                    </a:xfrm>
                    <a:prstGeom prst="rect">
                      <a:avLst/>
                    </a:prstGeom>
                    <a:noFill/>
                    <a:ln>
                      <a:noFill/>
                    </a:ln>
                  </pic:spPr>
                </pic:pic>
              </a:graphicData>
            </a:graphic>
          </wp:inline>
        </w:drawing>
      </w:r>
      <w:r>
        <w:rPr>
          <w:highlight w:val="none"/>
        </w:rPr>
        <w:drawing>
          <wp:inline distT="0" distB="0" distL="114300" distR="114300">
            <wp:extent cx="5760085" cy="8152765"/>
            <wp:effectExtent l="0" t="0" r="635" b="12065"/>
            <wp:docPr id="2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
                    <pic:cNvPicPr>
                      <a:picLocks noChangeAspect="1"/>
                    </pic:cNvPicPr>
                  </pic:nvPicPr>
                  <pic:blipFill>
                    <a:blip r:embed="rId30"/>
                    <a:stretch>
                      <a:fillRect/>
                    </a:stretch>
                  </pic:blipFill>
                  <pic:spPr>
                    <a:xfrm rot="16200000">
                      <a:off x="0" y="0"/>
                      <a:ext cx="5760085" cy="8152765"/>
                    </a:xfrm>
                    <a:prstGeom prst="rect">
                      <a:avLst/>
                    </a:prstGeom>
                    <a:noFill/>
                    <a:ln>
                      <a:noFill/>
                    </a:ln>
                  </pic:spPr>
                </pic:pic>
              </a:graphicData>
            </a:graphic>
          </wp:inline>
        </w:drawing>
      </w:r>
      <w:r>
        <w:rPr>
          <w:highlight w:val="none"/>
        </w:rPr>
        <w:drawing>
          <wp:inline distT="0" distB="0" distL="114300" distR="114300">
            <wp:extent cx="5694045" cy="8311515"/>
            <wp:effectExtent l="0" t="0" r="13335" b="1905"/>
            <wp:docPr id="13" name="图片 93" descr="G:\WORKS\tec001\HGKJ2021\20-标准修订技术交流等\20230222_征求广东电网有限责任公司低压费控计量表箱（PC外壳）技术规范书意见\与赵闻沟通讨论收到的征集意见\典设图纸\图片12.jpg图片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3" descr="G:\WORKS\tec001\HGKJ2021\20-标准修订技术交流等\20230222_征求广东电网有限责任公司低压费控计量表箱（PC外壳）技术规范书意见\与赵闻沟通讨论收到的征集意见\典设图纸\图片12.jpg图片12"/>
                    <pic:cNvPicPr>
                      <a:picLocks noChangeAspect="1"/>
                    </pic:cNvPicPr>
                  </pic:nvPicPr>
                  <pic:blipFill>
                    <a:blip r:embed="rId31"/>
                    <a:stretch>
                      <a:fillRect/>
                    </a:stretch>
                  </pic:blipFill>
                  <pic:spPr>
                    <a:xfrm rot="16200000">
                      <a:off x="0" y="0"/>
                      <a:ext cx="5694045" cy="8311515"/>
                    </a:xfrm>
                    <a:prstGeom prst="rect">
                      <a:avLst/>
                    </a:prstGeom>
                    <a:noFill/>
                    <a:ln>
                      <a:noFill/>
                    </a:ln>
                  </pic:spPr>
                </pic:pic>
              </a:graphicData>
            </a:graphic>
          </wp:inline>
        </w:drawing>
      </w:r>
      <w:r>
        <w:rPr>
          <w:highlight w:val="none"/>
        </w:rPr>
        <w:drawing>
          <wp:inline distT="0" distB="0" distL="114300" distR="114300">
            <wp:extent cx="5805170" cy="6980555"/>
            <wp:effectExtent l="0" t="0" r="10795" b="5080"/>
            <wp:docPr id="14" name="图片 94" descr="客户侧电能计量装置通用设计要求 第2部分 低压用电客户电能计量装置(典型设计图集)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4" descr="客户侧电能计量装置通用设计要求 第2部分 低压用电客户电能计量装置(典型设计图集)_31"/>
                    <pic:cNvPicPr>
                      <a:picLocks noChangeAspect="1"/>
                    </pic:cNvPicPr>
                  </pic:nvPicPr>
                  <pic:blipFill>
                    <a:blip r:embed="rId32"/>
                    <a:srcRect l="22118" t="8667" r="7201" b="31261"/>
                    <a:stretch>
                      <a:fillRect/>
                    </a:stretch>
                  </pic:blipFill>
                  <pic:spPr>
                    <a:xfrm rot="16200000">
                      <a:off x="0" y="0"/>
                      <a:ext cx="5805170" cy="6980555"/>
                    </a:xfrm>
                    <a:prstGeom prst="rect">
                      <a:avLst/>
                    </a:prstGeom>
                    <a:noFill/>
                    <a:ln>
                      <a:noFill/>
                    </a:ln>
                  </pic:spPr>
                </pic:pic>
              </a:graphicData>
            </a:graphic>
          </wp:inline>
        </w:drawing>
      </w:r>
      <w:r>
        <w:rPr>
          <w:highlight w:val="none"/>
        </w:rPr>
        <w:drawing>
          <wp:inline distT="0" distB="0" distL="114300" distR="114300">
            <wp:extent cx="5755005" cy="8245475"/>
            <wp:effectExtent l="0" t="0" r="3175" b="17145"/>
            <wp:docPr id="15" name="图片 95" descr="G:\WORKS\tec001\HGKJ2021\20-标准修订技术交流等\20230222_征求广东电网有限责任公司低压费控计量表箱（PC外壳）技术规范书意见\与赵闻沟通讨论收到的征集意见\典设图纸\图片13.jpg图片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5" descr="G:\WORKS\tec001\HGKJ2021\20-标准修订技术交流等\20230222_征求广东电网有限责任公司低压费控计量表箱（PC外壳）技术规范书意见\与赵闻沟通讨论收到的征集意见\典设图纸\图片13.jpg图片13"/>
                    <pic:cNvPicPr>
                      <a:picLocks noChangeAspect="1"/>
                    </pic:cNvPicPr>
                  </pic:nvPicPr>
                  <pic:blipFill>
                    <a:blip r:embed="rId33"/>
                    <a:stretch>
                      <a:fillRect/>
                    </a:stretch>
                  </pic:blipFill>
                  <pic:spPr>
                    <a:xfrm rot="16200000">
                      <a:off x="0" y="0"/>
                      <a:ext cx="5755005" cy="8245475"/>
                    </a:xfrm>
                    <a:prstGeom prst="rect">
                      <a:avLst/>
                    </a:prstGeom>
                    <a:noFill/>
                    <a:ln>
                      <a:noFill/>
                    </a:ln>
                  </pic:spPr>
                </pic:pic>
              </a:graphicData>
            </a:graphic>
          </wp:inline>
        </w:drawing>
      </w:r>
      <w:r>
        <w:rPr>
          <w:highlight w:val="none"/>
        </w:rPr>
        <w:drawing>
          <wp:inline distT="0" distB="0" distL="114300" distR="114300">
            <wp:extent cx="5642610" cy="7583805"/>
            <wp:effectExtent l="0" t="0" r="17145" b="15240"/>
            <wp:docPr id="16" name="图片 96" descr="客户侧电能计量装置通用设计要求 第2部分 低压用电客户电能计量装置(典型设计图集)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6" descr="客户侧电能计量装置通用设计要求 第2部分 低压用电客户电能计量装置(典型设计图集)_33"/>
                    <pic:cNvPicPr>
                      <a:picLocks noChangeAspect="1"/>
                    </pic:cNvPicPr>
                  </pic:nvPicPr>
                  <pic:blipFill>
                    <a:blip r:embed="rId34"/>
                    <a:srcRect l="21622" t="6610" r="7454" b="28317"/>
                    <a:stretch>
                      <a:fillRect/>
                    </a:stretch>
                  </pic:blipFill>
                  <pic:spPr>
                    <a:xfrm rot="16200000">
                      <a:off x="0" y="0"/>
                      <a:ext cx="5642610" cy="7583805"/>
                    </a:xfrm>
                    <a:prstGeom prst="rect">
                      <a:avLst/>
                    </a:prstGeom>
                    <a:noFill/>
                    <a:ln>
                      <a:noFill/>
                    </a:ln>
                  </pic:spPr>
                </pic:pic>
              </a:graphicData>
            </a:graphic>
          </wp:inline>
        </w:drawing>
      </w:r>
    </w:p>
    <w:p>
      <w:pPr>
        <w:widowControl/>
        <w:jc w:val="left"/>
        <w:rPr>
          <w:highlight w:val="none"/>
        </w:rPr>
      </w:pPr>
      <w:r>
        <w:rPr>
          <w:highlight w:val="none"/>
        </w:rPr>
        <w:br w:type="page"/>
      </w:r>
    </w:p>
    <w:p>
      <w:pPr>
        <w:pStyle w:val="2"/>
        <w:jc w:val="center"/>
        <w:rPr>
          <w:rFonts w:ascii="宋体" w:hAnsi="宋体"/>
          <w:b/>
          <w:kern w:val="44"/>
          <w:sz w:val="21"/>
          <w:szCs w:val="21"/>
          <w:highlight w:val="none"/>
          <w:shd w:val="clear" w:color="auto" w:fill="FFFFFF"/>
        </w:rPr>
      </w:pPr>
      <w:bookmarkStart w:id="224" w:name="_Toc16986"/>
      <w:r>
        <w:rPr>
          <w:rFonts w:hint="eastAsia" w:ascii="宋体" w:hAnsi="宋体"/>
          <w:b/>
          <w:kern w:val="44"/>
          <w:sz w:val="21"/>
          <w:szCs w:val="21"/>
          <w:highlight w:val="none"/>
          <w:shd w:val="clear" w:color="auto" w:fill="FFFFFF"/>
        </w:rPr>
        <w:t>附录D</w:t>
      </w:r>
      <w:r>
        <w:rPr>
          <w:rFonts w:ascii="宋体" w:hAnsi="宋体"/>
          <w:b/>
          <w:kern w:val="44"/>
          <w:sz w:val="21"/>
          <w:szCs w:val="21"/>
          <w:highlight w:val="none"/>
          <w:shd w:val="clear" w:color="auto" w:fill="FFFFFF"/>
        </w:rPr>
        <w:br w:type="textWrapping" w:clear="all"/>
      </w:r>
      <w:r>
        <w:rPr>
          <w:rFonts w:hint="eastAsia" w:ascii="宋体" w:hAnsi="宋体"/>
          <w:b/>
          <w:kern w:val="44"/>
          <w:sz w:val="21"/>
          <w:szCs w:val="21"/>
          <w:highlight w:val="none"/>
          <w:shd w:val="clear" w:color="auto" w:fill="FFFFFF"/>
        </w:rPr>
        <w:t>外观标识样式图</w:t>
      </w:r>
      <w:bookmarkEnd w:id="224"/>
    </w:p>
    <w:p>
      <w:pPr>
        <w:rPr>
          <w:b/>
          <w:kern w:val="44"/>
          <w:szCs w:val="21"/>
          <w:highlight w:val="none"/>
          <w:shd w:val="clear" w:color="auto" w:fill="FFFFFF"/>
        </w:rPr>
      </w:pPr>
    </w:p>
    <w:p>
      <w:pPr>
        <w:jc w:val="center"/>
        <w:rPr>
          <w:highlight w:val="none"/>
        </w:rPr>
      </w:pPr>
      <w:r>
        <w:rPr>
          <w:highlight w:val="none"/>
        </w:rPr>
        <w:drawing>
          <wp:inline distT="0" distB="0" distL="114300" distR="114300">
            <wp:extent cx="2275840" cy="4342765"/>
            <wp:effectExtent l="0" t="0" r="10160" b="635"/>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pic:cNvPicPr>
                      <a:picLocks noChangeAspect="1"/>
                    </pic:cNvPicPr>
                  </pic:nvPicPr>
                  <pic:blipFill>
                    <a:blip r:embed="rId35"/>
                    <a:stretch>
                      <a:fillRect/>
                    </a:stretch>
                  </pic:blipFill>
                  <pic:spPr>
                    <a:xfrm>
                      <a:off x="0" y="0"/>
                      <a:ext cx="2275840" cy="4342765"/>
                    </a:xfrm>
                    <a:prstGeom prst="rect">
                      <a:avLst/>
                    </a:prstGeom>
                    <a:noFill/>
                    <a:ln>
                      <a:noFill/>
                    </a:ln>
                  </pic:spPr>
                </pic:pic>
              </a:graphicData>
            </a:graphic>
          </wp:inline>
        </w:drawing>
      </w:r>
      <w:r>
        <w:rPr>
          <w:highlight w:val="none"/>
        </w:rPr>
        <w:t xml:space="preserve">  </w:t>
      </w:r>
    </w:p>
    <w:p>
      <w:pPr>
        <w:rPr>
          <w:highlight w:val="none"/>
        </w:rPr>
      </w:pPr>
    </w:p>
    <w:p>
      <w:pPr>
        <w:rPr>
          <w:highlight w:val="none"/>
        </w:rPr>
      </w:pPr>
      <w:r>
        <w:rPr>
          <w:rFonts w:hint="eastAsia"/>
          <w:highlight w:val="none"/>
        </w:rPr>
        <w:t>注：</w:t>
      </w:r>
    </w:p>
    <w:p>
      <w:pPr>
        <w:rPr>
          <w:highlight w:val="none"/>
        </w:rPr>
      </w:pPr>
      <w:r>
        <w:rPr>
          <w:rFonts w:hint="eastAsia"/>
          <w:highlight w:val="none"/>
        </w:rPr>
        <w:t>1、有电危险、周围禁放易燃物品可采用粘贴方式；</w:t>
      </w:r>
    </w:p>
    <w:p>
      <w:pPr>
        <w:rPr>
          <w:highlight w:val="none"/>
        </w:rPr>
      </w:pPr>
      <w:r>
        <w:rPr>
          <w:rFonts w:hint="eastAsia"/>
          <w:highlight w:val="none"/>
        </w:rPr>
        <w:t>2、中国南方电网、万家灯火南网情深、公众号二维码、95598、产权分界点等标识如上图采用蓝（PANTONE 654C）、白两种颜色丝印；</w:t>
      </w:r>
    </w:p>
    <w:p>
      <w:pPr>
        <w:rPr>
          <w:highlight w:val="none"/>
        </w:rPr>
      </w:pPr>
      <w:r>
        <w:rPr>
          <w:rFonts w:hint="eastAsia"/>
          <w:highlight w:val="none"/>
        </w:rPr>
        <w:t>3、二维码内容为南方电网95598公众号：csg-95598。</w:t>
      </w:r>
    </w:p>
    <w:sectPr>
      <w:pgSz w:w="16840" w:h="11907" w:orient="landscape"/>
      <w:pgMar w:top="1418" w:right="1418" w:bottom="1418" w:left="1418" w:header="851" w:footer="964"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10" w:usb3="00000000" w:csb0="0004009F" w:csb1="00000000"/>
  </w:font>
  <w:font w:name="Monotype Corsiva">
    <w:altName w:val="Comic Sans MS"/>
    <w:panose1 w:val="03010101010201010101"/>
    <w:charset w:val="00"/>
    <w:family w:val="script"/>
    <w:pitch w:val="default"/>
    <w:sig w:usb0="00000000" w:usb1="00000000" w:usb2="00000000" w:usb3="00000000" w:csb0="0000009F" w:csb1="00000000"/>
  </w:font>
  <w:font w:name="仿宋_GB2312">
    <w:panose1 w:val="02010609030101010101"/>
    <w:charset w:val="86"/>
    <w:family w:val="modern"/>
    <w:pitch w:val="default"/>
    <w:sig w:usb0="00000001" w:usb1="080E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Comic Sans MS">
    <w:panose1 w:val="030F0702030302020204"/>
    <w:charset w:val="00"/>
    <w:family w:val="auto"/>
    <w:pitch w:val="default"/>
    <w:sig w:usb0="00000287" w:usb1="00000013"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p>
    <w:pPr>
      <w:pStyle w:val="212"/>
      <w:ind w:right="360" w:firstLine="360"/>
      <w:rPr>
        <w:rStyle w:val="4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Style w:val="47"/>
      </w:rPr>
    </w:pPr>
    <w:r>
      <w:fldChar w:fldCharType="begin"/>
    </w:r>
    <w:r>
      <w:instrText xml:space="preserve"> PAGE   \* MERGEFORMAT </w:instrText>
    </w:r>
    <w:r>
      <w:fldChar w:fldCharType="separate"/>
    </w:r>
    <w:r>
      <w:rPr>
        <w:lang w:val="zh-CN"/>
      </w:rPr>
      <w:t>29</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049701"/>
    <w:multiLevelType w:val="multilevel"/>
    <w:tmpl w:val="9A049701"/>
    <w:lvl w:ilvl="0" w:tentative="0">
      <w:start w:val="1"/>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FFFFFF82"/>
    <w:multiLevelType w:val="singleLevel"/>
    <w:tmpl w:val="FFFFFF82"/>
    <w:lvl w:ilvl="0" w:tentative="0">
      <w:start w:val="1"/>
      <w:numFmt w:val="bullet"/>
      <w:pStyle w:val="17"/>
      <w:lvlText w:val=""/>
      <w:lvlJc w:val="left"/>
      <w:pPr>
        <w:tabs>
          <w:tab w:val="left" w:pos="1200"/>
        </w:tabs>
        <w:ind w:left="1200" w:hanging="360"/>
      </w:pPr>
      <w:rPr>
        <w:rFonts w:hint="default" w:ascii="Wingdings" w:hAnsi="Wingdings"/>
      </w:rPr>
    </w:lvl>
  </w:abstractNum>
  <w:abstractNum w:abstractNumId="2">
    <w:nsid w:val="012800B8"/>
    <w:multiLevelType w:val="multilevel"/>
    <w:tmpl w:val="012800B8"/>
    <w:lvl w:ilvl="0" w:tentative="0">
      <w:start w:val="1"/>
      <w:numFmt w:val="none"/>
      <w:pStyle w:val="168"/>
      <w:lvlText w:val="图"/>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196"/>
      <w:suff w:val="nothing"/>
      <w:lvlText w:val="%1%2.%3　"/>
      <w:lvlJc w:val="left"/>
      <w:pPr>
        <w:ind w:left="0" w:firstLine="0"/>
      </w:pPr>
      <w:rPr>
        <w:rFonts w:hint="eastAsia" w:ascii="黑体" w:hAnsi="Times New Roman" w:eastAsia="黑体"/>
        <w:b/>
        <w:i w:val="0"/>
        <w:sz w:val="21"/>
      </w:rPr>
    </w:lvl>
    <w:lvl w:ilvl="3" w:tentative="0">
      <w:start w:val="1"/>
      <w:numFmt w:val="decimal"/>
      <w:pStyle w:val="148"/>
      <w:suff w:val="nothing"/>
      <w:lvlText w:val="%1%2.%3.%4　"/>
      <w:lvlJc w:val="left"/>
      <w:pPr>
        <w:ind w:left="0" w:firstLine="0"/>
      </w:pPr>
      <w:rPr>
        <w:rFonts w:hint="eastAsia" w:ascii="黑体" w:hAnsi="Times New Roman" w:eastAsia="黑体"/>
        <w:b/>
        <w:i w:val="0"/>
        <w:sz w:val="21"/>
      </w:rPr>
    </w:lvl>
    <w:lvl w:ilvl="4" w:tentative="0">
      <w:start w:val="1"/>
      <w:numFmt w:val="decimal"/>
      <w:suff w:val="nothing"/>
      <w:lvlText w:val="%1%2.%3.%4.%5　"/>
      <w:lvlJc w:val="left"/>
      <w:pPr>
        <w:ind w:left="0" w:firstLine="0"/>
      </w:pPr>
      <w:rPr>
        <w:rFonts w:hint="eastAsia" w:ascii="黑体" w:hAnsi="Times New Roman" w:eastAsia="黑体"/>
        <w:b/>
        <w:i w:val="0"/>
        <w:sz w:val="21"/>
      </w:rPr>
    </w:lvl>
    <w:lvl w:ilvl="5" w:tentative="0">
      <w:start w:val="1"/>
      <w:numFmt w:val="decimal"/>
      <w:pStyle w:val="150"/>
      <w:suff w:val="nothing"/>
      <w:lvlText w:val="%1%2.%3.%4.%5.%6　"/>
      <w:lvlJc w:val="left"/>
      <w:pPr>
        <w:ind w:left="0" w:firstLine="0"/>
      </w:pPr>
      <w:rPr>
        <w:rFonts w:hint="eastAsia" w:ascii="黑体" w:hAnsi="Times New Roman" w:eastAsia="黑体"/>
        <w:b/>
        <w:i w:val="0"/>
        <w:sz w:val="21"/>
      </w:rPr>
    </w:lvl>
    <w:lvl w:ilvl="6" w:tentative="0">
      <w:start w:val="1"/>
      <w:numFmt w:val="decimal"/>
      <w:pStyle w:val="176"/>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087406A2"/>
    <w:multiLevelType w:val="multilevel"/>
    <w:tmpl w:val="087406A2"/>
    <w:lvl w:ilvl="0" w:tentative="0">
      <w:start w:val="1"/>
      <w:numFmt w:val="none"/>
      <w:pStyle w:val="130"/>
      <w:lvlText w:val="%1示例"/>
      <w:lvlJc w:val="left"/>
      <w:pPr>
        <w:tabs>
          <w:tab w:val="left" w:pos="1140"/>
        </w:tabs>
        <w:ind w:left="2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9227E31"/>
    <w:multiLevelType w:val="multilevel"/>
    <w:tmpl w:val="09227E31"/>
    <w:lvl w:ilvl="0" w:tentative="0">
      <w:start w:val="1"/>
      <w:numFmt w:val="none"/>
      <w:suff w:val="nothing"/>
      <w:lvlText w:val=""/>
      <w:lvlJc w:val="left"/>
      <w:pPr>
        <w:ind w:left="0" w:firstLine="0"/>
      </w:pPr>
      <w:rPr>
        <w:rFonts w:hint="eastAsia" w:ascii="黑体" w:hAnsi="Times New Roman" w:eastAsia="黑体"/>
        <w:b/>
        <w:i w:val="0"/>
        <w:sz w:val="21"/>
      </w:rPr>
    </w:lvl>
    <w:lvl w:ilvl="1" w:tentative="0">
      <w:start w:val="1"/>
      <w:numFmt w:val="decimal"/>
      <w:lvlText w:val="表%2"/>
      <w:lvlJc w:val="left"/>
      <w:pPr>
        <w:tabs>
          <w:tab w:val="left" w:pos="360"/>
        </w:tabs>
        <w:ind w:left="0" w:firstLine="0"/>
      </w:pPr>
      <w:rPr>
        <w:rFonts w:hint="eastAsia" w:ascii="黑体" w:hAnsi="Times New Roman" w:eastAsia="黑体"/>
        <w:b/>
        <w:i w:val="0"/>
        <w:sz w:val="20"/>
      </w:rPr>
    </w:lvl>
    <w:lvl w:ilvl="2" w:tentative="0">
      <w:start w:val="1"/>
      <w:numFmt w:val="none"/>
      <w:pStyle w:val="175"/>
      <w:suff w:val="nothing"/>
      <w:lvlText w:val="%1表%2(续)"/>
      <w:lvlJc w:val="left"/>
      <w:pPr>
        <w:ind w:left="0" w:firstLine="0"/>
      </w:pPr>
      <w:rPr>
        <w:rFonts w:hint="eastAsia" w:ascii="宋体" w:hAnsi="Times New Roman" w:eastAsia="宋体"/>
        <w:b w:val="0"/>
        <w:i w:val="0"/>
        <w:sz w:val="18"/>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3969"/>
        </w:tabs>
        <w:ind w:left="3969" w:hanging="1418"/>
      </w:pPr>
      <w:rPr>
        <w:rFonts w:hint="eastAsia"/>
      </w:rPr>
    </w:lvl>
    <w:lvl w:ilvl="8" w:tentative="0">
      <w:start w:val="1"/>
      <w:numFmt w:val="decimal"/>
      <w:lvlText w:val="%1.%2.%3.%4.%5.%6.%7.%8.%9"/>
      <w:lvlJc w:val="left"/>
      <w:pPr>
        <w:tabs>
          <w:tab w:val="left" w:pos="4677"/>
        </w:tabs>
        <w:ind w:left="4677" w:hanging="1700"/>
      </w:pPr>
      <w:rPr>
        <w:rFonts w:hint="eastAsia"/>
      </w:rPr>
    </w:lvl>
  </w:abstractNum>
  <w:abstractNum w:abstractNumId="6">
    <w:nsid w:val="0AE367E9"/>
    <w:multiLevelType w:val="multilevel"/>
    <w:tmpl w:val="0AE367E9"/>
    <w:lvl w:ilvl="0" w:tentative="0">
      <w:start w:val="1"/>
      <w:numFmt w:val="none"/>
      <w:pStyle w:val="181"/>
      <w:lvlText w:val="%1式中："/>
      <w:lvlJc w:val="left"/>
      <w:pPr>
        <w:tabs>
          <w:tab w:val="left" w:pos="918"/>
        </w:tabs>
        <w:ind w:left="0" w:firstLine="198"/>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BF44C9C"/>
    <w:multiLevelType w:val="multilevel"/>
    <w:tmpl w:val="0BF44C9C"/>
    <w:lvl w:ilvl="0" w:tentative="0">
      <w:start w:val="1"/>
      <w:numFmt w:val="bullet"/>
      <w:pStyle w:val="13"/>
      <w:lvlText w:val=""/>
      <w:lvlJc w:val="left"/>
      <w:pPr>
        <w:tabs>
          <w:tab w:val="left" w:pos="1319"/>
        </w:tabs>
        <w:ind w:left="1319" w:hanging="419"/>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8">
    <w:nsid w:val="10886191"/>
    <w:multiLevelType w:val="multilevel"/>
    <w:tmpl w:val="10886191"/>
    <w:lvl w:ilvl="0" w:tentative="0">
      <w:start w:val="1"/>
      <w:numFmt w:val="decimal"/>
      <w:lvlText w:val="%1."/>
      <w:lvlJc w:val="left"/>
      <w:pPr>
        <w:ind w:left="425" w:hanging="425"/>
      </w:p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1.%2.%3."/>
      <w:lvlJc w:val="left"/>
      <w:pPr>
        <w:ind w:left="709" w:hanging="709"/>
      </w:pPr>
      <w:rPr>
        <w:rFonts w:hint="default" w:ascii="Times New Roman" w:hAnsi="Times New Roman" w:cs="Times New Roman"/>
        <w:b/>
      </w:rPr>
    </w:lvl>
    <w:lvl w:ilvl="3" w:tentative="0">
      <w:start w:val="1"/>
      <w:numFmt w:val="decimal"/>
      <w:lvlText w:val="%1.%2.%3.%4."/>
      <w:lvlJc w:val="left"/>
      <w:pPr>
        <w:ind w:left="851" w:hanging="851"/>
      </w:pPr>
      <w:rPr>
        <w:rFonts w:hint="default" w:ascii="Times New Roman" w:hAnsi="Times New Roman" w:cs="Times New Roman"/>
      </w:r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9">
    <w:nsid w:val="1B136F61"/>
    <w:multiLevelType w:val="multilevel"/>
    <w:tmpl w:val="1B136F61"/>
    <w:lvl w:ilvl="0" w:tentative="0">
      <w:start w:val="1"/>
      <w:numFmt w:val="none"/>
      <w:pStyle w:val="198"/>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B802614"/>
    <w:multiLevelType w:val="multilevel"/>
    <w:tmpl w:val="1B802614"/>
    <w:lvl w:ilvl="0" w:tentative="0">
      <w:start w:val="1"/>
      <w:numFmt w:val="decimal"/>
      <w:pStyle w:val="179"/>
      <w:lvlText w:val="%1  "/>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264A17CC"/>
    <w:multiLevelType w:val="multilevel"/>
    <w:tmpl w:val="264A17CC"/>
    <w:lvl w:ilvl="0" w:tentative="0">
      <w:start w:val="1"/>
      <w:numFmt w:val="none"/>
      <w:pStyle w:val="205"/>
      <w:lvlText w:val="表"/>
      <w:lvlJc w:val="left"/>
      <w:pPr>
        <w:tabs>
          <w:tab w:val="left" w:pos="360"/>
        </w:tabs>
        <w:ind w:left="0" w:firstLine="0"/>
      </w:pPr>
      <w:rPr>
        <w:rFonts w:hint="eastAsia" w:ascii="宋体" w:eastAsia="宋体"/>
        <w:b w:val="0"/>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D5F41C6"/>
    <w:multiLevelType w:val="multilevel"/>
    <w:tmpl w:val="2D5F41C6"/>
    <w:lvl w:ilvl="0" w:tentative="0">
      <w:start w:val="4"/>
      <w:numFmt w:val="decimal"/>
      <w:pStyle w:val="137"/>
      <w:lvlText w:val="%1"/>
      <w:lvlJc w:val="left"/>
      <w:pPr>
        <w:tabs>
          <w:tab w:val="left" w:pos="425"/>
        </w:tabs>
        <w:ind w:left="425" w:hanging="425"/>
      </w:pPr>
      <w:rPr>
        <w:rFonts w:hint="eastAsia"/>
      </w:rPr>
    </w:lvl>
    <w:lvl w:ilvl="1" w:tentative="0">
      <w:start w:val="1"/>
      <w:numFmt w:val="decimal"/>
      <w:lvlText w:val=".%2%1"/>
      <w:lvlJc w:val="left"/>
      <w:pPr>
        <w:tabs>
          <w:tab w:val="left" w:pos="992"/>
        </w:tabs>
        <w:ind w:left="992" w:hanging="567"/>
      </w:pPr>
      <w:rPr>
        <w:rFonts w:hint="eastAsia"/>
      </w:rPr>
    </w:lvl>
    <w:lvl w:ilvl="2" w:tentative="0">
      <w:start w:val="1"/>
      <w:numFmt w:val="decimal"/>
      <w:lvlRestart w:val="0"/>
      <w:lvlText w:val="%1.%2.%3"/>
      <w:lvlJc w:val="left"/>
      <w:pPr>
        <w:tabs>
          <w:tab w:val="left" w:pos="567"/>
        </w:tabs>
        <w:ind w:left="0" w:firstLine="0"/>
      </w:pPr>
      <w:rPr>
        <w:rFonts w:hint="eastAsia"/>
      </w:rPr>
    </w:lvl>
    <w:lvl w:ilvl="3" w:tentative="0">
      <w:start w:val="1"/>
      <w:numFmt w:val="decimal"/>
      <w:lvlText w:val="%3%1.%2..%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3">
    <w:nsid w:val="32215617"/>
    <w:multiLevelType w:val="multilevel"/>
    <w:tmpl w:val="32215617"/>
    <w:lvl w:ilvl="0" w:tentative="0">
      <w:start w:val="1"/>
      <w:numFmt w:val="decimal"/>
      <w:lvlText w:val="0.%1"/>
      <w:lvlJc w:val="left"/>
      <w:pPr>
        <w:tabs>
          <w:tab w:val="left" w:pos="360"/>
        </w:tabs>
        <w:ind w:left="0" w:firstLine="0"/>
      </w:pPr>
      <w:rPr>
        <w:rFonts w:hint="eastAsia" w:ascii="黑体" w:hAnsi="Times New Roman" w:eastAsia="黑体"/>
        <w:b/>
        <w:i w:val="0"/>
        <w:sz w:val="21"/>
      </w:rPr>
    </w:lvl>
    <w:lvl w:ilvl="1" w:tentative="0">
      <w:start w:val="1"/>
      <w:numFmt w:val="decimal"/>
      <w:pStyle w:val="189"/>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w:lvlJc w:val="left"/>
      <w:pPr>
        <w:tabs>
          <w:tab w:val="left" w:pos="720"/>
        </w:tabs>
        <w:ind w:left="0" w:firstLine="0"/>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4">
    <w:nsid w:val="407E65F9"/>
    <w:multiLevelType w:val="multilevel"/>
    <w:tmpl w:val="407E65F9"/>
    <w:lvl w:ilvl="0" w:tentative="0">
      <w:start w:val="1"/>
      <w:numFmt w:val="none"/>
      <w:pStyle w:val="16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5">
    <w:nsid w:val="41A64E98"/>
    <w:multiLevelType w:val="multilevel"/>
    <w:tmpl w:val="41A64E98"/>
    <w:lvl w:ilvl="0" w:tentative="0">
      <w:start w:val="1"/>
      <w:numFmt w:val="decimal"/>
      <w:pStyle w:val="207"/>
      <w:lvlText w:val="0.%1"/>
      <w:lvlJc w:val="left"/>
      <w:pPr>
        <w:tabs>
          <w:tab w:val="left" w:pos="360"/>
        </w:tabs>
        <w:ind w:left="0" w:firstLine="0"/>
      </w:pPr>
      <w:rPr>
        <w:rFonts w:hint="eastAsia" w:ascii="宋体" w:hAnsi="Times New Roman" w:eastAsia="宋体"/>
        <w:b/>
        <w:i w:val="0"/>
        <w:sz w:val="21"/>
      </w:rPr>
    </w:lvl>
    <w:lvl w:ilvl="1" w:tentative="0">
      <w:start w:val="1"/>
      <w:numFmt w:val="decimal"/>
      <w:pStyle w:val="208"/>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
      <w:lvlJc w:val="left"/>
      <w:pPr>
        <w:tabs>
          <w:tab w:val="left" w:pos="-31680"/>
        </w:tabs>
        <w:ind w:left="-32767" w:firstLine="0"/>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6">
    <w:nsid w:val="478338B5"/>
    <w:multiLevelType w:val="multilevel"/>
    <w:tmpl w:val="478338B5"/>
    <w:lvl w:ilvl="0" w:tentative="0">
      <w:start w:val="1"/>
      <w:numFmt w:val="none"/>
      <w:suff w:val="nothing"/>
      <w:lvlText w:val=""/>
      <w:lvlJc w:val="left"/>
      <w:pPr>
        <w:ind w:left="420" w:firstLine="0"/>
      </w:pPr>
      <w:rPr>
        <w:rFonts w:hint="eastAsia" w:ascii="黑体" w:hAnsi="Times New Roman" w:eastAsia="黑体"/>
        <w:b/>
        <w:i w:val="0"/>
        <w:sz w:val="28"/>
      </w:rPr>
    </w:lvl>
    <w:lvl w:ilvl="1" w:tentative="0">
      <w:start w:val="1"/>
      <w:numFmt w:val="lowerLetter"/>
      <w:pStyle w:val="221"/>
      <w:suff w:val="nothing"/>
      <w:lvlText w:val="%1%2)  "/>
      <w:lvlJc w:val="left"/>
      <w:pPr>
        <w:ind w:left="420" w:hanging="420"/>
      </w:pPr>
      <w:rPr>
        <w:rFonts w:hint="eastAsia" w:ascii="黑体" w:hAnsi="Times New Roman" w:eastAsia="黑体"/>
        <w:b/>
        <w:i w:val="0"/>
        <w:sz w:val="21"/>
      </w:rPr>
    </w:lvl>
    <w:lvl w:ilvl="2" w:tentative="0">
      <w:start w:val="1"/>
      <w:numFmt w:val="decimal"/>
      <w:pStyle w:val="121"/>
      <w:suff w:val="nothing"/>
      <w:lvlText w:val="    %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420" w:firstLine="0"/>
      </w:pPr>
      <w:rPr>
        <w:rFonts w:hint="eastAsia" w:ascii="黑体" w:hAnsi="Times New Roman" w:eastAsia="黑体"/>
        <w:b/>
        <w:i w:val="0"/>
        <w:sz w:val="21"/>
      </w:rPr>
    </w:lvl>
    <w:lvl w:ilvl="4" w:tentative="0">
      <w:start w:val="1"/>
      <w:numFmt w:val="decimal"/>
      <w:lvlRestart w:val="2"/>
      <w:suff w:val="nothing"/>
      <w:lvlText w:val="%2.0.%5  "/>
      <w:lvlJc w:val="left"/>
      <w:pPr>
        <w:ind w:left="420" w:firstLine="0"/>
      </w:pPr>
      <w:rPr>
        <w:rFonts w:hint="eastAsia" w:ascii="黑体" w:hAnsi="Times New Roman" w:eastAsia="黑体"/>
        <w:b/>
        <w:i w:val="0"/>
        <w:sz w:val="21"/>
      </w:rPr>
    </w:lvl>
    <w:lvl w:ilvl="5" w:tentative="0">
      <w:start w:val="1"/>
      <w:numFmt w:val="decimal"/>
      <w:suff w:val="nothing"/>
      <w:lvlText w:val="      %6)  "/>
      <w:lvlJc w:val="left"/>
      <w:pPr>
        <w:ind w:left="1441" w:hanging="1021"/>
      </w:pPr>
      <w:rPr>
        <w:rFonts w:hint="eastAsia" w:ascii="黑体" w:hAnsi="Times New Roman" w:eastAsia="黑体"/>
        <w:b/>
        <w:i w:val="0"/>
        <w:sz w:val="21"/>
      </w:rPr>
    </w:lvl>
    <w:lvl w:ilvl="6" w:tentative="0">
      <w:start w:val="1"/>
      <w:numFmt w:val="decimal"/>
      <w:lvlRestart w:val="4"/>
      <w:suff w:val="nothing"/>
      <w:lvlText w:val="表 %2.%3.%4-%7  "/>
      <w:lvlJc w:val="left"/>
      <w:pPr>
        <w:ind w:left="420" w:firstLine="0"/>
      </w:pPr>
      <w:rPr>
        <w:rFonts w:hint="eastAsia" w:ascii="黑体" w:hAnsi="Times New Roman" w:eastAsia="黑体"/>
        <w:b/>
        <w:i w:val="0"/>
        <w:sz w:val="21"/>
      </w:rPr>
    </w:lvl>
    <w:lvl w:ilvl="7" w:tentative="0">
      <w:start w:val="1"/>
      <w:numFmt w:val="decimal"/>
      <w:lvlRestart w:val="4"/>
      <w:suff w:val="nothing"/>
      <w:lvlText w:val="图 %2.%3.%4-%8  "/>
      <w:lvlJc w:val="left"/>
      <w:pPr>
        <w:ind w:left="420" w:firstLine="0"/>
      </w:pPr>
      <w:rPr>
        <w:rFonts w:hint="eastAsia" w:ascii="黑体" w:eastAsia="黑体"/>
        <w:b/>
        <w:i w:val="0"/>
        <w:sz w:val="21"/>
      </w:rPr>
    </w:lvl>
    <w:lvl w:ilvl="8" w:tentative="0">
      <w:start w:val="1"/>
      <w:numFmt w:val="decimal"/>
      <w:lvlRestart w:val="5"/>
      <w:suff w:val="nothing"/>
      <w:lvlText w:val="    %9  "/>
      <w:lvlJc w:val="left"/>
      <w:pPr>
        <w:ind w:left="420" w:firstLine="0"/>
      </w:pPr>
      <w:rPr>
        <w:rFonts w:hint="eastAsia" w:ascii="黑体" w:hAnsi="华文细黑" w:eastAsia="黑体"/>
        <w:b/>
        <w:i w:val="0"/>
        <w:sz w:val="21"/>
      </w:rPr>
    </w:lvl>
  </w:abstractNum>
  <w:abstractNum w:abstractNumId="17">
    <w:nsid w:val="496E4D7B"/>
    <w:multiLevelType w:val="multilevel"/>
    <w:tmpl w:val="496E4D7B"/>
    <w:lvl w:ilvl="0" w:tentative="0">
      <w:start w:val="1"/>
      <w:numFmt w:val="none"/>
      <w:pStyle w:val="149"/>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55E02EF4"/>
    <w:multiLevelType w:val="multilevel"/>
    <w:tmpl w:val="55E02EF4"/>
    <w:lvl w:ilvl="0" w:tentative="0">
      <w:start w:val="1"/>
      <w:numFmt w:val="decimal"/>
      <w:pStyle w:val="105"/>
      <w:lvlText w:val="图%1"/>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68E260EC"/>
    <w:multiLevelType w:val="multilevel"/>
    <w:tmpl w:val="68E260EC"/>
    <w:lvl w:ilvl="0" w:tentative="0">
      <w:start w:val="1"/>
      <w:numFmt w:val="decimal"/>
      <w:pStyle w:val="106"/>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CEA2025"/>
    <w:multiLevelType w:val="multilevel"/>
    <w:tmpl w:val="6CEA2025"/>
    <w:lvl w:ilvl="0" w:tentative="0">
      <w:start w:val="1"/>
      <w:numFmt w:val="decimal"/>
      <w:pStyle w:val="109"/>
      <w:lvlText w:val="3.%1"/>
      <w:lvlJc w:val="left"/>
      <w:pPr>
        <w:tabs>
          <w:tab w:val="left" w:pos="357"/>
        </w:tabs>
        <w:ind w:left="0" w:firstLine="0"/>
      </w:pPr>
      <w:rPr>
        <w:rFonts w:hint="eastAsia" w:ascii="黑体" w:eastAsia="黑体"/>
        <w:b/>
        <w:i w:val="0"/>
        <w:sz w:val="21"/>
        <w:szCs w:val="21"/>
      </w:rPr>
    </w:lvl>
    <w:lvl w:ilvl="1" w:tentative="0">
      <w:start w:val="1"/>
      <w:numFmt w:val="decimal"/>
      <w:pStyle w:val="155"/>
      <w:lvlText w:val="3.%1.%2"/>
      <w:lvlJc w:val="left"/>
      <w:pPr>
        <w:tabs>
          <w:tab w:val="left" w:pos="720"/>
        </w:tabs>
        <w:ind w:left="0" w:firstLine="0"/>
      </w:pPr>
      <w:rPr>
        <w:rFonts w:hint="eastAsia" w:ascii="黑体" w:eastAsia="黑体"/>
        <w:b/>
        <w:i w:val="0"/>
        <w:sz w:val="20"/>
      </w:rPr>
    </w:lvl>
    <w:lvl w:ilvl="2" w:tentative="0">
      <w:start w:val="1"/>
      <w:numFmt w:val="decimal"/>
      <w:pStyle w:val="185"/>
      <w:lvlText w:val="3.%1.%2.%3"/>
      <w:lvlJc w:val="left"/>
      <w:pPr>
        <w:tabs>
          <w:tab w:val="left" w:pos="720"/>
        </w:tabs>
        <w:ind w:left="0" w:firstLine="0"/>
      </w:pPr>
      <w:rPr>
        <w:rFonts w:hint="eastAsia" w:ascii="黑体" w:eastAsia="黑体"/>
        <w:b/>
        <w:i w:val="0"/>
        <w:sz w:val="20"/>
      </w:rPr>
    </w:lvl>
    <w:lvl w:ilvl="3" w:tentative="0">
      <w:start w:val="1"/>
      <w:numFmt w:val="decimal"/>
      <w:pStyle w:val="123"/>
      <w:lvlText w:val="3.%1.%2.%3.%4"/>
      <w:lvlJc w:val="left"/>
      <w:pPr>
        <w:tabs>
          <w:tab w:val="left" w:pos="1077"/>
        </w:tabs>
        <w:ind w:left="0" w:firstLine="0"/>
      </w:pPr>
      <w:rPr>
        <w:rFonts w:hint="eastAsia" w:ascii="黑体" w:eastAsia="黑体"/>
        <w:b/>
        <w:i w:val="0"/>
        <w:sz w:val="20"/>
      </w:rPr>
    </w:lvl>
    <w:lvl w:ilvl="4" w:tentative="0">
      <w:start w:val="1"/>
      <w:numFmt w:val="decimal"/>
      <w:pStyle w:val="138"/>
      <w:lvlText w:val="3.%1.%2.%3.%4.%5"/>
      <w:lvlJc w:val="left"/>
      <w:pPr>
        <w:tabs>
          <w:tab w:val="left" w:pos="1440"/>
        </w:tabs>
        <w:ind w:left="0" w:firstLine="0"/>
      </w:pPr>
      <w:rPr>
        <w:rFonts w:hint="eastAsia" w:ascii="黑体" w:eastAsia="黑体"/>
        <w:b/>
        <w:i w:val="0"/>
        <w:sz w:val="20"/>
      </w:rPr>
    </w:lvl>
    <w:lvl w:ilvl="5" w:tentative="0">
      <w:start w:val="1"/>
      <w:numFmt w:val="decimal"/>
      <w:lvlText w:val="%1.%2.%3.%4.%5.%6"/>
      <w:lvlJc w:val="left"/>
      <w:pPr>
        <w:tabs>
          <w:tab w:val="left" w:pos="5366"/>
        </w:tabs>
        <w:ind w:left="3260" w:hanging="1134"/>
      </w:pPr>
      <w:rPr>
        <w:rFonts w:hint="eastAsia"/>
        <w:b/>
        <w:i w:val="0"/>
        <w:sz w:val="21"/>
      </w:rPr>
    </w:lvl>
    <w:lvl w:ilvl="6" w:tentative="0">
      <w:start w:val="1"/>
      <w:numFmt w:val="decimal"/>
      <w:lvlText w:val="%1.%2.%3.%4.%5.%6.%7"/>
      <w:lvlJc w:val="left"/>
      <w:pPr>
        <w:tabs>
          <w:tab w:val="left" w:pos="6151"/>
        </w:tabs>
        <w:ind w:left="3827" w:hanging="1276"/>
      </w:pPr>
      <w:rPr>
        <w:rFonts w:hint="eastAsia"/>
        <w:b/>
        <w:i w:val="0"/>
        <w:sz w:val="21"/>
      </w:rPr>
    </w:lvl>
    <w:lvl w:ilvl="7" w:tentative="0">
      <w:start w:val="1"/>
      <w:numFmt w:val="decimal"/>
      <w:lvlText w:val="%1.%2.%3.%4.%5.%6.%7.%8"/>
      <w:lvlJc w:val="left"/>
      <w:pPr>
        <w:tabs>
          <w:tab w:val="left" w:pos="7296"/>
        </w:tabs>
        <w:ind w:left="4394" w:hanging="1418"/>
      </w:pPr>
      <w:rPr>
        <w:rFonts w:hint="eastAsia"/>
        <w:b/>
        <w:i w:val="0"/>
        <w:sz w:val="21"/>
      </w:rPr>
    </w:lvl>
    <w:lvl w:ilvl="8" w:tentative="0">
      <w:start w:val="1"/>
      <w:numFmt w:val="decimal"/>
      <w:lvlText w:val="%1.%2.%3.%4.%5.%6.%7.%8.%9"/>
      <w:lvlJc w:val="left"/>
      <w:pPr>
        <w:tabs>
          <w:tab w:val="left" w:pos="8082"/>
        </w:tabs>
        <w:ind w:left="5102" w:hanging="1700"/>
      </w:pPr>
      <w:rPr>
        <w:rFonts w:hint="eastAsia"/>
        <w:b/>
        <w:i w:val="0"/>
        <w:sz w:val="21"/>
      </w:rPr>
    </w:lvl>
  </w:abstractNum>
  <w:abstractNum w:abstractNumId="21">
    <w:nsid w:val="6DBF04F4"/>
    <w:multiLevelType w:val="multilevel"/>
    <w:tmpl w:val="6DBF04F4"/>
    <w:lvl w:ilvl="0" w:tentative="0">
      <w:start w:val="1"/>
      <w:numFmt w:val="none"/>
      <w:pStyle w:val="192"/>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Restart w:val="0"/>
      <w:lvlText w:val="%2)"/>
      <w:lvlJc w:val="left"/>
      <w:pPr>
        <w:tabs>
          <w:tab w:val="left" w:pos="839"/>
        </w:tabs>
        <w:ind w:left="839" w:hanging="419"/>
      </w:pPr>
      <w:rPr>
        <w:rFonts w:hint="eastAsia"/>
        <w:b w:val="0"/>
        <w:i w:val="0"/>
        <w:sz w:val="18"/>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763A6836"/>
    <w:multiLevelType w:val="multilevel"/>
    <w:tmpl w:val="763A6836"/>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suff w:val="nothing"/>
      <w:lvlText w:val="%1%2 "/>
      <w:lvlJc w:val="left"/>
      <w:pPr>
        <w:ind w:left="0" w:firstLine="0"/>
      </w:pPr>
      <w:rPr>
        <w:rFonts w:hint="eastAsia" w:ascii="黑体" w:hAnsi="Times New Roman" w:eastAsia="黑体"/>
        <w:b/>
        <w:i w:val="0"/>
        <w:sz w:val="28"/>
      </w:rPr>
    </w:lvl>
    <w:lvl w:ilvl="2" w:tentative="0">
      <w:start w:val="1"/>
      <w:numFmt w:val="decimal"/>
      <w:suff w:val="nothing"/>
      <w:lvlText w:val="%1%2.%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0" w:firstLine="0"/>
      </w:pPr>
      <w:rPr>
        <w:rFonts w:hint="eastAsia" w:ascii="黑体" w:hAnsi="Times New Roman" w:eastAsia="黑体"/>
        <w:b/>
        <w:i w:val="0"/>
        <w:sz w:val="21"/>
      </w:rPr>
    </w:lvl>
    <w:lvl w:ilvl="4" w:tentative="0">
      <w:start w:val="1"/>
      <w:numFmt w:val="decimal"/>
      <w:suff w:val="nothing"/>
      <w:lvlText w:val="表%1%2.%3.%4-%5 "/>
      <w:lvlJc w:val="left"/>
      <w:pPr>
        <w:ind w:left="0" w:firstLine="0"/>
      </w:pPr>
      <w:rPr>
        <w:rFonts w:hint="eastAsia" w:ascii="黑体" w:hAnsi="Times New Roman" w:eastAsia="黑体"/>
        <w:b/>
        <w:i w:val="0"/>
        <w:sz w:val="21"/>
      </w:rPr>
    </w:lvl>
    <w:lvl w:ilvl="5" w:tentative="0">
      <w:start w:val="1"/>
      <w:numFmt w:val="decimal"/>
      <w:lvlRestart w:val="4"/>
      <w:suff w:val="nothing"/>
      <w:lvlText w:val="%1图%2.%3.%4-%6 "/>
      <w:lvlJc w:val="left"/>
      <w:pPr>
        <w:ind w:left="0" w:firstLine="0"/>
      </w:pPr>
      <w:rPr>
        <w:rFonts w:hint="eastAsia" w:ascii="黑体" w:hAnsi="Times New Roman" w:eastAsia="黑体"/>
        <w:b/>
        <w:i w:val="0"/>
        <w:sz w:val="21"/>
      </w:rPr>
    </w:lvl>
    <w:lvl w:ilvl="6" w:tentative="0">
      <w:start w:val="1"/>
      <w:numFmt w:val="decimal"/>
      <w:lvlRestart w:val="4"/>
      <w:suff w:val="nothing"/>
      <w:lvlText w:val="(%2.%3.%4-%7)"/>
      <w:lvlJc w:val="center"/>
      <w:pPr>
        <w:ind w:left="288" w:firstLine="288"/>
      </w:pPr>
      <w:rPr>
        <w:rFonts w:hint="eastAsia" w:ascii="黑体" w:hAnsi="Times New Roman" w:eastAsia="黑体"/>
        <w:b/>
        <w:i w:val="0"/>
        <w:sz w:val="21"/>
      </w:rPr>
    </w:lvl>
    <w:lvl w:ilvl="7" w:tentative="0">
      <w:start w:val="1"/>
      <w:numFmt w:val="decimal"/>
      <w:lvlRestart w:val="2"/>
      <w:lvlText w:val="    %1%8"/>
      <w:lvlJc w:val="left"/>
      <w:pPr>
        <w:tabs>
          <w:tab w:val="left" w:pos="720"/>
        </w:tabs>
        <w:ind w:left="0" w:firstLine="0"/>
      </w:pPr>
      <w:rPr>
        <w:rFonts w:hint="eastAsia" w:ascii="黑体" w:eastAsia="黑体"/>
        <w:b/>
        <w:i w:val="0"/>
        <w:sz w:val="21"/>
      </w:rPr>
    </w:lvl>
    <w:lvl w:ilvl="8" w:tentative="0">
      <w:start w:val="1"/>
      <w:numFmt w:val="decimal"/>
      <w:lvlRestart w:val="2"/>
      <w:pStyle w:val="125"/>
      <w:lvlText w:val="%2.0.%9"/>
      <w:lvlJc w:val="left"/>
      <w:pPr>
        <w:tabs>
          <w:tab w:val="left" w:pos="720"/>
        </w:tabs>
        <w:ind w:left="0" w:firstLine="0"/>
      </w:pPr>
      <w:rPr>
        <w:rFonts w:hint="eastAsia" w:ascii="黑体" w:hAnsi="华文细黑" w:eastAsia="黑体"/>
        <w:b/>
        <w:i w:val="0"/>
        <w:sz w:val="21"/>
      </w:rPr>
    </w:lvl>
  </w:abstractNum>
  <w:abstractNum w:abstractNumId="23">
    <w:nsid w:val="76933334"/>
    <w:multiLevelType w:val="multilevel"/>
    <w:tmpl w:val="76933334"/>
    <w:lvl w:ilvl="0" w:tentative="0">
      <w:start w:val="1"/>
      <w:numFmt w:val="none"/>
      <w:pStyle w:val="188"/>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79767E59"/>
    <w:multiLevelType w:val="multilevel"/>
    <w:tmpl w:val="79767E59"/>
    <w:lvl w:ilvl="0" w:tentative="0">
      <w:start w:val="1"/>
      <w:numFmt w:val="decimal"/>
      <w:pStyle w:val="76"/>
      <w:suff w:val="nothing"/>
      <w:lvlText w:val="%1　"/>
      <w:lvlJc w:val="left"/>
      <w:pPr>
        <w:ind w:left="0" w:firstLine="0"/>
      </w:pPr>
      <w:rPr>
        <w:rFonts w:hint="default" w:ascii="Times New Roman" w:hAnsi="Times New Roman" w:eastAsia="黑体"/>
        <w:b w:val="0"/>
      </w:rPr>
    </w:lvl>
    <w:lvl w:ilvl="1" w:tentative="0">
      <w:start w:val="1"/>
      <w:numFmt w:val="decimal"/>
      <w:pStyle w:val="209"/>
      <w:suff w:val="nothing"/>
      <w:lvlText w:val="%1.%2　"/>
      <w:lvlJc w:val="left"/>
      <w:pPr>
        <w:ind w:left="709" w:hanging="567"/>
      </w:pPr>
      <w:rPr>
        <w:rFonts w:hint="default" w:ascii="Times New Roman" w:hAnsi="Times New Roman" w:eastAsia="黑体" w:cs="Arial"/>
        <w:b w:val="0"/>
        <w:lang w:eastAsia="zh-CN"/>
      </w:rPr>
    </w:lvl>
    <w:lvl w:ilvl="2" w:tentative="0">
      <w:start w:val="1"/>
      <w:numFmt w:val="decimal"/>
      <w:suff w:val="nothing"/>
      <w:lvlText w:val="%1.%2.%3　"/>
      <w:lvlJc w:val="left"/>
      <w:pPr>
        <w:ind w:left="567" w:firstLine="0"/>
      </w:pPr>
      <w:rPr>
        <w:rFonts w:hint="default" w:ascii="Times New Roman" w:hAnsi="Times New Roman" w:eastAsia="黑体"/>
        <w:b w:val="0"/>
      </w:rPr>
    </w:lvl>
    <w:lvl w:ilvl="3" w:tentative="0">
      <w:start w:val="1"/>
      <w:numFmt w:val="decimal"/>
      <w:suff w:val="nothing"/>
      <w:lvlText w:val="%1.%2.%3.%4　"/>
      <w:lvlJc w:val="left"/>
      <w:pPr>
        <w:ind w:left="1984" w:hanging="708"/>
      </w:pPr>
      <w:rPr>
        <w:rFonts w:hint="default" w:ascii="Times New Roman" w:hAnsi="Times New Roman" w:eastAsia="黑体"/>
      </w:rPr>
    </w:lvl>
    <w:lvl w:ilvl="4" w:tentative="0">
      <w:start w:val="1"/>
      <w:numFmt w:val="decimal"/>
      <w:lvlText w:val="%1.%2.%3.%4.%5"/>
      <w:lvlJc w:val="left"/>
      <w:pPr>
        <w:tabs>
          <w:tab w:val="left" w:pos="0"/>
        </w:tabs>
        <w:ind w:left="2551" w:hanging="850"/>
      </w:pPr>
      <w:rPr>
        <w:rFonts w:hint="eastAsia"/>
      </w:rPr>
    </w:lvl>
    <w:lvl w:ilvl="5" w:tentative="0">
      <w:start w:val="1"/>
      <w:numFmt w:val="decimal"/>
      <w:lvlText w:val="%1.%2.%3.%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25">
    <w:nsid w:val="7C0E6DB8"/>
    <w:multiLevelType w:val="multilevel"/>
    <w:tmpl w:val="7C0E6DB8"/>
    <w:lvl w:ilvl="0" w:tentative="0">
      <w:start w:val="1"/>
      <w:numFmt w:val="lowerLetter"/>
      <w:pStyle w:val="114"/>
      <w:lvlText w:val="%1)"/>
      <w:lvlJc w:val="left"/>
      <w:pPr>
        <w:tabs>
          <w:tab w:val="left" w:pos="605"/>
        </w:tabs>
        <w:ind w:left="605" w:hanging="405"/>
      </w:pPr>
      <w:rPr>
        <w:rFonts w:hint="default" w:ascii="Arial" w:hAnsi="Arial" w:eastAsia="宋体" w:cs="Arial"/>
        <w:sz w:val="21"/>
        <w:szCs w:val="21"/>
      </w:r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num w:numId="1">
    <w:abstractNumId w:val="7"/>
  </w:num>
  <w:num w:numId="2">
    <w:abstractNumId w:val="1"/>
  </w:num>
  <w:num w:numId="3">
    <w:abstractNumId w:val="24"/>
  </w:num>
  <w:num w:numId="4">
    <w:abstractNumId w:val="18"/>
  </w:num>
  <w:num w:numId="5">
    <w:abstractNumId w:val="19"/>
  </w:num>
  <w:num w:numId="6">
    <w:abstractNumId w:val="20"/>
  </w:num>
  <w:num w:numId="7">
    <w:abstractNumId w:val="25"/>
  </w:num>
  <w:num w:numId="8">
    <w:abstractNumId w:val="16"/>
  </w:num>
  <w:num w:numId="9">
    <w:abstractNumId w:val="22"/>
  </w:num>
  <w:num w:numId="10">
    <w:abstractNumId w:val="4"/>
  </w:num>
  <w:num w:numId="11">
    <w:abstractNumId w:val="12"/>
  </w:num>
  <w:num w:numId="12">
    <w:abstractNumId w:val="3"/>
  </w:num>
  <w:num w:numId="13">
    <w:abstractNumId w:val="17"/>
  </w:num>
  <w:num w:numId="14">
    <w:abstractNumId w:val="14"/>
  </w:num>
  <w:num w:numId="15">
    <w:abstractNumId w:val="2"/>
  </w:num>
  <w:num w:numId="16">
    <w:abstractNumId w:val="5"/>
  </w:num>
  <w:num w:numId="17">
    <w:abstractNumId w:val="10"/>
  </w:num>
  <w:num w:numId="18">
    <w:abstractNumId w:val="6"/>
  </w:num>
  <w:num w:numId="19">
    <w:abstractNumId w:val="23"/>
  </w:num>
  <w:num w:numId="20">
    <w:abstractNumId w:val="13"/>
  </w:num>
  <w:num w:numId="21">
    <w:abstractNumId w:val="21"/>
  </w:num>
  <w:num w:numId="22">
    <w:abstractNumId w:val="9"/>
  </w:num>
  <w:num w:numId="23">
    <w:abstractNumId w:val="11"/>
  </w:num>
  <w:num w:numId="24">
    <w:abstractNumId w:val="15"/>
  </w:num>
  <w:num w:numId="25">
    <w:abstractNumId w:val="8"/>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1"/>
  <w:bordersDoNotSurroundFooter w:val="1"/>
  <w:documentProtection w:enforcement="0"/>
  <w:defaultTabStop w:val="425"/>
  <w:hyphenationZone w:val="360"/>
  <w:drawingGridHorizontalSpacing w:val="105"/>
  <w:drawingGridVerticalSpacing w:val="156"/>
  <w:displayHorizontalDrawingGridEvery w:val="2"/>
  <w:displayVerticalDrawingGridEvery w:val="2"/>
  <w:characterSpacingControl w:val="compressPunctuation"/>
  <w:doNotValidateAgainstSchema/>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0E1"/>
    <w:rsid w:val="00000A25"/>
    <w:rsid w:val="00000C95"/>
    <w:rsid w:val="0000132F"/>
    <w:rsid w:val="00001518"/>
    <w:rsid w:val="0000213E"/>
    <w:rsid w:val="00003729"/>
    <w:rsid w:val="000038FC"/>
    <w:rsid w:val="00003BD2"/>
    <w:rsid w:val="000049FC"/>
    <w:rsid w:val="00005BCD"/>
    <w:rsid w:val="00005FB9"/>
    <w:rsid w:val="000103BE"/>
    <w:rsid w:val="000107D1"/>
    <w:rsid w:val="00010F3E"/>
    <w:rsid w:val="0001205A"/>
    <w:rsid w:val="000132D7"/>
    <w:rsid w:val="000139FE"/>
    <w:rsid w:val="00014D70"/>
    <w:rsid w:val="00014FA4"/>
    <w:rsid w:val="000158FB"/>
    <w:rsid w:val="00016A26"/>
    <w:rsid w:val="00017118"/>
    <w:rsid w:val="0001715A"/>
    <w:rsid w:val="0002015D"/>
    <w:rsid w:val="00020A1B"/>
    <w:rsid w:val="00020CFE"/>
    <w:rsid w:val="00020EEE"/>
    <w:rsid w:val="000219F8"/>
    <w:rsid w:val="00022BDF"/>
    <w:rsid w:val="0002518E"/>
    <w:rsid w:val="000279FF"/>
    <w:rsid w:val="00027D76"/>
    <w:rsid w:val="00030C75"/>
    <w:rsid w:val="00031ECE"/>
    <w:rsid w:val="00032453"/>
    <w:rsid w:val="0003471C"/>
    <w:rsid w:val="00034F4A"/>
    <w:rsid w:val="00035349"/>
    <w:rsid w:val="00035CEE"/>
    <w:rsid w:val="00040874"/>
    <w:rsid w:val="000415D2"/>
    <w:rsid w:val="00041BE5"/>
    <w:rsid w:val="00041FEB"/>
    <w:rsid w:val="00042A38"/>
    <w:rsid w:val="00042AB8"/>
    <w:rsid w:val="00043107"/>
    <w:rsid w:val="00043DAC"/>
    <w:rsid w:val="00043EEA"/>
    <w:rsid w:val="00044467"/>
    <w:rsid w:val="00044607"/>
    <w:rsid w:val="000456E3"/>
    <w:rsid w:val="00045AA1"/>
    <w:rsid w:val="000473BA"/>
    <w:rsid w:val="00047410"/>
    <w:rsid w:val="00047BE9"/>
    <w:rsid w:val="00047C09"/>
    <w:rsid w:val="00050FAA"/>
    <w:rsid w:val="0005178E"/>
    <w:rsid w:val="000534A9"/>
    <w:rsid w:val="000538FD"/>
    <w:rsid w:val="00053AB4"/>
    <w:rsid w:val="00054446"/>
    <w:rsid w:val="00055DEB"/>
    <w:rsid w:val="00056FF8"/>
    <w:rsid w:val="00060337"/>
    <w:rsid w:val="000604E4"/>
    <w:rsid w:val="000605E3"/>
    <w:rsid w:val="00060AB1"/>
    <w:rsid w:val="00060DB2"/>
    <w:rsid w:val="00061E9F"/>
    <w:rsid w:val="000621C6"/>
    <w:rsid w:val="00063246"/>
    <w:rsid w:val="00063AD7"/>
    <w:rsid w:val="00063E04"/>
    <w:rsid w:val="00064221"/>
    <w:rsid w:val="000643BD"/>
    <w:rsid w:val="00064FC6"/>
    <w:rsid w:val="00065667"/>
    <w:rsid w:val="000668A0"/>
    <w:rsid w:val="00067A9E"/>
    <w:rsid w:val="000700CA"/>
    <w:rsid w:val="00070B80"/>
    <w:rsid w:val="00070B83"/>
    <w:rsid w:val="00070BCE"/>
    <w:rsid w:val="00071164"/>
    <w:rsid w:val="00071816"/>
    <w:rsid w:val="00072D58"/>
    <w:rsid w:val="0007468F"/>
    <w:rsid w:val="00075A6B"/>
    <w:rsid w:val="00075E47"/>
    <w:rsid w:val="00077463"/>
    <w:rsid w:val="00081782"/>
    <w:rsid w:val="0008241E"/>
    <w:rsid w:val="000836A1"/>
    <w:rsid w:val="0008422C"/>
    <w:rsid w:val="000852AC"/>
    <w:rsid w:val="00086230"/>
    <w:rsid w:val="00086BC3"/>
    <w:rsid w:val="000908BB"/>
    <w:rsid w:val="00090DC8"/>
    <w:rsid w:val="00091113"/>
    <w:rsid w:val="00092FAE"/>
    <w:rsid w:val="0009585B"/>
    <w:rsid w:val="00095D8D"/>
    <w:rsid w:val="0009644E"/>
    <w:rsid w:val="0009723E"/>
    <w:rsid w:val="000A22E1"/>
    <w:rsid w:val="000A2EE5"/>
    <w:rsid w:val="000A7042"/>
    <w:rsid w:val="000A7423"/>
    <w:rsid w:val="000A77C0"/>
    <w:rsid w:val="000B0446"/>
    <w:rsid w:val="000B0DDF"/>
    <w:rsid w:val="000B1144"/>
    <w:rsid w:val="000B119E"/>
    <w:rsid w:val="000B144C"/>
    <w:rsid w:val="000B166D"/>
    <w:rsid w:val="000B26E1"/>
    <w:rsid w:val="000B3779"/>
    <w:rsid w:val="000B40D1"/>
    <w:rsid w:val="000B5A87"/>
    <w:rsid w:val="000B65F5"/>
    <w:rsid w:val="000B76AE"/>
    <w:rsid w:val="000B7F5A"/>
    <w:rsid w:val="000C074D"/>
    <w:rsid w:val="000C078A"/>
    <w:rsid w:val="000C1C2A"/>
    <w:rsid w:val="000C1D90"/>
    <w:rsid w:val="000C1D9B"/>
    <w:rsid w:val="000C2114"/>
    <w:rsid w:val="000C2628"/>
    <w:rsid w:val="000C2C80"/>
    <w:rsid w:val="000C44DB"/>
    <w:rsid w:val="000C4CA9"/>
    <w:rsid w:val="000C4F1B"/>
    <w:rsid w:val="000C4F4E"/>
    <w:rsid w:val="000C55A4"/>
    <w:rsid w:val="000C578E"/>
    <w:rsid w:val="000C5CC4"/>
    <w:rsid w:val="000C6516"/>
    <w:rsid w:val="000C727F"/>
    <w:rsid w:val="000C781E"/>
    <w:rsid w:val="000C7CF6"/>
    <w:rsid w:val="000D0C6B"/>
    <w:rsid w:val="000D0D79"/>
    <w:rsid w:val="000D26D3"/>
    <w:rsid w:val="000D2BFF"/>
    <w:rsid w:val="000D4849"/>
    <w:rsid w:val="000D4F03"/>
    <w:rsid w:val="000D59F2"/>
    <w:rsid w:val="000D5D45"/>
    <w:rsid w:val="000D6016"/>
    <w:rsid w:val="000D6388"/>
    <w:rsid w:val="000D6D88"/>
    <w:rsid w:val="000D73EE"/>
    <w:rsid w:val="000D77E5"/>
    <w:rsid w:val="000D79DA"/>
    <w:rsid w:val="000E1089"/>
    <w:rsid w:val="000E1136"/>
    <w:rsid w:val="000E1576"/>
    <w:rsid w:val="000E31EC"/>
    <w:rsid w:val="000E3E02"/>
    <w:rsid w:val="000E3E0D"/>
    <w:rsid w:val="000E465F"/>
    <w:rsid w:val="000E4A4E"/>
    <w:rsid w:val="000E4C90"/>
    <w:rsid w:val="000E5367"/>
    <w:rsid w:val="000E5370"/>
    <w:rsid w:val="000E58B8"/>
    <w:rsid w:val="000E5EE9"/>
    <w:rsid w:val="000E74F8"/>
    <w:rsid w:val="000E77FF"/>
    <w:rsid w:val="000F0639"/>
    <w:rsid w:val="000F076D"/>
    <w:rsid w:val="000F191A"/>
    <w:rsid w:val="000F4CD3"/>
    <w:rsid w:val="000F53EF"/>
    <w:rsid w:val="000F5915"/>
    <w:rsid w:val="000F6923"/>
    <w:rsid w:val="000F6C6D"/>
    <w:rsid w:val="001006D4"/>
    <w:rsid w:val="001011DE"/>
    <w:rsid w:val="0010178D"/>
    <w:rsid w:val="00101842"/>
    <w:rsid w:val="00102199"/>
    <w:rsid w:val="001023FE"/>
    <w:rsid w:val="0010274F"/>
    <w:rsid w:val="001037B1"/>
    <w:rsid w:val="0010437E"/>
    <w:rsid w:val="00105733"/>
    <w:rsid w:val="00106EEF"/>
    <w:rsid w:val="0011065F"/>
    <w:rsid w:val="0011076A"/>
    <w:rsid w:val="001107B4"/>
    <w:rsid w:val="00110D9E"/>
    <w:rsid w:val="001123CE"/>
    <w:rsid w:val="00112408"/>
    <w:rsid w:val="00112A55"/>
    <w:rsid w:val="00113081"/>
    <w:rsid w:val="00113A04"/>
    <w:rsid w:val="00113A9D"/>
    <w:rsid w:val="00114858"/>
    <w:rsid w:val="00115663"/>
    <w:rsid w:val="0011593D"/>
    <w:rsid w:val="00116ACF"/>
    <w:rsid w:val="001176D1"/>
    <w:rsid w:val="00117DF9"/>
    <w:rsid w:val="00120E80"/>
    <w:rsid w:val="00120E8B"/>
    <w:rsid w:val="00120F80"/>
    <w:rsid w:val="00121424"/>
    <w:rsid w:val="00121E32"/>
    <w:rsid w:val="001220FF"/>
    <w:rsid w:val="00123D60"/>
    <w:rsid w:val="0012472C"/>
    <w:rsid w:val="00124ED1"/>
    <w:rsid w:val="00126946"/>
    <w:rsid w:val="001269C5"/>
    <w:rsid w:val="00126E64"/>
    <w:rsid w:val="001274CB"/>
    <w:rsid w:val="00130079"/>
    <w:rsid w:val="00132197"/>
    <w:rsid w:val="00132BB5"/>
    <w:rsid w:val="001337DD"/>
    <w:rsid w:val="001339DA"/>
    <w:rsid w:val="00133B74"/>
    <w:rsid w:val="00133D30"/>
    <w:rsid w:val="00133F32"/>
    <w:rsid w:val="0013489A"/>
    <w:rsid w:val="0013494E"/>
    <w:rsid w:val="00135392"/>
    <w:rsid w:val="0013562D"/>
    <w:rsid w:val="00136ABC"/>
    <w:rsid w:val="00136EB1"/>
    <w:rsid w:val="00137C90"/>
    <w:rsid w:val="00140FF1"/>
    <w:rsid w:val="00141BB1"/>
    <w:rsid w:val="001423FE"/>
    <w:rsid w:val="00142C10"/>
    <w:rsid w:val="001444DE"/>
    <w:rsid w:val="00144E52"/>
    <w:rsid w:val="00146154"/>
    <w:rsid w:val="00146A42"/>
    <w:rsid w:val="0014754B"/>
    <w:rsid w:val="00147B72"/>
    <w:rsid w:val="00147C13"/>
    <w:rsid w:val="00150BDF"/>
    <w:rsid w:val="00152180"/>
    <w:rsid w:val="00152D04"/>
    <w:rsid w:val="00153C43"/>
    <w:rsid w:val="001546EB"/>
    <w:rsid w:val="00155034"/>
    <w:rsid w:val="00157C07"/>
    <w:rsid w:val="00157D4F"/>
    <w:rsid w:val="00160262"/>
    <w:rsid w:val="00161048"/>
    <w:rsid w:val="0016121B"/>
    <w:rsid w:val="00162343"/>
    <w:rsid w:val="0016261D"/>
    <w:rsid w:val="00162E8C"/>
    <w:rsid w:val="00163837"/>
    <w:rsid w:val="00163F46"/>
    <w:rsid w:val="0016401C"/>
    <w:rsid w:val="00164ED0"/>
    <w:rsid w:val="00165EC9"/>
    <w:rsid w:val="001674B7"/>
    <w:rsid w:val="00167668"/>
    <w:rsid w:val="001701A6"/>
    <w:rsid w:val="00170A3B"/>
    <w:rsid w:val="00171FCA"/>
    <w:rsid w:val="001728E7"/>
    <w:rsid w:val="00173412"/>
    <w:rsid w:val="00174268"/>
    <w:rsid w:val="00174331"/>
    <w:rsid w:val="0017494F"/>
    <w:rsid w:val="00174F52"/>
    <w:rsid w:val="0017503E"/>
    <w:rsid w:val="0017536C"/>
    <w:rsid w:val="00175F78"/>
    <w:rsid w:val="00176244"/>
    <w:rsid w:val="0017656C"/>
    <w:rsid w:val="001779BC"/>
    <w:rsid w:val="00181D16"/>
    <w:rsid w:val="00182561"/>
    <w:rsid w:val="00183950"/>
    <w:rsid w:val="00184133"/>
    <w:rsid w:val="001842A4"/>
    <w:rsid w:val="0018483B"/>
    <w:rsid w:val="001848AD"/>
    <w:rsid w:val="00184F91"/>
    <w:rsid w:val="00185607"/>
    <w:rsid w:val="00185677"/>
    <w:rsid w:val="00185819"/>
    <w:rsid w:val="00185BB0"/>
    <w:rsid w:val="001863F4"/>
    <w:rsid w:val="001866C0"/>
    <w:rsid w:val="00186A70"/>
    <w:rsid w:val="00186C23"/>
    <w:rsid w:val="00187803"/>
    <w:rsid w:val="00187BD1"/>
    <w:rsid w:val="00190851"/>
    <w:rsid w:val="00190F20"/>
    <w:rsid w:val="00191BDF"/>
    <w:rsid w:val="00192571"/>
    <w:rsid w:val="00192FB0"/>
    <w:rsid w:val="001930B2"/>
    <w:rsid w:val="0019327E"/>
    <w:rsid w:val="001941B5"/>
    <w:rsid w:val="0019459B"/>
    <w:rsid w:val="001948A4"/>
    <w:rsid w:val="00194E83"/>
    <w:rsid w:val="00194FE0"/>
    <w:rsid w:val="001950B8"/>
    <w:rsid w:val="00195332"/>
    <w:rsid w:val="001A1E31"/>
    <w:rsid w:val="001A2601"/>
    <w:rsid w:val="001A267B"/>
    <w:rsid w:val="001A2EA6"/>
    <w:rsid w:val="001A5A8B"/>
    <w:rsid w:val="001A5B70"/>
    <w:rsid w:val="001A6046"/>
    <w:rsid w:val="001A6194"/>
    <w:rsid w:val="001A6356"/>
    <w:rsid w:val="001A63B8"/>
    <w:rsid w:val="001A7257"/>
    <w:rsid w:val="001A79EC"/>
    <w:rsid w:val="001A7A51"/>
    <w:rsid w:val="001B0AB4"/>
    <w:rsid w:val="001B1272"/>
    <w:rsid w:val="001B19DF"/>
    <w:rsid w:val="001B1BBD"/>
    <w:rsid w:val="001B23A0"/>
    <w:rsid w:val="001B2F43"/>
    <w:rsid w:val="001B34D2"/>
    <w:rsid w:val="001B3A95"/>
    <w:rsid w:val="001B43D5"/>
    <w:rsid w:val="001B5321"/>
    <w:rsid w:val="001B578A"/>
    <w:rsid w:val="001B606C"/>
    <w:rsid w:val="001B739B"/>
    <w:rsid w:val="001B74FD"/>
    <w:rsid w:val="001B7B35"/>
    <w:rsid w:val="001B7CAB"/>
    <w:rsid w:val="001B7F00"/>
    <w:rsid w:val="001C189D"/>
    <w:rsid w:val="001C1C65"/>
    <w:rsid w:val="001C1DE8"/>
    <w:rsid w:val="001C262F"/>
    <w:rsid w:val="001C3D70"/>
    <w:rsid w:val="001C5ECC"/>
    <w:rsid w:val="001C6A67"/>
    <w:rsid w:val="001C6C69"/>
    <w:rsid w:val="001C7848"/>
    <w:rsid w:val="001D0401"/>
    <w:rsid w:val="001D0B7F"/>
    <w:rsid w:val="001D1D6B"/>
    <w:rsid w:val="001D213C"/>
    <w:rsid w:val="001D236F"/>
    <w:rsid w:val="001D2A70"/>
    <w:rsid w:val="001D37CB"/>
    <w:rsid w:val="001D4509"/>
    <w:rsid w:val="001D485D"/>
    <w:rsid w:val="001D5813"/>
    <w:rsid w:val="001D592B"/>
    <w:rsid w:val="001D594E"/>
    <w:rsid w:val="001D641F"/>
    <w:rsid w:val="001D6530"/>
    <w:rsid w:val="001D71CB"/>
    <w:rsid w:val="001D74A7"/>
    <w:rsid w:val="001E09CD"/>
    <w:rsid w:val="001E0DC1"/>
    <w:rsid w:val="001E2396"/>
    <w:rsid w:val="001E2439"/>
    <w:rsid w:val="001E257A"/>
    <w:rsid w:val="001E2CEA"/>
    <w:rsid w:val="001E3788"/>
    <w:rsid w:val="001E3878"/>
    <w:rsid w:val="001E3B57"/>
    <w:rsid w:val="001E49EE"/>
    <w:rsid w:val="001E5BF9"/>
    <w:rsid w:val="001E6F4B"/>
    <w:rsid w:val="001E70A6"/>
    <w:rsid w:val="001E746E"/>
    <w:rsid w:val="001E7694"/>
    <w:rsid w:val="001F0EC7"/>
    <w:rsid w:val="001F15CA"/>
    <w:rsid w:val="001F3ADB"/>
    <w:rsid w:val="001F3CDC"/>
    <w:rsid w:val="001F42E1"/>
    <w:rsid w:val="001F4BDD"/>
    <w:rsid w:val="001F674E"/>
    <w:rsid w:val="001F67E0"/>
    <w:rsid w:val="001F69A6"/>
    <w:rsid w:val="001F6F8D"/>
    <w:rsid w:val="001F7309"/>
    <w:rsid w:val="0020020B"/>
    <w:rsid w:val="0020101B"/>
    <w:rsid w:val="00201B57"/>
    <w:rsid w:val="00202B93"/>
    <w:rsid w:val="00203CCE"/>
    <w:rsid w:val="002043A7"/>
    <w:rsid w:val="002068C7"/>
    <w:rsid w:val="00206A23"/>
    <w:rsid w:val="002073F8"/>
    <w:rsid w:val="00207697"/>
    <w:rsid w:val="00210147"/>
    <w:rsid w:val="00210223"/>
    <w:rsid w:val="00210A52"/>
    <w:rsid w:val="00210B8E"/>
    <w:rsid w:val="00210C92"/>
    <w:rsid w:val="00212473"/>
    <w:rsid w:val="00212511"/>
    <w:rsid w:val="00212747"/>
    <w:rsid w:val="00212CE1"/>
    <w:rsid w:val="002138E2"/>
    <w:rsid w:val="0021467B"/>
    <w:rsid w:val="00215850"/>
    <w:rsid w:val="00216501"/>
    <w:rsid w:val="00220811"/>
    <w:rsid w:val="00220E5A"/>
    <w:rsid w:val="002216C5"/>
    <w:rsid w:val="00222BB0"/>
    <w:rsid w:val="00223BAF"/>
    <w:rsid w:val="002240FA"/>
    <w:rsid w:val="00224E8F"/>
    <w:rsid w:val="0022616D"/>
    <w:rsid w:val="0022657B"/>
    <w:rsid w:val="00226F83"/>
    <w:rsid w:val="00227179"/>
    <w:rsid w:val="00227F5E"/>
    <w:rsid w:val="0023061D"/>
    <w:rsid w:val="0023065C"/>
    <w:rsid w:val="00230698"/>
    <w:rsid w:val="0023116C"/>
    <w:rsid w:val="002322EC"/>
    <w:rsid w:val="00232BE3"/>
    <w:rsid w:val="00233D61"/>
    <w:rsid w:val="00234735"/>
    <w:rsid w:val="00234F50"/>
    <w:rsid w:val="002351A3"/>
    <w:rsid w:val="00236134"/>
    <w:rsid w:val="0023723D"/>
    <w:rsid w:val="002372E0"/>
    <w:rsid w:val="0023789C"/>
    <w:rsid w:val="00240BE1"/>
    <w:rsid w:val="002417D8"/>
    <w:rsid w:val="002449DA"/>
    <w:rsid w:val="00244DF3"/>
    <w:rsid w:val="002464AE"/>
    <w:rsid w:val="0024722F"/>
    <w:rsid w:val="00250914"/>
    <w:rsid w:val="0025203D"/>
    <w:rsid w:val="0025242E"/>
    <w:rsid w:val="002539FE"/>
    <w:rsid w:val="0025476D"/>
    <w:rsid w:val="00254E29"/>
    <w:rsid w:val="0025557B"/>
    <w:rsid w:val="00255FC7"/>
    <w:rsid w:val="0025632F"/>
    <w:rsid w:val="0025790E"/>
    <w:rsid w:val="002610F0"/>
    <w:rsid w:val="002615BB"/>
    <w:rsid w:val="00261966"/>
    <w:rsid w:val="00261D37"/>
    <w:rsid w:val="00261D8D"/>
    <w:rsid w:val="00261EEA"/>
    <w:rsid w:val="00262438"/>
    <w:rsid w:val="002625FF"/>
    <w:rsid w:val="00264290"/>
    <w:rsid w:val="002654B4"/>
    <w:rsid w:val="002657F9"/>
    <w:rsid w:val="002669C4"/>
    <w:rsid w:val="00266B20"/>
    <w:rsid w:val="00266B43"/>
    <w:rsid w:val="00266EF4"/>
    <w:rsid w:val="00267DC0"/>
    <w:rsid w:val="00270118"/>
    <w:rsid w:val="0027040A"/>
    <w:rsid w:val="00270829"/>
    <w:rsid w:val="002715D9"/>
    <w:rsid w:val="00272F70"/>
    <w:rsid w:val="00273CFE"/>
    <w:rsid w:val="00273E25"/>
    <w:rsid w:val="002743CF"/>
    <w:rsid w:val="00274411"/>
    <w:rsid w:val="002758EC"/>
    <w:rsid w:val="00276A35"/>
    <w:rsid w:val="00276BCB"/>
    <w:rsid w:val="00276DD9"/>
    <w:rsid w:val="00276FF9"/>
    <w:rsid w:val="002772C2"/>
    <w:rsid w:val="00277CE0"/>
    <w:rsid w:val="0028020A"/>
    <w:rsid w:val="00280EE8"/>
    <w:rsid w:val="002813AB"/>
    <w:rsid w:val="00281468"/>
    <w:rsid w:val="0028152D"/>
    <w:rsid w:val="0028313B"/>
    <w:rsid w:val="00283811"/>
    <w:rsid w:val="0028444E"/>
    <w:rsid w:val="00285179"/>
    <w:rsid w:val="00285276"/>
    <w:rsid w:val="0028789B"/>
    <w:rsid w:val="0028796B"/>
    <w:rsid w:val="00287F56"/>
    <w:rsid w:val="0029001D"/>
    <w:rsid w:val="00290B2A"/>
    <w:rsid w:val="00290BC9"/>
    <w:rsid w:val="00290DE4"/>
    <w:rsid w:val="00291874"/>
    <w:rsid w:val="00292937"/>
    <w:rsid w:val="00292F10"/>
    <w:rsid w:val="00293CE7"/>
    <w:rsid w:val="00294192"/>
    <w:rsid w:val="0029544C"/>
    <w:rsid w:val="00296EBD"/>
    <w:rsid w:val="00297B2C"/>
    <w:rsid w:val="002A005E"/>
    <w:rsid w:val="002A0888"/>
    <w:rsid w:val="002A0AA3"/>
    <w:rsid w:val="002A0E01"/>
    <w:rsid w:val="002A121C"/>
    <w:rsid w:val="002A12C2"/>
    <w:rsid w:val="002A1A02"/>
    <w:rsid w:val="002A3106"/>
    <w:rsid w:val="002A3232"/>
    <w:rsid w:val="002A43F9"/>
    <w:rsid w:val="002A468E"/>
    <w:rsid w:val="002A5505"/>
    <w:rsid w:val="002A65EE"/>
    <w:rsid w:val="002A67D0"/>
    <w:rsid w:val="002A68B7"/>
    <w:rsid w:val="002B1153"/>
    <w:rsid w:val="002B18E2"/>
    <w:rsid w:val="002B1C5A"/>
    <w:rsid w:val="002B245A"/>
    <w:rsid w:val="002B25E2"/>
    <w:rsid w:val="002B292D"/>
    <w:rsid w:val="002B2B03"/>
    <w:rsid w:val="002B2FCD"/>
    <w:rsid w:val="002B4483"/>
    <w:rsid w:val="002B49D2"/>
    <w:rsid w:val="002B52F0"/>
    <w:rsid w:val="002B53DC"/>
    <w:rsid w:val="002B66C7"/>
    <w:rsid w:val="002B7C46"/>
    <w:rsid w:val="002C05FB"/>
    <w:rsid w:val="002C0A87"/>
    <w:rsid w:val="002C1393"/>
    <w:rsid w:val="002C184D"/>
    <w:rsid w:val="002C2059"/>
    <w:rsid w:val="002C208D"/>
    <w:rsid w:val="002C2853"/>
    <w:rsid w:val="002C2D2D"/>
    <w:rsid w:val="002C3DAD"/>
    <w:rsid w:val="002C4000"/>
    <w:rsid w:val="002C4154"/>
    <w:rsid w:val="002C41E9"/>
    <w:rsid w:val="002C54CD"/>
    <w:rsid w:val="002C5725"/>
    <w:rsid w:val="002C5DAC"/>
    <w:rsid w:val="002C6237"/>
    <w:rsid w:val="002C6D89"/>
    <w:rsid w:val="002C7161"/>
    <w:rsid w:val="002C75AC"/>
    <w:rsid w:val="002D0A53"/>
    <w:rsid w:val="002D0DD6"/>
    <w:rsid w:val="002D1BB4"/>
    <w:rsid w:val="002D2EB6"/>
    <w:rsid w:val="002D3A9F"/>
    <w:rsid w:val="002D5A59"/>
    <w:rsid w:val="002D5B5F"/>
    <w:rsid w:val="002D6139"/>
    <w:rsid w:val="002D63DA"/>
    <w:rsid w:val="002D72F5"/>
    <w:rsid w:val="002D73BF"/>
    <w:rsid w:val="002D7841"/>
    <w:rsid w:val="002E20A8"/>
    <w:rsid w:val="002E2D1F"/>
    <w:rsid w:val="002E2FD7"/>
    <w:rsid w:val="002E5C52"/>
    <w:rsid w:val="002E6FE8"/>
    <w:rsid w:val="002E796A"/>
    <w:rsid w:val="002F03BF"/>
    <w:rsid w:val="002F0B52"/>
    <w:rsid w:val="002F0D51"/>
    <w:rsid w:val="002F104C"/>
    <w:rsid w:val="002F14FE"/>
    <w:rsid w:val="002F1A9D"/>
    <w:rsid w:val="002F1C60"/>
    <w:rsid w:val="002F2671"/>
    <w:rsid w:val="002F2F03"/>
    <w:rsid w:val="002F3126"/>
    <w:rsid w:val="002F354D"/>
    <w:rsid w:val="002F3560"/>
    <w:rsid w:val="002F4215"/>
    <w:rsid w:val="002F48A5"/>
    <w:rsid w:val="002F4BB6"/>
    <w:rsid w:val="002F5A7F"/>
    <w:rsid w:val="002F7BF0"/>
    <w:rsid w:val="003008BC"/>
    <w:rsid w:val="00301E1A"/>
    <w:rsid w:val="0030250B"/>
    <w:rsid w:val="00302F24"/>
    <w:rsid w:val="00303530"/>
    <w:rsid w:val="00303646"/>
    <w:rsid w:val="00303A0C"/>
    <w:rsid w:val="00304777"/>
    <w:rsid w:val="00304A48"/>
    <w:rsid w:val="00304A7A"/>
    <w:rsid w:val="0030610F"/>
    <w:rsid w:val="00306157"/>
    <w:rsid w:val="00306408"/>
    <w:rsid w:val="00306A41"/>
    <w:rsid w:val="00307D40"/>
    <w:rsid w:val="00310A17"/>
    <w:rsid w:val="003115FA"/>
    <w:rsid w:val="00311CF6"/>
    <w:rsid w:val="00312393"/>
    <w:rsid w:val="00312547"/>
    <w:rsid w:val="00312B93"/>
    <w:rsid w:val="003157EA"/>
    <w:rsid w:val="0031731F"/>
    <w:rsid w:val="00320D69"/>
    <w:rsid w:val="00322472"/>
    <w:rsid w:val="00323A15"/>
    <w:rsid w:val="003242D9"/>
    <w:rsid w:val="0032447C"/>
    <w:rsid w:val="00324DC3"/>
    <w:rsid w:val="003255F6"/>
    <w:rsid w:val="00325E8A"/>
    <w:rsid w:val="00326A8C"/>
    <w:rsid w:val="00326C83"/>
    <w:rsid w:val="00327ED9"/>
    <w:rsid w:val="00330BA6"/>
    <w:rsid w:val="00331D72"/>
    <w:rsid w:val="00332501"/>
    <w:rsid w:val="00332FD5"/>
    <w:rsid w:val="0033315D"/>
    <w:rsid w:val="00333962"/>
    <w:rsid w:val="00333D6F"/>
    <w:rsid w:val="00335330"/>
    <w:rsid w:val="00335353"/>
    <w:rsid w:val="0033665A"/>
    <w:rsid w:val="00337304"/>
    <w:rsid w:val="00337728"/>
    <w:rsid w:val="00337A19"/>
    <w:rsid w:val="00340A5F"/>
    <w:rsid w:val="0034143F"/>
    <w:rsid w:val="00342B62"/>
    <w:rsid w:val="00344067"/>
    <w:rsid w:val="003448AE"/>
    <w:rsid w:val="00345302"/>
    <w:rsid w:val="00345860"/>
    <w:rsid w:val="0034697A"/>
    <w:rsid w:val="003474DA"/>
    <w:rsid w:val="00347517"/>
    <w:rsid w:val="00350834"/>
    <w:rsid w:val="00351BF0"/>
    <w:rsid w:val="00351FFE"/>
    <w:rsid w:val="0035432E"/>
    <w:rsid w:val="00354BA0"/>
    <w:rsid w:val="00356109"/>
    <w:rsid w:val="0035794E"/>
    <w:rsid w:val="00360788"/>
    <w:rsid w:val="003621E2"/>
    <w:rsid w:val="0036319A"/>
    <w:rsid w:val="003631B7"/>
    <w:rsid w:val="003633FF"/>
    <w:rsid w:val="00364260"/>
    <w:rsid w:val="0036478C"/>
    <w:rsid w:val="00364DAD"/>
    <w:rsid w:val="003650BA"/>
    <w:rsid w:val="0036584A"/>
    <w:rsid w:val="003658C5"/>
    <w:rsid w:val="0036643F"/>
    <w:rsid w:val="00366460"/>
    <w:rsid w:val="00366A55"/>
    <w:rsid w:val="00366D7C"/>
    <w:rsid w:val="00366E59"/>
    <w:rsid w:val="00367059"/>
    <w:rsid w:val="0036771E"/>
    <w:rsid w:val="00367D68"/>
    <w:rsid w:val="0037032A"/>
    <w:rsid w:val="00370DE9"/>
    <w:rsid w:val="0037113F"/>
    <w:rsid w:val="003713E6"/>
    <w:rsid w:val="003714E5"/>
    <w:rsid w:val="00371C1E"/>
    <w:rsid w:val="00372C04"/>
    <w:rsid w:val="0037526B"/>
    <w:rsid w:val="00375C2A"/>
    <w:rsid w:val="00375E64"/>
    <w:rsid w:val="0037603E"/>
    <w:rsid w:val="0037674E"/>
    <w:rsid w:val="003806C0"/>
    <w:rsid w:val="003814F4"/>
    <w:rsid w:val="0038162D"/>
    <w:rsid w:val="00381722"/>
    <w:rsid w:val="003818ED"/>
    <w:rsid w:val="00381FA9"/>
    <w:rsid w:val="003822F9"/>
    <w:rsid w:val="003825B5"/>
    <w:rsid w:val="00384C42"/>
    <w:rsid w:val="003850B7"/>
    <w:rsid w:val="00385259"/>
    <w:rsid w:val="00385757"/>
    <w:rsid w:val="00385767"/>
    <w:rsid w:val="003865F5"/>
    <w:rsid w:val="0038719F"/>
    <w:rsid w:val="003871B9"/>
    <w:rsid w:val="00387B65"/>
    <w:rsid w:val="00391E92"/>
    <w:rsid w:val="00392C2E"/>
    <w:rsid w:val="003939CB"/>
    <w:rsid w:val="003947A1"/>
    <w:rsid w:val="0039559C"/>
    <w:rsid w:val="00396A47"/>
    <w:rsid w:val="00397717"/>
    <w:rsid w:val="003A1FD7"/>
    <w:rsid w:val="003A2F4E"/>
    <w:rsid w:val="003A461B"/>
    <w:rsid w:val="003A4F4A"/>
    <w:rsid w:val="003A6751"/>
    <w:rsid w:val="003A67A8"/>
    <w:rsid w:val="003A716B"/>
    <w:rsid w:val="003B001C"/>
    <w:rsid w:val="003B00A0"/>
    <w:rsid w:val="003B0795"/>
    <w:rsid w:val="003B19DE"/>
    <w:rsid w:val="003B2135"/>
    <w:rsid w:val="003B2DEA"/>
    <w:rsid w:val="003B412C"/>
    <w:rsid w:val="003B4C47"/>
    <w:rsid w:val="003B4EEA"/>
    <w:rsid w:val="003B51FA"/>
    <w:rsid w:val="003B5A5F"/>
    <w:rsid w:val="003B60C5"/>
    <w:rsid w:val="003B62B0"/>
    <w:rsid w:val="003B643C"/>
    <w:rsid w:val="003B6A13"/>
    <w:rsid w:val="003B76D9"/>
    <w:rsid w:val="003B7F81"/>
    <w:rsid w:val="003C0450"/>
    <w:rsid w:val="003C1B91"/>
    <w:rsid w:val="003C2F41"/>
    <w:rsid w:val="003C2F60"/>
    <w:rsid w:val="003C39FA"/>
    <w:rsid w:val="003C3AE7"/>
    <w:rsid w:val="003C40CA"/>
    <w:rsid w:val="003C4156"/>
    <w:rsid w:val="003C47D9"/>
    <w:rsid w:val="003C4C2C"/>
    <w:rsid w:val="003C524A"/>
    <w:rsid w:val="003C6CE0"/>
    <w:rsid w:val="003C7DFE"/>
    <w:rsid w:val="003D19C0"/>
    <w:rsid w:val="003D1DA6"/>
    <w:rsid w:val="003D23D1"/>
    <w:rsid w:val="003D2C65"/>
    <w:rsid w:val="003D3891"/>
    <w:rsid w:val="003D3D7D"/>
    <w:rsid w:val="003D480C"/>
    <w:rsid w:val="003D481E"/>
    <w:rsid w:val="003D6CFE"/>
    <w:rsid w:val="003D6FEB"/>
    <w:rsid w:val="003D7D13"/>
    <w:rsid w:val="003E0883"/>
    <w:rsid w:val="003E14C8"/>
    <w:rsid w:val="003E1550"/>
    <w:rsid w:val="003E27C2"/>
    <w:rsid w:val="003E33A9"/>
    <w:rsid w:val="003E3FF6"/>
    <w:rsid w:val="003E441D"/>
    <w:rsid w:val="003E4AB0"/>
    <w:rsid w:val="003E51B7"/>
    <w:rsid w:val="003E52A3"/>
    <w:rsid w:val="003E5658"/>
    <w:rsid w:val="003E5838"/>
    <w:rsid w:val="003E5C02"/>
    <w:rsid w:val="003E5DFB"/>
    <w:rsid w:val="003E6F04"/>
    <w:rsid w:val="003E797E"/>
    <w:rsid w:val="003F13A5"/>
    <w:rsid w:val="003F13EA"/>
    <w:rsid w:val="003F2A84"/>
    <w:rsid w:val="003F2E84"/>
    <w:rsid w:val="003F3387"/>
    <w:rsid w:val="003F3482"/>
    <w:rsid w:val="003F3550"/>
    <w:rsid w:val="003F38B6"/>
    <w:rsid w:val="003F3DB2"/>
    <w:rsid w:val="003F4FC2"/>
    <w:rsid w:val="003F5042"/>
    <w:rsid w:val="003F57A8"/>
    <w:rsid w:val="003F5B3F"/>
    <w:rsid w:val="003F5D98"/>
    <w:rsid w:val="003F68C5"/>
    <w:rsid w:val="003F7133"/>
    <w:rsid w:val="003F7799"/>
    <w:rsid w:val="003F7C36"/>
    <w:rsid w:val="00400047"/>
    <w:rsid w:val="004009AF"/>
    <w:rsid w:val="00401B77"/>
    <w:rsid w:val="00401CC5"/>
    <w:rsid w:val="00402159"/>
    <w:rsid w:val="00402174"/>
    <w:rsid w:val="00402795"/>
    <w:rsid w:val="00402B10"/>
    <w:rsid w:val="00403A63"/>
    <w:rsid w:val="00404724"/>
    <w:rsid w:val="00404AF2"/>
    <w:rsid w:val="00404BBC"/>
    <w:rsid w:val="00405D6F"/>
    <w:rsid w:val="00406C50"/>
    <w:rsid w:val="004078CC"/>
    <w:rsid w:val="00407ACA"/>
    <w:rsid w:val="004100CA"/>
    <w:rsid w:val="00410F06"/>
    <w:rsid w:val="004116E4"/>
    <w:rsid w:val="00413BBA"/>
    <w:rsid w:val="00414CA9"/>
    <w:rsid w:val="00415065"/>
    <w:rsid w:val="00415E3D"/>
    <w:rsid w:val="00416BA9"/>
    <w:rsid w:val="004170AD"/>
    <w:rsid w:val="00417229"/>
    <w:rsid w:val="004201C5"/>
    <w:rsid w:val="00420B9E"/>
    <w:rsid w:val="004214CB"/>
    <w:rsid w:val="00422AA6"/>
    <w:rsid w:val="00423853"/>
    <w:rsid w:val="00424CD2"/>
    <w:rsid w:val="00425330"/>
    <w:rsid w:val="00425A02"/>
    <w:rsid w:val="00426C52"/>
    <w:rsid w:val="00426DAF"/>
    <w:rsid w:val="004277A9"/>
    <w:rsid w:val="00431748"/>
    <w:rsid w:val="00433CC2"/>
    <w:rsid w:val="00433CF3"/>
    <w:rsid w:val="004342F3"/>
    <w:rsid w:val="00435288"/>
    <w:rsid w:val="00435A05"/>
    <w:rsid w:val="00435E10"/>
    <w:rsid w:val="004366FE"/>
    <w:rsid w:val="00442404"/>
    <w:rsid w:val="0044386A"/>
    <w:rsid w:val="00443AE3"/>
    <w:rsid w:val="0044449C"/>
    <w:rsid w:val="00445B08"/>
    <w:rsid w:val="004462E6"/>
    <w:rsid w:val="004464DD"/>
    <w:rsid w:val="00450164"/>
    <w:rsid w:val="0045077A"/>
    <w:rsid w:val="00450C8D"/>
    <w:rsid w:val="004511BB"/>
    <w:rsid w:val="0045120E"/>
    <w:rsid w:val="00451B73"/>
    <w:rsid w:val="004521FF"/>
    <w:rsid w:val="00452AED"/>
    <w:rsid w:val="00453C06"/>
    <w:rsid w:val="00453DAE"/>
    <w:rsid w:val="0045443D"/>
    <w:rsid w:val="00454FDD"/>
    <w:rsid w:val="00455788"/>
    <w:rsid w:val="004562E3"/>
    <w:rsid w:val="0045710B"/>
    <w:rsid w:val="00457DE3"/>
    <w:rsid w:val="0046147D"/>
    <w:rsid w:val="00462BEF"/>
    <w:rsid w:val="00462EB6"/>
    <w:rsid w:val="004632FA"/>
    <w:rsid w:val="004638F6"/>
    <w:rsid w:val="00463A29"/>
    <w:rsid w:val="00464906"/>
    <w:rsid w:val="004651C3"/>
    <w:rsid w:val="00465C0B"/>
    <w:rsid w:val="0046622D"/>
    <w:rsid w:val="00466527"/>
    <w:rsid w:val="004668AE"/>
    <w:rsid w:val="00467773"/>
    <w:rsid w:val="004679D3"/>
    <w:rsid w:val="00467EC1"/>
    <w:rsid w:val="0047040A"/>
    <w:rsid w:val="00472ADB"/>
    <w:rsid w:val="00473394"/>
    <w:rsid w:val="00473E8A"/>
    <w:rsid w:val="004740F4"/>
    <w:rsid w:val="004749CE"/>
    <w:rsid w:val="00476616"/>
    <w:rsid w:val="004773B1"/>
    <w:rsid w:val="0047797F"/>
    <w:rsid w:val="00480132"/>
    <w:rsid w:val="00480B99"/>
    <w:rsid w:val="004810D8"/>
    <w:rsid w:val="0048135F"/>
    <w:rsid w:val="00481CA3"/>
    <w:rsid w:val="00481D59"/>
    <w:rsid w:val="004823EA"/>
    <w:rsid w:val="004827DA"/>
    <w:rsid w:val="00482ECA"/>
    <w:rsid w:val="004830A4"/>
    <w:rsid w:val="00483514"/>
    <w:rsid w:val="00483EF4"/>
    <w:rsid w:val="004841BD"/>
    <w:rsid w:val="00484404"/>
    <w:rsid w:val="004844FD"/>
    <w:rsid w:val="00484FFA"/>
    <w:rsid w:val="00485CD3"/>
    <w:rsid w:val="00486469"/>
    <w:rsid w:val="00486522"/>
    <w:rsid w:val="00486B3B"/>
    <w:rsid w:val="00490082"/>
    <w:rsid w:val="00491089"/>
    <w:rsid w:val="0049114D"/>
    <w:rsid w:val="00491862"/>
    <w:rsid w:val="00491C8A"/>
    <w:rsid w:val="004921F0"/>
    <w:rsid w:val="00493375"/>
    <w:rsid w:val="00493447"/>
    <w:rsid w:val="004943D5"/>
    <w:rsid w:val="00494F2A"/>
    <w:rsid w:val="00495AF5"/>
    <w:rsid w:val="004969CE"/>
    <w:rsid w:val="00496E33"/>
    <w:rsid w:val="00496F53"/>
    <w:rsid w:val="00497B31"/>
    <w:rsid w:val="004A0B2C"/>
    <w:rsid w:val="004A1A99"/>
    <w:rsid w:val="004A1EE4"/>
    <w:rsid w:val="004A21BE"/>
    <w:rsid w:val="004A2406"/>
    <w:rsid w:val="004A2FC3"/>
    <w:rsid w:val="004A31EE"/>
    <w:rsid w:val="004A3EC7"/>
    <w:rsid w:val="004A459E"/>
    <w:rsid w:val="004A5BD8"/>
    <w:rsid w:val="004A5F1B"/>
    <w:rsid w:val="004A761D"/>
    <w:rsid w:val="004A767C"/>
    <w:rsid w:val="004B11FD"/>
    <w:rsid w:val="004B2098"/>
    <w:rsid w:val="004B2AEA"/>
    <w:rsid w:val="004B32A0"/>
    <w:rsid w:val="004B388D"/>
    <w:rsid w:val="004B3A3F"/>
    <w:rsid w:val="004B447A"/>
    <w:rsid w:val="004B4D2B"/>
    <w:rsid w:val="004B70FE"/>
    <w:rsid w:val="004B768B"/>
    <w:rsid w:val="004C01F2"/>
    <w:rsid w:val="004C07B3"/>
    <w:rsid w:val="004C08D5"/>
    <w:rsid w:val="004C09DF"/>
    <w:rsid w:val="004C0B76"/>
    <w:rsid w:val="004C10CA"/>
    <w:rsid w:val="004C1201"/>
    <w:rsid w:val="004C1AD8"/>
    <w:rsid w:val="004C2134"/>
    <w:rsid w:val="004C4B52"/>
    <w:rsid w:val="004C5077"/>
    <w:rsid w:val="004C604B"/>
    <w:rsid w:val="004C6836"/>
    <w:rsid w:val="004C6ABC"/>
    <w:rsid w:val="004C7A5A"/>
    <w:rsid w:val="004D05AF"/>
    <w:rsid w:val="004D0959"/>
    <w:rsid w:val="004D21D1"/>
    <w:rsid w:val="004D272A"/>
    <w:rsid w:val="004D2B11"/>
    <w:rsid w:val="004D2B3F"/>
    <w:rsid w:val="004D2C04"/>
    <w:rsid w:val="004D4A88"/>
    <w:rsid w:val="004D5085"/>
    <w:rsid w:val="004D69F1"/>
    <w:rsid w:val="004E0044"/>
    <w:rsid w:val="004E2129"/>
    <w:rsid w:val="004E2146"/>
    <w:rsid w:val="004E3868"/>
    <w:rsid w:val="004E4026"/>
    <w:rsid w:val="004E42A8"/>
    <w:rsid w:val="004E54DD"/>
    <w:rsid w:val="004E5DA0"/>
    <w:rsid w:val="004E6A6B"/>
    <w:rsid w:val="004E7367"/>
    <w:rsid w:val="004E7E3E"/>
    <w:rsid w:val="004F0273"/>
    <w:rsid w:val="004F16B9"/>
    <w:rsid w:val="004F1892"/>
    <w:rsid w:val="004F1FAA"/>
    <w:rsid w:val="004F37FA"/>
    <w:rsid w:val="004F395E"/>
    <w:rsid w:val="004F49AA"/>
    <w:rsid w:val="004F4B29"/>
    <w:rsid w:val="004F5D5D"/>
    <w:rsid w:val="004F5ECF"/>
    <w:rsid w:val="00501044"/>
    <w:rsid w:val="00501BAE"/>
    <w:rsid w:val="00502993"/>
    <w:rsid w:val="00502E84"/>
    <w:rsid w:val="005048F3"/>
    <w:rsid w:val="005052A6"/>
    <w:rsid w:val="005056E2"/>
    <w:rsid w:val="00505760"/>
    <w:rsid w:val="005059BA"/>
    <w:rsid w:val="00505CE8"/>
    <w:rsid w:val="005060BF"/>
    <w:rsid w:val="00507311"/>
    <w:rsid w:val="005073F2"/>
    <w:rsid w:val="00507C4D"/>
    <w:rsid w:val="00507EDC"/>
    <w:rsid w:val="00510885"/>
    <w:rsid w:val="00510B2E"/>
    <w:rsid w:val="00511004"/>
    <w:rsid w:val="00512706"/>
    <w:rsid w:val="00512FCA"/>
    <w:rsid w:val="005133A0"/>
    <w:rsid w:val="005139C8"/>
    <w:rsid w:val="00515297"/>
    <w:rsid w:val="005161C3"/>
    <w:rsid w:val="0051656D"/>
    <w:rsid w:val="00520F31"/>
    <w:rsid w:val="00521C52"/>
    <w:rsid w:val="00521CFB"/>
    <w:rsid w:val="00522A87"/>
    <w:rsid w:val="00522D6C"/>
    <w:rsid w:val="00523073"/>
    <w:rsid w:val="0052342A"/>
    <w:rsid w:val="00525359"/>
    <w:rsid w:val="00525450"/>
    <w:rsid w:val="00525E80"/>
    <w:rsid w:val="005263BC"/>
    <w:rsid w:val="00526A75"/>
    <w:rsid w:val="00526BFA"/>
    <w:rsid w:val="005270AA"/>
    <w:rsid w:val="005272E4"/>
    <w:rsid w:val="005316E5"/>
    <w:rsid w:val="00531FB6"/>
    <w:rsid w:val="0053234B"/>
    <w:rsid w:val="005333CB"/>
    <w:rsid w:val="0053374A"/>
    <w:rsid w:val="00533E20"/>
    <w:rsid w:val="00535FD5"/>
    <w:rsid w:val="005360F2"/>
    <w:rsid w:val="00536367"/>
    <w:rsid w:val="00536892"/>
    <w:rsid w:val="00540A8A"/>
    <w:rsid w:val="00540F18"/>
    <w:rsid w:val="00541126"/>
    <w:rsid w:val="0054171F"/>
    <w:rsid w:val="00541B34"/>
    <w:rsid w:val="00541D13"/>
    <w:rsid w:val="00541DDD"/>
    <w:rsid w:val="00542637"/>
    <w:rsid w:val="00543651"/>
    <w:rsid w:val="00544427"/>
    <w:rsid w:val="005449C5"/>
    <w:rsid w:val="00546341"/>
    <w:rsid w:val="00547116"/>
    <w:rsid w:val="005479A9"/>
    <w:rsid w:val="0055150F"/>
    <w:rsid w:val="0055152B"/>
    <w:rsid w:val="00554E31"/>
    <w:rsid w:val="00556151"/>
    <w:rsid w:val="005562EB"/>
    <w:rsid w:val="005563B8"/>
    <w:rsid w:val="00556F17"/>
    <w:rsid w:val="00557524"/>
    <w:rsid w:val="005607E3"/>
    <w:rsid w:val="00560931"/>
    <w:rsid w:val="0056101B"/>
    <w:rsid w:val="00561ABD"/>
    <w:rsid w:val="00562446"/>
    <w:rsid w:val="00563819"/>
    <w:rsid w:val="005639EC"/>
    <w:rsid w:val="00564338"/>
    <w:rsid w:val="00564404"/>
    <w:rsid w:val="00566F0E"/>
    <w:rsid w:val="00567C07"/>
    <w:rsid w:val="00567FB3"/>
    <w:rsid w:val="005702A8"/>
    <w:rsid w:val="0057061F"/>
    <w:rsid w:val="00571759"/>
    <w:rsid w:val="00572681"/>
    <w:rsid w:val="005728FF"/>
    <w:rsid w:val="00572DA4"/>
    <w:rsid w:val="00573814"/>
    <w:rsid w:val="00574EA5"/>
    <w:rsid w:val="00576111"/>
    <w:rsid w:val="00577018"/>
    <w:rsid w:val="0057770E"/>
    <w:rsid w:val="005779AC"/>
    <w:rsid w:val="00580F54"/>
    <w:rsid w:val="00581076"/>
    <w:rsid w:val="005826B6"/>
    <w:rsid w:val="0058301B"/>
    <w:rsid w:val="0058306E"/>
    <w:rsid w:val="005835C8"/>
    <w:rsid w:val="005837D6"/>
    <w:rsid w:val="00583E16"/>
    <w:rsid w:val="00583E65"/>
    <w:rsid w:val="00584296"/>
    <w:rsid w:val="005845B4"/>
    <w:rsid w:val="00584819"/>
    <w:rsid w:val="005852D1"/>
    <w:rsid w:val="0058682B"/>
    <w:rsid w:val="005869FB"/>
    <w:rsid w:val="005871A1"/>
    <w:rsid w:val="005877D5"/>
    <w:rsid w:val="00587AB4"/>
    <w:rsid w:val="00587B04"/>
    <w:rsid w:val="00587BC4"/>
    <w:rsid w:val="00587F70"/>
    <w:rsid w:val="0059286A"/>
    <w:rsid w:val="005934BC"/>
    <w:rsid w:val="00594FE7"/>
    <w:rsid w:val="005951F5"/>
    <w:rsid w:val="00596DAB"/>
    <w:rsid w:val="00597D7F"/>
    <w:rsid w:val="005A076E"/>
    <w:rsid w:val="005A19B3"/>
    <w:rsid w:val="005A1BC7"/>
    <w:rsid w:val="005A1CD2"/>
    <w:rsid w:val="005A25CF"/>
    <w:rsid w:val="005A43DA"/>
    <w:rsid w:val="005A4B7C"/>
    <w:rsid w:val="005A542B"/>
    <w:rsid w:val="005A71D4"/>
    <w:rsid w:val="005A71FC"/>
    <w:rsid w:val="005A7237"/>
    <w:rsid w:val="005A77E6"/>
    <w:rsid w:val="005B2955"/>
    <w:rsid w:val="005B3496"/>
    <w:rsid w:val="005B3829"/>
    <w:rsid w:val="005B40AF"/>
    <w:rsid w:val="005B44EC"/>
    <w:rsid w:val="005B4AAC"/>
    <w:rsid w:val="005B4F36"/>
    <w:rsid w:val="005B5510"/>
    <w:rsid w:val="005B64FE"/>
    <w:rsid w:val="005B6AFE"/>
    <w:rsid w:val="005B6C1B"/>
    <w:rsid w:val="005B6F50"/>
    <w:rsid w:val="005C0F6B"/>
    <w:rsid w:val="005C1FA5"/>
    <w:rsid w:val="005C2E4C"/>
    <w:rsid w:val="005C447C"/>
    <w:rsid w:val="005C500E"/>
    <w:rsid w:val="005C5359"/>
    <w:rsid w:val="005C639E"/>
    <w:rsid w:val="005C6EEB"/>
    <w:rsid w:val="005C7F03"/>
    <w:rsid w:val="005D0080"/>
    <w:rsid w:val="005D0202"/>
    <w:rsid w:val="005D072A"/>
    <w:rsid w:val="005D12A9"/>
    <w:rsid w:val="005D168B"/>
    <w:rsid w:val="005D3351"/>
    <w:rsid w:val="005D335E"/>
    <w:rsid w:val="005D34B1"/>
    <w:rsid w:val="005D3F3C"/>
    <w:rsid w:val="005D4AFF"/>
    <w:rsid w:val="005D5ACE"/>
    <w:rsid w:val="005D6D83"/>
    <w:rsid w:val="005D72A0"/>
    <w:rsid w:val="005D76BF"/>
    <w:rsid w:val="005D789F"/>
    <w:rsid w:val="005E04BA"/>
    <w:rsid w:val="005E1797"/>
    <w:rsid w:val="005E2032"/>
    <w:rsid w:val="005E3071"/>
    <w:rsid w:val="005E4327"/>
    <w:rsid w:val="005E4D8E"/>
    <w:rsid w:val="005E59E8"/>
    <w:rsid w:val="005E5DC6"/>
    <w:rsid w:val="005E6175"/>
    <w:rsid w:val="005E71EA"/>
    <w:rsid w:val="005F0004"/>
    <w:rsid w:val="005F0FC2"/>
    <w:rsid w:val="005F1A88"/>
    <w:rsid w:val="005F1C6C"/>
    <w:rsid w:val="005F1FFB"/>
    <w:rsid w:val="005F40CB"/>
    <w:rsid w:val="005F42F7"/>
    <w:rsid w:val="005F4B6E"/>
    <w:rsid w:val="005F5113"/>
    <w:rsid w:val="005F7EC8"/>
    <w:rsid w:val="005F7F51"/>
    <w:rsid w:val="00600461"/>
    <w:rsid w:val="00600509"/>
    <w:rsid w:val="00600C7B"/>
    <w:rsid w:val="00601D32"/>
    <w:rsid w:val="00603674"/>
    <w:rsid w:val="00604BD3"/>
    <w:rsid w:val="0060565F"/>
    <w:rsid w:val="006071AF"/>
    <w:rsid w:val="00607607"/>
    <w:rsid w:val="00610B09"/>
    <w:rsid w:val="00610B38"/>
    <w:rsid w:val="0061155D"/>
    <w:rsid w:val="00612DBC"/>
    <w:rsid w:val="0061400D"/>
    <w:rsid w:val="006144F4"/>
    <w:rsid w:val="00614C2E"/>
    <w:rsid w:val="00615FCF"/>
    <w:rsid w:val="00616624"/>
    <w:rsid w:val="0062145E"/>
    <w:rsid w:val="00621824"/>
    <w:rsid w:val="00622299"/>
    <w:rsid w:val="0062312E"/>
    <w:rsid w:val="006239AE"/>
    <w:rsid w:val="006254DD"/>
    <w:rsid w:val="0062599A"/>
    <w:rsid w:val="00625AD7"/>
    <w:rsid w:val="0062673F"/>
    <w:rsid w:val="006268CC"/>
    <w:rsid w:val="00626AC3"/>
    <w:rsid w:val="00626D8E"/>
    <w:rsid w:val="006271A6"/>
    <w:rsid w:val="00627BE3"/>
    <w:rsid w:val="006309A2"/>
    <w:rsid w:val="00631312"/>
    <w:rsid w:val="00631C31"/>
    <w:rsid w:val="00633D6C"/>
    <w:rsid w:val="0063434A"/>
    <w:rsid w:val="0063657C"/>
    <w:rsid w:val="0063676D"/>
    <w:rsid w:val="006369B5"/>
    <w:rsid w:val="006374B3"/>
    <w:rsid w:val="006401F0"/>
    <w:rsid w:val="00641ECF"/>
    <w:rsid w:val="006421EB"/>
    <w:rsid w:val="0064243D"/>
    <w:rsid w:val="00643CBB"/>
    <w:rsid w:val="00645351"/>
    <w:rsid w:val="00645965"/>
    <w:rsid w:val="00645E5B"/>
    <w:rsid w:val="00645F9F"/>
    <w:rsid w:val="00646913"/>
    <w:rsid w:val="006469EB"/>
    <w:rsid w:val="00646D8D"/>
    <w:rsid w:val="00647A48"/>
    <w:rsid w:val="00647BF1"/>
    <w:rsid w:val="00651177"/>
    <w:rsid w:val="006518BC"/>
    <w:rsid w:val="00652049"/>
    <w:rsid w:val="00652BA3"/>
    <w:rsid w:val="006540DE"/>
    <w:rsid w:val="00654442"/>
    <w:rsid w:val="006551B0"/>
    <w:rsid w:val="00655362"/>
    <w:rsid w:val="00655641"/>
    <w:rsid w:val="006564A6"/>
    <w:rsid w:val="006573D8"/>
    <w:rsid w:val="006574A8"/>
    <w:rsid w:val="00657540"/>
    <w:rsid w:val="006576C2"/>
    <w:rsid w:val="006577CA"/>
    <w:rsid w:val="00657F54"/>
    <w:rsid w:val="00660640"/>
    <w:rsid w:val="00660C0A"/>
    <w:rsid w:val="00661490"/>
    <w:rsid w:val="00662258"/>
    <w:rsid w:val="006626A6"/>
    <w:rsid w:val="0066489D"/>
    <w:rsid w:val="006654A7"/>
    <w:rsid w:val="00671323"/>
    <w:rsid w:val="006717D2"/>
    <w:rsid w:val="006723BF"/>
    <w:rsid w:val="00672DD9"/>
    <w:rsid w:val="006735D0"/>
    <w:rsid w:val="00673C77"/>
    <w:rsid w:val="00676906"/>
    <w:rsid w:val="006769F6"/>
    <w:rsid w:val="00676F32"/>
    <w:rsid w:val="0067733B"/>
    <w:rsid w:val="0068064D"/>
    <w:rsid w:val="00680817"/>
    <w:rsid w:val="006831EF"/>
    <w:rsid w:val="00683217"/>
    <w:rsid w:val="006835EB"/>
    <w:rsid w:val="00684549"/>
    <w:rsid w:val="006845B6"/>
    <w:rsid w:val="00685067"/>
    <w:rsid w:val="006855EC"/>
    <w:rsid w:val="00685F12"/>
    <w:rsid w:val="00686632"/>
    <w:rsid w:val="00687BB0"/>
    <w:rsid w:val="00687F68"/>
    <w:rsid w:val="0069024A"/>
    <w:rsid w:val="0069232C"/>
    <w:rsid w:val="00692CA9"/>
    <w:rsid w:val="00695914"/>
    <w:rsid w:val="006963AC"/>
    <w:rsid w:val="00696B6B"/>
    <w:rsid w:val="00697247"/>
    <w:rsid w:val="006A099C"/>
    <w:rsid w:val="006A18BF"/>
    <w:rsid w:val="006A1A3E"/>
    <w:rsid w:val="006A1B2A"/>
    <w:rsid w:val="006A2490"/>
    <w:rsid w:val="006A26B6"/>
    <w:rsid w:val="006A497D"/>
    <w:rsid w:val="006A4EAA"/>
    <w:rsid w:val="006A7513"/>
    <w:rsid w:val="006B02C3"/>
    <w:rsid w:val="006B16AA"/>
    <w:rsid w:val="006B1D26"/>
    <w:rsid w:val="006B1F05"/>
    <w:rsid w:val="006B2841"/>
    <w:rsid w:val="006B31A4"/>
    <w:rsid w:val="006B4D17"/>
    <w:rsid w:val="006B5688"/>
    <w:rsid w:val="006B5708"/>
    <w:rsid w:val="006B7668"/>
    <w:rsid w:val="006B78AE"/>
    <w:rsid w:val="006B7ED9"/>
    <w:rsid w:val="006C07F3"/>
    <w:rsid w:val="006C135D"/>
    <w:rsid w:val="006C15BE"/>
    <w:rsid w:val="006C2516"/>
    <w:rsid w:val="006C2EF1"/>
    <w:rsid w:val="006C4386"/>
    <w:rsid w:val="006C4BFF"/>
    <w:rsid w:val="006C51F8"/>
    <w:rsid w:val="006C558B"/>
    <w:rsid w:val="006C59FB"/>
    <w:rsid w:val="006C680E"/>
    <w:rsid w:val="006C6C81"/>
    <w:rsid w:val="006C6D90"/>
    <w:rsid w:val="006C6DDD"/>
    <w:rsid w:val="006C7058"/>
    <w:rsid w:val="006C7460"/>
    <w:rsid w:val="006C7CC2"/>
    <w:rsid w:val="006D045A"/>
    <w:rsid w:val="006D1315"/>
    <w:rsid w:val="006D1AEF"/>
    <w:rsid w:val="006D1B1F"/>
    <w:rsid w:val="006D1D1F"/>
    <w:rsid w:val="006D1FB1"/>
    <w:rsid w:val="006D325F"/>
    <w:rsid w:val="006D3F31"/>
    <w:rsid w:val="006D4A3A"/>
    <w:rsid w:val="006D4B34"/>
    <w:rsid w:val="006D5683"/>
    <w:rsid w:val="006D60E4"/>
    <w:rsid w:val="006D6395"/>
    <w:rsid w:val="006D6655"/>
    <w:rsid w:val="006D66D1"/>
    <w:rsid w:val="006D6A2A"/>
    <w:rsid w:val="006D73F2"/>
    <w:rsid w:val="006E25B3"/>
    <w:rsid w:val="006E3185"/>
    <w:rsid w:val="006E32FB"/>
    <w:rsid w:val="006E3A09"/>
    <w:rsid w:val="006E3DB4"/>
    <w:rsid w:val="006E5BF0"/>
    <w:rsid w:val="006E5CE8"/>
    <w:rsid w:val="006E6A3F"/>
    <w:rsid w:val="006E7795"/>
    <w:rsid w:val="006E7F75"/>
    <w:rsid w:val="006F0434"/>
    <w:rsid w:val="006F0D35"/>
    <w:rsid w:val="006F155E"/>
    <w:rsid w:val="006F283D"/>
    <w:rsid w:val="006F2F8E"/>
    <w:rsid w:val="006F4256"/>
    <w:rsid w:val="006F4C18"/>
    <w:rsid w:val="006F5086"/>
    <w:rsid w:val="006F565D"/>
    <w:rsid w:val="006F5682"/>
    <w:rsid w:val="006F5A1E"/>
    <w:rsid w:val="006F6590"/>
    <w:rsid w:val="006F7DDF"/>
    <w:rsid w:val="007001CD"/>
    <w:rsid w:val="00700485"/>
    <w:rsid w:val="00700ACF"/>
    <w:rsid w:val="00702390"/>
    <w:rsid w:val="007025A3"/>
    <w:rsid w:val="00703354"/>
    <w:rsid w:val="00704260"/>
    <w:rsid w:val="007045E1"/>
    <w:rsid w:val="0070480B"/>
    <w:rsid w:val="00704977"/>
    <w:rsid w:val="00704FBA"/>
    <w:rsid w:val="007057F2"/>
    <w:rsid w:val="00706DBD"/>
    <w:rsid w:val="00707026"/>
    <w:rsid w:val="0071007E"/>
    <w:rsid w:val="007102C3"/>
    <w:rsid w:val="00710C6B"/>
    <w:rsid w:val="007118D1"/>
    <w:rsid w:val="00711FCD"/>
    <w:rsid w:val="00712332"/>
    <w:rsid w:val="007136E9"/>
    <w:rsid w:val="00713BC3"/>
    <w:rsid w:val="00714E0F"/>
    <w:rsid w:val="0071681F"/>
    <w:rsid w:val="00716DE7"/>
    <w:rsid w:val="00717580"/>
    <w:rsid w:val="007210EB"/>
    <w:rsid w:val="007221CA"/>
    <w:rsid w:val="0072248A"/>
    <w:rsid w:val="007233E8"/>
    <w:rsid w:val="007235C7"/>
    <w:rsid w:val="007235F8"/>
    <w:rsid w:val="007241D4"/>
    <w:rsid w:val="00724D53"/>
    <w:rsid w:val="007311A2"/>
    <w:rsid w:val="007314EE"/>
    <w:rsid w:val="00731E88"/>
    <w:rsid w:val="007322F3"/>
    <w:rsid w:val="0073232E"/>
    <w:rsid w:val="00733167"/>
    <w:rsid w:val="00734758"/>
    <w:rsid w:val="00735A3A"/>
    <w:rsid w:val="00735DB6"/>
    <w:rsid w:val="00735EE0"/>
    <w:rsid w:val="007367F0"/>
    <w:rsid w:val="007374A7"/>
    <w:rsid w:val="00737538"/>
    <w:rsid w:val="007400E7"/>
    <w:rsid w:val="007408F7"/>
    <w:rsid w:val="00740A3F"/>
    <w:rsid w:val="00741325"/>
    <w:rsid w:val="00741E6C"/>
    <w:rsid w:val="007436D4"/>
    <w:rsid w:val="0074377D"/>
    <w:rsid w:val="00744136"/>
    <w:rsid w:val="00744693"/>
    <w:rsid w:val="00744B2C"/>
    <w:rsid w:val="007451CE"/>
    <w:rsid w:val="00746222"/>
    <w:rsid w:val="0074671D"/>
    <w:rsid w:val="00746851"/>
    <w:rsid w:val="0074686B"/>
    <w:rsid w:val="007478B0"/>
    <w:rsid w:val="007501D0"/>
    <w:rsid w:val="00750DAD"/>
    <w:rsid w:val="00751BAD"/>
    <w:rsid w:val="00752628"/>
    <w:rsid w:val="00752940"/>
    <w:rsid w:val="00752E49"/>
    <w:rsid w:val="00754166"/>
    <w:rsid w:val="00754D88"/>
    <w:rsid w:val="00755E04"/>
    <w:rsid w:val="00756727"/>
    <w:rsid w:val="007578C6"/>
    <w:rsid w:val="007579F6"/>
    <w:rsid w:val="00757BC9"/>
    <w:rsid w:val="007609F7"/>
    <w:rsid w:val="0076189A"/>
    <w:rsid w:val="007630B8"/>
    <w:rsid w:val="00763DE5"/>
    <w:rsid w:val="007656FB"/>
    <w:rsid w:val="00765FA2"/>
    <w:rsid w:val="007666A0"/>
    <w:rsid w:val="00766DEA"/>
    <w:rsid w:val="00766F37"/>
    <w:rsid w:val="0076722F"/>
    <w:rsid w:val="00767662"/>
    <w:rsid w:val="007710ED"/>
    <w:rsid w:val="00771CB4"/>
    <w:rsid w:val="00773520"/>
    <w:rsid w:val="007736DD"/>
    <w:rsid w:val="00773DDB"/>
    <w:rsid w:val="00774A19"/>
    <w:rsid w:val="00774C2D"/>
    <w:rsid w:val="00775090"/>
    <w:rsid w:val="007764CE"/>
    <w:rsid w:val="007765CC"/>
    <w:rsid w:val="007765E8"/>
    <w:rsid w:val="0077748E"/>
    <w:rsid w:val="007776B5"/>
    <w:rsid w:val="00780DF8"/>
    <w:rsid w:val="00780F03"/>
    <w:rsid w:val="00781351"/>
    <w:rsid w:val="00782094"/>
    <w:rsid w:val="007821C8"/>
    <w:rsid w:val="0078276A"/>
    <w:rsid w:val="00782952"/>
    <w:rsid w:val="00782A4B"/>
    <w:rsid w:val="00782AF2"/>
    <w:rsid w:val="007838C2"/>
    <w:rsid w:val="00784229"/>
    <w:rsid w:val="00785B95"/>
    <w:rsid w:val="0078670D"/>
    <w:rsid w:val="0078792E"/>
    <w:rsid w:val="00787ACA"/>
    <w:rsid w:val="00787E11"/>
    <w:rsid w:val="0079049A"/>
    <w:rsid w:val="00791B2F"/>
    <w:rsid w:val="00791DD8"/>
    <w:rsid w:val="007934BA"/>
    <w:rsid w:val="00793646"/>
    <w:rsid w:val="00793F60"/>
    <w:rsid w:val="00794311"/>
    <w:rsid w:val="0079636E"/>
    <w:rsid w:val="00796D0C"/>
    <w:rsid w:val="007A19E1"/>
    <w:rsid w:val="007A3797"/>
    <w:rsid w:val="007A3897"/>
    <w:rsid w:val="007A3B16"/>
    <w:rsid w:val="007A4BEF"/>
    <w:rsid w:val="007A6572"/>
    <w:rsid w:val="007A70A8"/>
    <w:rsid w:val="007A750C"/>
    <w:rsid w:val="007A7F1B"/>
    <w:rsid w:val="007B029D"/>
    <w:rsid w:val="007B0E0D"/>
    <w:rsid w:val="007B14C4"/>
    <w:rsid w:val="007B17D6"/>
    <w:rsid w:val="007B1A76"/>
    <w:rsid w:val="007B2700"/>
    <w:rsid w:val="007B39AB"/>
    <w:rsid w:val="007B3ABB"/>
    <w:rsid w:val="007B3EDE"/>
    <w:rsid w:val="007B4A47"/>
    <w:rsid w:val="007B4D43"/>
    <w:rsid w:val="007B50D9"/>
    <w:rsid w:val="007B68A1"/>
    <w:rsid w:val="007B709F"/>
    <w:rsid w:val="007B7228"/>
    <w:rsid w:val="007C04E8"/>
    <w:rsid w:val="007C0942"/>
    <w:rsid w:val="007C182E"/>
    <w:rsid w:val="007C1C08"/>
    <w:rsid w:val="007C1FF9"/>
    <w:rsid w:val="007C23A5"/>
    <w:rsid w:val="007C23F4"/>
    <w:rsid w:val="007C2D81"/>
    <w:rsid w:val="007C69D1"/>
    <w:rsid w:val="007C6D20"/>
    <w:rsid w:val="007C6DF9"/>
    <w:rsid w:val="007C7700"/>
    <w:rsid w:val="007C78C0"/>
    <w:rsid w:val="007C7F6E"/>
    <w:rsid w:val="007D0597"/>
    <w:rsid w:val="007D05FA"/>
    <w:rsid w:val="007D08CE"/>
    <w:rsid w:val="007D17CC"/>
    <w:rsid w:val="007D1DA6"/>
    <w:rsid w:val="007D1EC8"/>
    <w:rsid w:val="007D20F7"/>
    <w:rsid w:val="007D21D6"/>
    <w:rsid w:val="007D26A5"/>
    <w:rsid w:val="007D3180"/>
    <w:rsid w:val="007D3277"/>
    <w:rsid w:val="007D3746"/>
    <w:rsid w:val="007D486C"/>
    <w:rsid w:val="007D5508"/>
    <w:rsid w:val="007D5D25"/>
    <w:rsid w:val="007D6284"/>
    <w:rsid w:val="007D63ED"/>
    <w:rsid w:val="007D644F"/>
    <w:rsid w:val="007D7035"/>
    <w:rsid w:val="007D73FD"/>
    <w:rsid w:val="007D796F"/>
    <w:rsid w:val="007E19BE"/>
    <w:rsid w:val="007E1DE4"/>
    <w:rsid w:val="007E3959"/>
    <w:rsid w:val="007E4BB1"/>
    <w:rsid w:val="007E59D1"/>
    <w:rsid w:val="007E6E9F"/>
    <w:rsid w:val="007E6EAF"/>
    <w:rsid w:val="007E7728"/>
    <w:rsid w:val="007E7F76"/>
    <w:rsid w:val="007F1385"/>
    <w:rsid w:val="007F2900"/>
    <w:rsid w:val="007F3BBC"/>
    <w:rsid w:val="007F3CBE"/>
    <w:rsid w:val="007F418C"/>
    <w:rsid w:val="007F4297"/>
    <w:rsid w:val="007F44DA"/>
    <w:rsid w:val="007F478E"/>
    <w:rsid w:val="007F47DE"/>
    <w:rsid w:val="007F4DD9"/>
    <w:rsid w:val="007F6371"/>
    <w:rsid w:val="007F659E"/>
    <w:rsid w:val="007F6985"/>
    <w:rsid w:val="007F69E1"/>
    <w:rsid w:val="007F6B8C"/>
    <w:rsid w:val="007F70DE"/>
    <w:rsid w:val="007F7249"/>
    <w:rsid w:val="008002B9"/>
    <w:rsid w:val="008003DE"/>
    <w:rsid w:val="0080073F"/>
    <w:rsid w:val="00801618"/>
    <w:rsid w:val="00801C18"/>
    <w:rsid w:val="00801D4E"/>
    <w:rsid w:val="00801DAB"/>
    <w:rsid w:val="00801FB2"/>
    <w:rsid w:val="008023DE"/>
    <w:rsid w:val="008111AF"/>
    <w:rsid w:val="008111F7"/>
    <w:rsid w:val="008115C1"/>
    <w:rsid w:val="00811E03"/>
    <w:rsid w:val="008134E0"/>
    <w:rsid w:val="00813D77"/>
    <w:rsid w:val="00814CB0"/>
    <w:rsid w:val="0081540F"/>
    <w:rsid w:val="008168EB"/>
    <w:rsid w:val="008169FE"/>
    <w:rsid w:val="0081764D"/>
    <w:rsid w:val="0082012F"/>
    <w:rsid w:val="0082042D"/>
    <w:rsid w:val="00820D33"/>
    <w:rsid w:val="00821267"/>
    <w:rsid w:val="0082158A"/>
    <w:rsid w:val="00821C45"/>
    <w:rsid w:val="00822C0C"/>
    <w:rsid w:val="00824FA1"/>
    <w:rsid w:val="0082515A"/>
    <w:rsid w:val="00825C91"/>
    <w:rsid w:val="0082623A"/>
    <w:rsid w:val="008272D3"/>
    <w:rsid w:val="0082764F"/>
    <w:rsid w:val="00830A61"/>
    <w:rsid w:val="00831403"/>
    <w:rsid w:val="0083184B"/>
    <w:rsid w:val="00832291"/>
    <w:rsid w:val="008329D6"/>
    <w:rsid w:val="00833240"/>
    <w:rsid w:val="00833544"/>
    <w:rsid w:val="00833890"/>
    <w:rsid w:val="00833C9C"/>
    <w:rsid w:val="00833F8F"/>
    <w:rsid w:val="00835010"/>
    <w:rsid w:val="008372B5"/>
    <w:rsid w:val="008379CD"/>
    <w:rsid w:val="00837BFB"/>
    <w:rsid w:val="00842973"/>
    <w:rsid w:val="00843449"/>
    <w:rsid w:val="008440F5"/>
    <w:rsid w:val="008453B5"/>
    <w:rsid w:val="00845652"/>
    <w:rsid w:val="008461E5"/>
    <w:rsid w:val="00851391"/>
    <w:rsid w:val="00852802"/>
    <w:rsid w:val="008528A6"/>
    <w:rsid w:val="0085372B"/>
    <w:rsid w:val="008548D8"/>
    <w:rsid w:val="00854E01"/>
    <w:rsid w:val="00855D27"/>
    <w:rsid w:val="008565AC"/>
    <w:rsid w:val="008602A4"/>
    <w:rsid w:val="0086039D"/>
    <w:rsid w:val="00860802"/>
    <w:rsid w:val="008622AB"/>
    <w:rsid w:val="0086232E"/>
    <w:rsid w:val="008641F3"/>
    <w:rsid w:val="00864334"/>
    <w:rsid w:val="008647C1"/>
    <w:rsid w:val="00865A84"/>
    <w:rsid w:val="0086635E"/>
    <w:rsid w:val="008667EB"/>
    <w:rsid w:val="00866C90"/>
    <w:rsid w:val="00867310"/>
    <w:rsid w:val="008675C7"/>
    <w:rsid w:val="00867685"/>
    <w:rsid w:val="00870E16"/>
    <w:rsid w:val="00871EE7"/>
    <w:rsid w:val="00872581"/>
    <w:rsid w:val="008727F5"/>
    <w:rsid w:val="00872A33"/>
    <w:rsid w:val="00874E8D"/>
    <w:rsid w:val="00875A8A"/>
    <w:rsid w:val="00876BC2"/>
    <w:rsid w:val="00877DC9"/>
    <w:rsid w:val="00877EB3"/>
    <w:rsid w:val="00880F4A"/>
    <w:rsid w:val="0088220D"/>
    <w:rsid w:val="00885742"/>
    <w:rsid w:val="00886A4B"/>
    <w:rsid w:val="00886F38"/>
    <w:rsid w:val="008877A4"/>
    <w:rsid w:val="00892FF3"/>
    <w:rsid w:val="00893FF4"/>
    <w:rsid w:val="0089447F"/>
    <w:rsid w:val="0089499C"/>
    <w:rsid w:val="008949EE"/>
    <w:rsid w:val="008954F3"/>
    <w:rsid w:val="00895F6C"/>
    <w:rsid w:val="00896C31"/>
    <w:rsid w:val="00896D48"/>
    <w:rsid w:val="008970D6"/>
    <w:rsid w:val="008A07FA"/>
    <w:rsid w:val="008A1AA0"/>
    <w:rsid w:val="008A27DF"/>
    <w:rsid w:val="008A28E7"/>
    <w:rsid w:val="008A3386"/>
    <w:rsid w:val="008A378C"/>
    <w:rsid w:val="008A4370"/>
    <w:rsid w:val="008A4E0A"/>
    <w:rsid w:val="008A59A2"/>
    <w:rsid w:val="008A5A01"/>
    <w:rsid w:val="008A616E"/>
    <w:rsid w:val="008B1721"/>
    <w:rsid w:val="008B1911"/>
    <w:rsid w:val="008B19A6"/>
    <w:rsid w:val="008B2486"/>
    <w:rsid w:val="008B2C9D"/>
    <w:rsid w:val="008B3845"/>
    <w:rsid w:val="008B4232"/>
    <w:rsid w:val="008B497D"/>
    <w:rsid w:val="008B49E2"/>
    <w:rsid w:val="008B729C"/>
    <w:rsid w:val="008C02A3"/>
    <w:rsid w:val="008C1CE9"/>
    <w:rsid w:val="008C1F1A"/>
    <w:rsid w:val="008C20B5"/>
    <w:rsid w:val="008C26E8"/>
    <w:rsid w:val="008C2BBD"/>
    <w:rsid w:val="008C3430"/>
    <w:rsid w:val="008C3FA7"/>
    <w:rsid w:val="008C4586"/>
    <w:rsid w:val="008C4CDB"/>
    <w:rsid w:val="008C4F03"/>
    <w:rsid w:val="008C5F28"/>
    <w:rsid w:val="008C72A0"/>
    <w:rsid w:val="008D0165"/>
    <w:rsid w:val="008D04F3"/>
    <w:rsid w:val="008D110C"/>
    <w:rsid w:val="008D12DD"/>
    <w:rsid w:val="008D419A"/>
    <w:rsid w:val="008D507F"/>
    <w:rsid w:val="008D6893"/>
    <w:rsid w:val="008D7C0A"/>
    <w:rsid w:val="008E040A"/>
    <w:rsid w:val="008E13AE"/>
    <w:rsid w:val="008E26F7"/>
    <w:rsid w:val="008E406F"/>
    <w:rsid w:val="008E483D"/>
    <w:rsid w:val="008E4914"/>
    <w:rsid w:val="008E4A75"/>
    <w:rsid w:val="008E4BBF"/>
    <w:rsid w:val="008E55C2"/>
    <w:rsid w:val="008E5942"/>
    <w:rsid w:val="008E6150"/>
    <w:rsid w:val="008E620E"/>
    <w:rsid w:val="008E6A78"/>
    <w:rsid w:val="008E6C1F"/>
    <w:rsid w:val="008E6FF9"/>
    <w:rsid w:val="008E7542"/>
    <w:rsid w:val="008F0601"/>
    <w:rsid w:val="008F0C82"/>
    <w:rsid w:val="008F19FA"/>
    <w:rsid w:val="008F344F"/>
    <w:rsid w:val="008F3BB8"/>
    <w:rsid w:val="008F413A"/>
    <w:rsid w:val="008F50B4"/>
    <w:rsid w:val="008F54DB"/>
    <w:rsid w:val="008F54E3"/>
    <w:rsid w:val="008F57E6"/>
    <w:rsid w:val="008F67DE"/>
    <w:rsid w:val="0090337B"/>
    <w:rsid w:val="0090374D"/>
    <w:rsid w:val="00904367"/>
    <w:rsid w:val="0090442E"/>
    <w:rsid w:val="0090485D"/>
    <w:rsid w:val="00904B24"/>
    <w:rsid w:val="00906466"/>
    <w:rsid w:val="00906E83"/>
    <w:rsid w:val="009075ED"/>
    <w:rsid w:val="00910B2F"/>
    <w:rsid w:val="0091241A"/>
    <w:rsid w:val="00913B69"/>
    <w:rsid w:val="0091465A"/>
    <w:rsid w:val="00914D9C"/>
    <w:rsid w:val="00914E2D"/>
    <w:rsid w:val="009159DD"/>
    <w:rsid w:val="00917600"/>
    <w:rsid w:val="00917779"/>
    <w:rsid w:val="009179F5"/>
    <w:rsid w:val="00920C20"/>
    <w:rsid w:val="00920CD1"/>
    <w:rsid w:val="0092148B"/>
    <w:rsid w:val="00922251"/>
    <w:rsid w:val="0092269D"/>
    <w:rsid w:val="00922B4B"/>
    <w:rsid w:val="0092313F"/>
    <w:rsid w:val="00923B47"/>
    <w:rsid w:val="00923F54"/>
    <w:rsid w:val="00924AD4"/>
    <w:rsid w:val="00925BF2"/>
    <w:rsid w:val="009266C4"/>
    <w:rsid w:val="00926996"/>
    <w:rsid w:val="0092758D"/>
    <w:rsid w:val="00927D2F"/>
    <w:rsid w:val="00930F2B"/>
    <w:rsid w:val="00931675"/>
    <w:rsid w:val="009318D0"/>
    <w:rsid w:val="009318F7"/>
    <w:rsid w:val="0093238C"/>
    <w:rsid w:val="00932539"/>
    <w:rsid w:val="009326ED"/>
    <w:rsid w:val="00933BDE"/>
    <w:rsid w:val="0093452A"/>
    <w:rsid w:val="009353BD"/>
    <w:rsid w:val="009377D2"/>
    <w:rsid w:val="00937990"/>
    <w:rsid w:val="00937C73"/>
    <w:rsid w:val="00941492"/>
    <w:rsid w:val="00942328"/>
    <w:rsid w:val="00942FF1"/>
    <w:rsid w:val="00943B81"/>
    <w:rsid w:val="00943F14"/>
    <w:rsid w:val="00944128"/>
    <w:rsid w:val="00944C0B"/>
    <w:rsid w:val="0094633A"/>
    <w:rsid w:val="0095087F"/>
    <w:rsid w:val="00950D3C"/>
    <w:rsid w:val="009518AB"/>
    <w:rsid w:val="009518F3"/>
    <w:rsid w:val="00951AD3"/>
    <w:rsid w:val="00951B16"/>
    <w:rsid w:val="00951D87"/>
    <w:rsid w:val="00952550"/>
    <w:rsid w:val="009543D8"/>
    <w:rsid w:val="0095633B"/>
    <w:rsid w:val="00957B3C"/>
    <w:rsid w:val="00960238"/>
    <w:rsid w:val="00960407"/>
    <w:rsid w:val="00961E84"/>
    <w:rsid w:val="009641CA"/>
    <w:rsid w:val="00964C4B"/>
    <w:rsid w:val="0096525F"/>
    <w:rsid w:val="0096682D"/>
    <w:rsid w:val="00966A1A"/>
    <w:rsid w:val="00966EE6"/>
    <w:rsid w:val="009673DD"/>
    <w:rsid w:val="009703D7"/>
    <w:rsid w:val="009714F2"/>
    <w:rsid w:val="00971EA4"/>
    <w:rsid w:val="009725D9"/>
    <w:rsid w:val="00973DA3"/>
    <w:rsid w:val="00973EE6"/>
    <w:rsid w:val="00974398"/>
    <w:rsid w:val="00974515"/>
    <w:rsid w:val="00974604"/>
    <w:rsid w:val="00974BBE"/>
    <w:rsid w:val="00976BC2"/>
    <w:rsid w:val="00977E51"/>
    <w:rsid w:val="00980237"/>
    <w:rsid w:val="0098065B"/>
    <w:rsid w:val="00980E65"/>
    <w:rsid w:val="00982DF5"/>
    <w:rsid w:val="009832A8"/>
    <w:rsid w:val="00983882"/>
    <w:rsid w:val="00983BB7"/>
    <w:rsid w:val="00984AF3"/>
    <w:rsid w:val="00985EF9"/>
    <w:rsid w:val="009863BC"/>
    <w:rsid w:val="009866BA"/>
    <w:rsid w:val="00986FFB"/>
    <w:rsid w:val="00990382"/>
    <w:rsid w:val="00990B11"/>
    <w:rsid w:val="0099108A"/>
    <w:rsid w:val="009922AF"/>
    <w:rsid w:val="0099436C"/>
    <w:rsid w:val="009948A8"/>
    <w:rsid w:val="00995B5F"/>
    <w:rsid w:val="00996608"/>
    <w:rsid w:val="00996779"/>
    <w:rsid w:val="009968C2"/>
    <w:rsid w:val="009976A2"/>
    <w:rsid w:val="009A11EB"/>
    <w:rsid w:val="009A1E1E"/>
    <w:rsid w:val="009A2461"/>
    <w:rsid w:val="009A3DFB"/>
    <w:rsid w:val="009A4C2F"/>
    <w:rsid w:val="009A5162"/>
    <w:rsid w:val="009A6D70"/>
    <w:rsid w:val="009A6FCD"/>
    <w:rsid w:val="009A7005"/>
    <w:rsid w:val="009A7FDC"/>
    <w:rsid w:val="009B0409"/>
    <w:rsid w:val="009B1863"/>
    <w:rsid w:val="009B1D77"/>
    <w:rsid w:val="009B2225"/>
    <w:rsid w:val="009B230C"/>
    <w:rsid w:val="009B2AAF"/>
    <w:rsid w:val="009B2E77"/>
    <w:rsid w:val="009B4457"/>
    <w:rsid w:val="009B6BBE"/>
    <w:rsid w:val="009B6FC2"/>
    <w:rsid w:val="009C0B0F"/>
    <w:rsid w:val="009C10AF"/>
    <w:rsid w:val="009C1246"/>
    <w:rsid w:val="009C128D"/>
    <w:rsid w:val="009C149A"/>
    <w:rsid w:val="009C18DF"/>
    <w:rsid w:val="009C29B6"/>
    <w:rsid w:val="009C3973"/>
    <w:rsid w:val="009C4008"/>
    <w:rsid w:val="009C439A"/>
    <w:rsid w:val="009C4842"/>
    <w:rsid w:val="009C486D"/>
    <w:rsid w:val="009C6C85"/>
    <w:rsid w:val="009D1428"/>
    <w:rsid w:val="009D3C14"/>
    <w:rsid w:val="009D4D5F"/>
    <w:rsid w:val="009D53D9"/>
    <w:rsid w:val="009D5D60"/>
    <w:rsid w:val="009D6CB7"/>
    <w:rsid w:val="009E029E"/>
    <w:rsid w:val="009E2393"/>
    <w:rsid w:val="009E3B60"/>
    <w:rsid w:val="009E3D6C"/>
    <w:rsid w:val="009E4222"/>
    <w:rsid w:val="009E5839"/>
    <w:rsid w:val="009E60BF"/>
    <w:rsid w:val="009E65A2"/>
    <w:rsid w:val="009E674A"/>
    <w:rsid w:val="009E783A"/>
    <w:rsid w:val="009E7DE0"/>
    <w:rsid w:val="009F045B"/>
    <w:rsid w:val="009F0872"/>
    <w:rsid w:val="009F0937"/>
    <w:rsid w:val="009F122D"/>
    <w:rsid w:val="009F1A3D"/>
    <w:rsid w:val="009F1D09"/>
    <w:rsid w:val="009F22F1"/>
    <w:rsid w:val="009F2813"/>
    <w:rsid w:val="009F3336"/>
    <w:rsid w:val="009F3DFB"/>
    <w:rsid w:val="009F3F7C"/>
    <w:rsid w:val="009F60A1"/>
    <w:rsid w:val="009F696E"/>
    <w:rsid w:val="009F6A35"/>
    <w:rsid w:val="00A03C6B"/>
    <w:rsid w:val="00A03FA6"/>
    <w:rsid w:val="00A051E6"/>
    <w:rsid w:val="00A054F9"/>
    <w:rsid w:val="00A054FF"/>
    <w:rsid w:val="00A05B79"/>
    <w:rsid w:val="00A10114"/>
    <w:rsid w:val="00A10AF0"/>
    <w:rsid w:val="00A114B4"/>
    <w:rsid w:val="00A126A1"/>
    <w:rsid w:val="00A13552"/>
    <w:rsid w:val="00A138A9"/>
    <w:rsid w:val="00A13F77"/>
    <w:rsid w:val="00A14126"/>
    <w:rsid w:val="00A14FED"/>
    <w:rsid w:val="00A167BE"/>
    <w:rsid w:val="00A17AEC"/>
    <w:rsid w:val="00A203EC"/>
    <w:rsid w:val="00A21E79"/>
    <w:rsid w:val="00A228F8"/>
    <w:rsid w:val="00A22C7D"/>
    <w:rsid w:val="00A230CE"/>
    <w:rsid w:val="00A2330C"/>
    <w:rsid w:val="00A23369"/>
    <w:rsid w:val="00A23908"/>
    <w:rsid w:val="00A23E5C"/>
    <w:rsid w:val="00A243DA"/>
    <w:rsid w:val="00A25369"/>
    <w:rsid w:val="00A25C94"/>
    <w:rsid w:val="00A25D7D"/>
    <w:rsid w:val="00A26404"/>
    <w:rsid w:val="00A26760"/>
    <w:rsid w:val="00A26D71"/>
    <w:rsid w:val="00A2706B"/>
    <w:rsid w:val="00A275A6"/>
    <w:rsid w:val="00A30708"/>
    <w:rsid w:val="00A30E3E"/>
    <w:rsid w:val="00A338DF"/>
    <w:rsid w:val="00A339C5"/>
    <w:rsid w:val="00A33A9A"/>
    <w:rsid w:val="00A34EF7"/>
    <w:rsid w:val="00A36415"/>
    <w:rsid w:val="00A36FDF"/>
    <w:rsid w:val="00A3782C"/>
    <w:rsid w:val="00A408CE"/>
    <w:rsid w:val="00A40E08"/>
    <w:rsid w:val="00A41DD7"/>
    <w:rsid w:val="00A42E49"/>
    <w:rsid w:val="00A4441D"/>
    <w:rsid w:val="00A45227"/>
    <w:rsid w:val="00A45629"/>
    <w:rsid w:val="00A460F6"/>
    <w:rsid w:val="00A462CB"/>
    <w:rsid w:val="00A46D5F"/>
    <w:rsid w:val="00A4742F"/>
    <w:rsid w:val="00A5044D"/>
    <w:rsid w:val="00A51F30"/>
    <w:rsid w:val="00A53305"/>
    <w:rsid w:val="00A53B18"/>
    <w:rsid w:val="00A5438C"/>
    <w:rsid w:val="00A548B4"/>
    <w:rsid w:val="00A552A2"/>
    <w:rsid w:val="00A55396"/>
    <w:rsid w:val="00A5548F"/>
    <w:rsid w:val="00A56356"/>
    <w:rsid w:val="00A56D01"/>
    <w:rsid w:val="00A57823"/>
    <w:rsid w:val="00A57CED"/>
    <w:rsid w:val="00A61399"/>
    <w:rsid w:val="00A61FF3"/>
    <w:rsid w:val="00A63B0B"/>
    <w:rsid w:val="00A64485"/>
    <w:rsid w:val="00A64558"/>
    <w:rsid w:val="00A64B42"/>
    <w:rsid w:val="00A64D0D"/>
    <w:rsid w:val="00A650B8"/>
    <w:rsid w:val="00A6777E"/>
    <w:rsid w:val="00A70D33"/>
    <w:rsid w:val="00A711B7"/>
    <w:rsid w:val="00A712DD"/>
    <w:rsid w:val="00A72AAC"/>
    <w:rsid w:val="00A731DF"/>
    <w:rsid w:val="00A73B77"/>
    <w:rsid w:val="00A809C6"/>
    <w:rsid w:val="00A81D3C"/>
    <w:rsid w:val="00A823D4"/>
    <w:rsid w:val="00A8268A"/>
    <w:rsid w:val="00A82E37"/>
    <w:rsid w:val="00A83236"/>
    <w:rsid w:val="00A8328E"/>
    <w:rsid w:val="00A83C38"/>
    <w:rsid w:val="00A84A37"/>
    <w:rsid w:val="00A86B3E"/>
    <w:rsid w:val="00A86C05"/>
    <w:rsid w:val="00A904D0"/>
    <w:rsid w:val="00A90AF2"/>
    <w:rsid w:val="00A90E21"/>
    <w:rsid w:val="00A91FF8"/>
    <w:rsid w:val="00A936EF"/>
    <w:rsid w:val="00A939FD"/>
    <w:rsid w:val="00A945C2"/>
    <w:rsid w:val="00A9495E"/>
    <w:rsid w:val="00A94DAD"/>
    <w:rsid w:val="00A95439"/>
    <w:rsid w:val="00A95BB7"/>
    <w:rsid w:val="00A967D5"/>
    <w:rsid w:val="00AA06F3"/>
    <w:rsid w:val="00AA1239"/>
    <w:rsid w:val="00AA1F17"/>
    <w:rsid w:val="00AA3168"/>
    <w:rsid w:val="00AA4A17"/>
    <w:rsid w:val="00AA6A29"/>
    <w:rsid w:val="00AA6FCB"/>
    <w:rsid w:val="00AA77FA"/>
    <w:rsid w:val="00AA7C18"/>
    <w:rsid w:val="00AA7D1D"/>
    <w:rsid w:val="00AB09C8"/>
    <w:rsid w:val="00AB1152"/>
    <w:rsid w:val="00AB14E0"/>
    <w:rsid w:val="00AB1ABC"/>
    <w:rsid w:val="00AB2351"/>
    <w:rsid w:val="00AB39B5"/>
    <w:rsid w:val="00AB4845"/>
    <w:rsid w:val="00AB4B63"/>
    <w:rsid w:val="00AB5518"/>
    <w:rsid w:val="00AB63D8"/>
    <w:rsid w:val="00AB63DB"/>
    <w:rsid w:val="00AB68EA"/>
    <w:rsid w:val="00AB6C39"/>
    <w:rsid w:val="00AB731E"/>
    <w:rsid w:val="00AB7612"/>
    <w:rsid w:val="00AB7783"/>
    <w:rsid w:val="00AB7AB4"/>
    <w:rsid w:val="00AC04AA"/>
    <w:rsid w:val="00AC0732"/>
    <w:rsid w:val="00AC17AA"/>
    <w:rsid w:val="00AC25BD"/>
    <w:rsid w:val="00AC3766"/>
    <w:rsid w:val="00AC3E15"/>
    <w:rsid w:val="00AC5876"/>
    <w:rsid w:val="00AC63DB"/>
    <w:rsid w:val="00AC6910"/>
    <w:rsid w:val="00AC6ADC"/>
    <w:rsid w:val="00AC6BE1"/>
    <w:rsid w:val="00AD019B"/>
    <w:rsid w:val="00AD03AE"/>
    <w:rsid w:val="00AD1819"/>
    <w:rsid w:val="00AD1CD5"/>
    <w:rsid w:val="00AD2445"/>
    <w:rsid w:val="00AD252C"/>
    <w:rsid w:val="00AD270C"/>
    <w:rsid w:val="00AD295F"/>
    <w:rsid w:val="00AD30E1"/>
    <w:rsid w:val="00AD3A76"/>
    <w:rsid w:val="00AD3B7E"/>
    <w:rsid w:val="00AD4378"/>
    <w:rsid w:val="00AD4571"/>
    <w:rsid w:val="00AD4AB3"/>
    <w:rsid w:val="00AD5037"/>
    <w:rsid w:val="00AD541D"/>
    <w:rsid w:val="00AD6528"/>
    <w:rsid w:val="00AD751C"/>
    <w:rsid w:val="00AD75DF"/>
    <w:rsid w:val="00AD79EF"/>
    <w:rsid w:val="00AE018D"/>
    <w:rsid w:val="00AE04D7"/>
    <w:rsid w:val="00AE1B55"/>
    <w:rsid w:val="00AE3EF8"/>
    <w:rsid w:val="00AE4CC8"/>
    <w:rsid w:val="00AE585E"/>
    <w:rsid w:val="00AE5FF6"/>
    <w:rsid w:val="00AE6AFE"/>
    <w:rsid w:val="00AE6B49"/>
    <w:rsid w:val="00AE73A2"/>
    <w:rsid w:val="00AE77F8"/>
    <w:rsid w:val="00AF0565"/>
    <w:rsid w:val="00AF135F"/>
    <w:rsid w:val="00AF2C99"/>
    <w:rsid w:val="00AF2F27"/>
    <w:rsid w:val="00AF320E"/>
    <w:rsid w:val="00AF4C89"/>
    <w:rsid w:val="00AF50DE"/>
    <w:rsid w:val="00AF56C8"/>
    <w:rsid w:val="00AF56FE"/>
    <w:rsid w:val="00AF73F8"/>
    <w:rsid w:val="00AF7E0A"/>
    <w:rsid w:val="00B00625"/>
    <w:rsid w:val="00B014AF"/>
    <w:rsid w:val="00B01DC7"/>
    <w:rsid w:val="00B02839"/>
    <w:rsid w:val="00B02D47"/>
    <w:rsid w:val="00B03332"/>
    <w:rsid w:val="00B05978"/>
    <w:rsid w:val="00B065AC"/>
    <w:rsid w:val="00B06C88"/>
    <w:rsid w:val="00B07F80"/>
    <w:rsid w:val="00B10801"/>
    <w:rsid w:val="00B10E63"/>
    <w:rsid w:val="00B11098"/>
    <w:rsid w:val="00B1212A"/>
    <w:rsid w:val="00B13A17"/>
    <w:rsid w:val="00B150F6"/>
    <w:rsid w:val="00B16270"/>
    <w:rsid w:val="00B17EC1"/>
    <w:rsid w:val="00B20092"/>
    <w:rsid w:val="00B203C5"/>
    <w:rsid w:val="00B20887"/>
    <w:rsid w:val="00B21375"/>
    <w:rsid w:val="00B23247"/>
    <w:rsid w:val="00B238D4"/>
    <w:rsid w:val="00B23AB1"/>
    <w:rsid w:val="00B23F06"/>
    <w:rsid w:val="00B24072"/>
    <w:rsid w:val="00B250AB"/>
    <w:rsid w:val="00B255C4"/>
    <w:rsid w:val="00B25927"/>
    <w:rsid w:val="00B3086A"/>
    <w:rsid w:val="00B32047"/>
    <w:rsid w:val="00B3209A"/>
    <w:rsid w:val="00B326D9"/>
    <w:rsid w:val="00B32F15"/>
    <w:rsid w:val="00B331B0"/>
    <w:rsid w:val="00B33290"/>
    <w:rsid w:val="00B3402B"/>
    <w:rsid w:val="00B34076"/>
    <w:rsid w:val="00B35161"/>
    <w:rsid w:val="00B3533D"/>
    <w:rsid w:val="00B35364"/>
    <w:rsid w:val="00B36A8C"/>
    <w:rsid w:val="00B36CB0"/>
    <w:rsid w:val="00B37267"/>
    <w:rsid w:val="00B3726E"/>
    <w:rsid w:val="00B37530"/>
    <w:rsid w:val="00B4010D"/>
    <w:rsid w:val="00B40350"/>
    <w:rsid w:val="00B40F02"/>
    <w:rsid w:val="00B41A46"/>
    <w:rsid w:val="00B4237E"/>
    <w:rsid w:val="00B43751"/>
    <w:rsid w:val="00B439CB"/>
    <w:rsid w:val="00B43B2C"/>
    <w:rsid w:val="00B44F5B"/>
    <w:rsid w:val="00B45D86"/>
    <w:rsid w:val="00B46E03"/>
    <w:rsid w:val="00B50FA8"/>
    <w:rsid w:val="00B51560"/>
    <w:rsid w:val="00B51687"/>
    <w:rsid w:val="00B5197E"/>
    <w:rsid w:val="00B51E25"/>
    <w:rsid w:val="00B51EFD"/>
    <w:rsid w:val="00B52938"/>
    <w:rsid w:val="00B52BEE"/>
    <w:rsid w:val="00B52C03"/>
    <w:rsid w:val="00B534AB"/>
    <w:rsid w:val="00B55C91"/>
    <w:rsid w:val="00B55D52"/>
    <w:rsid w:val="00B560A9"/>
    <w:rsid w:val="00B562F7"/>
    <w:rsid w:val="00B56A90"/>
    <w:rsid w:val="00B57797"/>
    <w:rsid w:val="00B60279"/>
    <w:rsid w:val="00B602C1"/>
    <w:rsid w:val="00B61134"/>
    <w:rsid w:val="00B61A7F"/>
    <w:rsid w:val="00B61BAF"/>
    <w:rsid w:val="00B62B91"/>
    <w:rsid w:val="00B62BB4"/>
    <w:rsid w:val="00B635AC"/>
    <w:rsid w:val="00B643DA"/>
    <w:rsid w:val="00B6497F"/>
    <w:rsid w:val="00B64F4B"/>
    <w:rsid w:val="00B65FFC"/>
    <w:rsid w:val="00B66121"/>
    <w:rsid w:val="00B670C8"/>
    <w:rsid w:val="00B6779E"/>
    <w:rsid w:val="00B67A23"/>
    <w:rsid w:val="00B7117E"/>
    <w:rsid w:val="00B718BB"/>
    <w:rsid w:val="00B73B3F"/>
    <w:rsid w:val="00B741C3"/>
    <w:rsid w:val="00B75261"/>
    <w:rsid w:val="00B7573D"/>
    <w:rsid w:val="00B75BE8"/>
    <w:rsid w:val="00B75D18"/>
    <w:rsid w:val="00B76650"/>
    <w:rsid w:val="00B770D4"/>
    <w:rsid w:val="00B77762"/>
    <w:rsid w:val="00B8015B"/>
    <w:rsid w:val="00B816F7"/>
    <w:rsid w:val="00B81B19"/>
    <w:rsid w:val="00B81ECD"/>
    <w:rsid w:val="00B82053"/>
    <w:rsid w:val="00B8293C"/>
    <w:rsid w:val="00B82A69"/>
    <w:rsid w:val="00B82B00"/>
    <w:rsid w:val="00B831E7"/>
    <w:rsid w:val="00B8328B"/>
    <w:rsid w:val="00B838B3"/>
    <w:rsid w:val="00B8461A"/>
    <w:rsid w:val="00B84925"/>
    <w:rsid w:val="00B84BDF"/>
    <w:rsid w:val="00B8577C"/>
    <w:rsid w:val="00B85AE7"/>
    <w:rsid w:val="00B869E1"/>
    <w:rsid w:val="00B86A3B"/>
    <w:rsid w:val="00B87AE1"/>
    <w:rsid w:val="00B87ED1"/>
    <w:rsid w:val="00B9130B"/>
    <w:rsid w:val="00B91B4F"/>
    <w:rsid w:val="00B91EF0"/>
    <w:rsid w:val="00B92243"/>
    <w:rsid w:val="00B96483"/>
    <w:rsid w:val="00B96AA8"/>
    <w:rsid w:val="00B97630"/>
    <w:rsid w:val="00BA12F7"/>
    <w:rsid w:val="00BA393F"/>
    <w:rsid w:val="00BA3A91"/>
    <w:rsid w:val="00BA3D14"/>
    <w:rsid w:val="00BA3E52"/>
    <w:rsid w:val="00BA6458"/>
    <w:rsid w:val="00BA6A9D"/>
    <w:rsid w:val="00BB01FE"/>
    <w:rsid w:val="00BB0875"/>
    <w:rsid w:val="00BB0E77"/>
    <w:rsid w:val="00BB1E26"/>
    <w:rsid w:val="00BB1FE9"/>
    <w:rsid w:val="00BB20F6"/>
    <w:rsid w:val="00BB23D7"/>
    <w:rsid w:val="00BB51D6"/>
    <w:rsid w:val="00BB5486"/>
    <w:rsid w:val="00BB6C44"/>
    <w:rsid w:val="00BB6FDE"/>
    <w:rsid w:val="00BB747F"/>
    <w:rsid w:val="00BC0235"/>
    <w:rsid w:val="00BC238D"/>
    <w:rsid w:val="00BC30AF"/>
    <w:rsid w:val="00BC4480"/>
    <w:rsid w:val="00BC48F6"/>
    <w:rsid w:val="00BC5081"/>
    <w:rsid w:val="00BC51CD"/>
    <w:rsid w:val="00BC53DA"/>
    <w:rsid w:val="00BC5D65"/>
    <w:rsid w:val="00BC61B6"/>
    <w:rsid w:val="00BC680B"/>
    <w:rsid w:val="00BD09AC"/>
    <w:rsid w:val="00BD132A"/>
    <w:rsid w:val="00BD14C3"/>
    <w:rsid w:val="00BD1666"/>
    <w:rsid w:val="00BD2502"/>
    <w:rsid w:val="00BD256B"/>
    <w:rsid w:val="00BD2F9E"/>
    <w:rsid w:val="00BD4239"/>
    <w:rsid w:val="00BD46CB"/>
    <w:rsid w:val="00BD47A9"/>
    <w:rsid w:val="00BD47EC"/>
    <w:rsid w:val="00BD5AB6"/>
    <w:rsid w:val="00BD5AFC"/>
    <w:rsid w:val="00BD5D85"/>
    <w:rsid w:val="00BD60F1"/>
    <w:rsid w:val="00BD694E"/>
    <w:rsid w:val="00BD6B16"/>
    <w:rsid w:val="00BD6C3D"/>
    <w:rsid w:val="00BD6CCF"/>
    <w:rsid w:val="00BD7C9F"/>
    <w:rsid w:val="00BD7CB9"/>
    <w:rsid w:val="00BE0DD2"/>
    <w:rsid w:val="00BE319C"/>
    <w:rsid w:val="00BE33C3"/>
    <w:rsid w:val="00BE3482"/>
    <w:rsid w:val="00BE3624"/>
    <w:rsid w:val="00BE36A6"/>
    <w:rsid w:val="00BE3F88"/>
    <w:rsid w:val="00BE4574"/>
    <w:rsid w:val="00BE4E43"/>
    <w:rsid w:val="00BE56C4"/>
    <w:rsid w:val="00BE60B2"/>
    <w:rsid w:val="00BE655A"/>
    <w:rsid w:val="00BE732F"/>
    <w:rsid w:val="00BE7AED"/>
    <w:rsid w:val="00BE7CC5"/>
    <w:rsid w:val="00BE7EBE"/>
    <w:rsid w:val="00BF13F9"/>
    <w:rsid w:val="00BF2EF4"/>
    <w:rsid w:val="00BF35B6"/>
    <w:rsid w:val="00BF36D8"/>
    <w:rsid w:val="00BF3DE0"/>
    <w:rsid w:val="00BF3E0F"/>
    <w:rsid w:val="00BF5A56"/>
    <w:rsid w:val="00BF5F76"/>
    <w:rsid w:val="00BF612C"/>
    <w:rsid w:val="00BF6C3B"/>
    <w:rsid w:val="00BF6F2B"/>
    <w:rsid w:val="00BF740B"/>
    <w:rsid w:val="00BF78D5"/>
    <w:rsid w:val="00BF7D3E"/>
    <w:rsid w:val="00C0074E"/>
    <w:rsid w:val="00C00BE6"/>
    <w:rsid w:val="00C03110"/>
    <w:rsid w:val="00C03552"/>
    <w:rsid w:val="00C03F3A"/>
    <w:rsid w:val="00C0437F"/>
    <w:rsid w:val="00C043A2"/>
    <w:rsid w:val="00C04B50"/>
    <w:rsid w:val="00C050A8"/>
    <w:rsid w:val="00C05433"/>
    <w:rsid w:val="00C055C8"/>
    <w:rsid w:val="00C06BA4"/>
    <w:rsid w:val="00C078A8"/>
    <w:rsid w:val="00C1009A"/>
    <w:rsid w:val="00C103F0"/>
    <w:rsid w:val="00C10AB6"/>
    <w:rsid w:val="00C13080"/>
    <w:rsid w:val="00C133CF"/>
    <w:rsid w:val="00C15564"/>
    <w:rsid w:val="00C158B1"/>
    <w:rsid w:val="00C17C7F"/>
    <w:rsid w:val="00C21CCD"/>
    <w:rsid w:val="00C22B61"/>
    <w:rsid w:val="00C236BE"/>
    <w:rsid w:val="00C24D25"/>
    <w:rsid w:val="00C2546A"/>
    <w:rsid w:val="00C259D2"/>
    <w:rsid w:val="00C276BD"/>
    <w:rsid w:val="00C27729"/>
    <w:rsid w:val="00C27937"/>
    <w:rsid w:val="00C27B4A"/>
    <w:rsid w:val="00C27BA5"/>
    <w:rsid w:val="00C30105"/>
    <w:rsid w:val="00C305AD"/>
    <w:rsid w:val="00C3254D"/>
    <w:rsid w:val="00C32B0F"/>
    <w:rsid w:val="00C33143"/>
    <w:rsid w:val="00C3391A"/>
    <w:rsid w:val="00C340FB"/>
    <w:rsid w:val="00C347AC"/>
    <w:rsid w:val="00C34ED0"/>
    <w:rsid w:val="00C352D6"/>
    <w:rsid w:val="00C35743"/>
    <w:rsid w:val="00C36462"/>
    <w:rsid w:val="00C36CA8"/>
    <w:rsid w:val="00C37780"/>
    <w:rsid w:val="00C37DDE"/>
    <w:rsid w:val="00C40119"/>
    <w:rsid w:val="00C41803"/>
    <w:rsid w:val="00C41DAB"/>
    <w:rsid w:val="00C4208C"/>
    <w:rsid w:val="00C43E15"/>
    <w:rsid w:val="00C443C2"/>
    <w:rsid w:val="00C44651"/>
    <w:rsid w:val="00C448CD"/>
    <w:rsid w:val="00C4499C"/>
    <w:rsid w:val="00C44CF7"/>
    <w:rsid w:val="00C44D7A"/>
    <w:rsid w:val="00C46A50"/>
    <w:rsid w:val="00C46FD8"/>
    <w:rsid w:val="00C51782"/>
    <w:rsid w:val="00C530BB"/>
    <w:rsid w:val="00C531CB"/>
    <w:rsid w:val="00C531E9"/>
    <w:rsid w:val="00C53484"/>
    <w:rsid w:val="00C5490E"/>
    <w:rsid w:val="00C55647"/>
    <w:rsid w:val="00C57174"/>
    <w:rsid w:val="00C57506"/>
    <w:rsid w:val="00C57FDB"/>
    <w:rsid w:val="00C60A1E"/>
    <w:rsid w:val="00C632EE"/>
    <w:rsid w:val="00C641D7"/>
    <w:rsid w:val="00C65F2F"/>
    <w:rsid w:val="00C66599"/>
    <w:rsid w:val="00C6678B"/>
    <w:rsid w:val="00C678A0"/>
    <w:rsid w:val="00C71E8C"/>
    <w:rsid w:val="00C72F9A"/>
    <w:rsid w:val="00C73108"/>
    <w:rsid w:val="00C732F1"/>
    <w:rsid w:val="00C746E7"/>
    <w:rsid w:val="00C750D3"/>
    <w:rsid w:val="00C75612"/>
    <w:rsid w:val="00C76084"/>
    <w:rsid w:val="00C76388"/>
    <w:rsid w:val="00C767F5"/>
    <w:rsid w:val="00C76F57"/>
    <w:rsid w:val="00C76F95"/>
    <w:rsid w:val="00C77E6A"/>
    <w:rsid w:val="00C806F3"/>
    <w:rsid w:val="00C80C36"/>
    <w:rsid w:val="00C81A14"/>
    <w:rsid w:val="00C82039"/>
    <w:rsid w:val="00C82A6A"/>
    <w:rsid w:val="00C83EFF"/>
    <w:rsid w:val="00C84FBC"/>
    <w:rsid w:val="00C8527E"/>
    <w:rsid w:val="00C86171"/>
    <w:rsid w:val="00C86665"/>
    <w:rsid w:val="00C87562"/>
    <w:rsid w:val="00C87E45"/>
    <w:rsid w:val="00C90BA6"/>
    <w:rsid w:val="00C91FCE"/>
    <w:rsid w:val="00C92C92"/>
    <w:rsid w:val="00C95332"/>
    <w:rsid w:val="00C9567F"/>
    <w:rsid w:val="00C960F4"/>
    <w:rsid w:val="00C9642E"/>
    <w:rsid w:val="00C96AA8"/>
    <w:rsid w:val="00C96E09"/>
    <w:rsid w:val="00CA0038"/>
    <w:rsid w:val="00CA05B4"/>
    <w:rsid w:val="00CA0687"/>
    <w:rsid w:val="00CA072F"/>
    <w:rsid w:val="00CA19B5"/>
    <w:rsid w:val="00CA2B6C"/>
    <w:rsid w:val="00CA353C"/>
    <w:rsid w:val="00CA3665"/>
    <w:rsid w:val="00CA3988"/>
    <w:rsid w:val="00CA4E4B"/>
    <w:rsid w:val="00CA50C7"/>
    <w:rsid w:val="00CA5672"/>
    <w:rsid w:val="00CA5F92"/>
    <w:rsid w:val="00CA6178"/>
    <w:rsid w:val="00CA62B8"/>
    <w:rsid w:val="00CA65BA"/>
    <w:rsid w:val="00CA660A"/>
    <w:rsid w:val="00CA6CDA"/>
    <w:rsid w:val="00CA6D37"/>
    <w:rsid w:val="00CA755F"/>
    <w:rsid w:val="00CA78D1"/>
    <w:rsid w:val="00CB247B"/>
    <w:rsid w:val="00CB25A2"/>
    <w:rsid w:val="00CB2B6A"/>
    <w:rsid w:val="00CB3268"/>
    <w:rsid w:val="00CB3992"/>
    <w:rsid w:val="00CB3E39"/>
    <w:rsid w:val="00CB47A4"/>
    <w:rsid w:val="00CB5D0A"/>
    <w:rsid w:val="00CB6325"/>
    <w:rsid w:val="00CB6620"/>
    <w:rsid w:val="00CB6EDF"/>
    <w:rsid w:val="00CB7C98"/>
    <w:rsid w:val="00CC00E1"/>
    <w:rsid w:val="00CC1450"/>
    <w:rsid w:val="00CC3314"/>
    <w:rsid w:val="00CC3774"/>
    <w:rsid w:val="00CC3EDA"/>
    <w:rsid w:val="00CC498B"/>
    <w:rsid w:val="00CC4DF1"/>
    <w:rsid w:val="00CC6139"/>
    <w:rsid w:val="00CC6720"/>
    <w:rsid w:val="00CC73B2"/>
    <w:rsid w:val="00CC7D54"/>
    <w:rsid w:val="00CD1027"/>
    <w:rsid w:val="00CD138A"/>
    <w:rsid w:val="00CD155A"/>
    <w:rsid w:val="00CD2183"/>
    <w:rsid w:val="00CD3091"/>
    <w:rsid w:val="00CD3593"/>
    <w:rsid w:val="00CD383E"/>
    <w:rsid w:val="00CD3A3B"/>
    <w:rsid w:val="00CD5466"/>
    <w:rsid w:val="00CD5E62"/>
    <w:rsid w:val="00CD6BE1"/>
    <w:rsid w:val="00CE089B"/>
    <w:rsid w:val="00CE26C1"/>
    <w:rsid w:val="00CE324F"/>
    <w:rsid w:val="00CE34F1"/>
    <w:rsid w:val="00CE39B7"/>
    <w:rsid w:val="00CE4066"/>
    <w:rsid w:val="00CE452A"/>
    <w:rsid w:val="00CE5208"/>
    <w:rsid w:val="00CE593E"/>
    <w:rsid w:val="00CE5B4C"/>
    <w:rsid w:val="00CE6119"/>
    <w:rsid w:val="00CE64DA"/>
    <w:rsid w:val="00CE6BE9"/>
    <w:rsid w:val="00CE73B6"/>
    <w:rsid w:val="00CE765D"/>
    <w:rsid w:val="00CE7816"/>
    <w:rsid w:val="00CF0289"/>
    <w:rsid w:val="00CF1496"/>
    <w:rsid w:val="00CF1939"/>
    <w:rsid w:val="00CF1CFD"/>
    <w:rsid w:val="00CF2128"/>
    <w:rsid w:val="00CF22F8"/>
    <w:rsid w:val="00CF2457"/>
    <w:rsid w:val="00CF358C"/>
    <w:rsid w:val="00CF4B8A"/>
    <w:rsid w:val="00CF5154"/>
    <w:rsid w:val="00CF5765"/>
    <w:rsid w:val="00CF6D95"/>
    <w:rsid w:val="00CF6F38"/>
    <w:rsid w:val="00CF79E1"/>
    <w:rsid w:val="00D004C8"/>
    <w:rsid w:val="00D0100B"/>
    <w:rsid w:val="00D0143E"/>
    <w:rsid w:val="00D0158E"/>
    <w:rsid w:val="00D02AB0"/>
    <w:rsid w:val="00D0372B"/>
    <w:rsid w:val="00D03B55"/>
    <w:rsid w:val="00D03E9C"/>
    <w:rsid w:val="00D04808"/>
    <w:rsid w:val="00D049D8"/>
    <w:rsid w:val="00D053E8"/>
    <w:rsid w:val="00D054AB"/>
    <w:rsid w:val="00D068A4"/>
    <w:rsid w:val="00D07BDA"/>
    <w:rsid w:val="00D07D70"/>
    <w:rsid w:val="00D12AA9"/>
    <w:rsid w:val="00D12E9D"/>
    <w:rsid w:val="00D148AE"/>
    <w:rsid w:val="00D1491B"/>
    <w:rsid w:val="00D14A5F"/>
    <w:rsid w:val="00D14B81"/>
    <w:rsid w:val="00D14ECC"/>
    <w:rsid w:val="00D164CB"/>
    <w:rsid w:val="00D164E3"/>
    <w:rsid w:val="00D16A8D"/>
    <w:rsid w:val="00D17017"/>
    <w:rsid w:val="00D20976"/>
    <w:rsid w:val="00D20FC3"/>
    <w:rsid w:val="00D21060"/>
    <w:rsid w:val="00D21BBB"/>
    <w:rsid w:val="00D232FA"/>
    <w:rsid w:val="00D236E5"/>
    <w:rsid w:val="00D24672"/>
    <w:rsid w:val="00D246D5"/>
    <w:rsid w:val="00D2564C"/>
    <w:rsid w:val="00D27C75"/>
    <w:rsid w:val="00D320DA"/>
    <w:rsid w:val="00D3351F"/>
    <w:rsid w:val="00D3373A"/>
    <w:rsid w:val="00D3377C"/>
    <w:rsid w:val="00D35E9C"/>
    <w:rsid w:val="00D36B1A"/>
    <w:rsid w:val="00D36E35"/>
    <w:rsid w:val="00D4064A"/>
    <w:rsid w:val="00D40F80"/>
    <w:rsid w:val="00D417C6"/>
    <w:rsid w:val="00D422E3"/>
    <w:rsid w:val="00D42311"/>
    <w:rsid w:val="00D42374"/>
    <w:rsid w:val="00D44AFA"/>
    <w:rsid w:val="00D46EF8"/>
    <w:rsid w:val="00D46F2B"/>
    <w:rsid w:val="00D47F6B"/>
    <w:rsid w:val="00D505BA"/>
    <w:rsid w:val="00D514E0"/>
    <w:rsid w:val="00D51668"/>
    <w:rsid w:val="00D531A0"/>
    <w:rsid w:val="00D53E0C"/>
    <w:rsid w:val="00D54D0A"/>
    <w:rsid w:val="00D55120"/>
    <w:rsid w:val="00D56412"/>
    <w:rsid w:val="00D56C3B"/>
    <w:rsid w:val="00D56F38"/>
    <w:rsid w:val="00D6082C"/>
    <w:rsid w:val="00D61C3B"/>
    <w:rsid w:val="00D61C8F"/>
    <w:rsid w:val="00D6210E"/>
    <w:rsid w:val="00D62658"/>
    <w:rsid w:val="00D6419B"/>
    <w:rsid w:val="00D641C4"/>
    <w:rsid w:val="00D643AD"/>
    <w:rsid w:val="00D64B5D"/>
    <w:rsid w:val="00D6512A"/>
    <w:rsid w:val="00D67BAF"/>
    <w:rsid w:val="00D67BB8"/>
    <w:rsid w:val="00D7247D"/>
    <w:rsid w:val="00D7261C"/>
    <w:rsid w:val="00D738E2"/>
    <w:rsid w:val="00D7493A"/>
    <w:rsid w:val="00D74F83"/>
    <w:rsid w:val="00D76150"/>
    <w:rsid w:val="00D765D6"/>
    <w:rsid w:val="00D76C98"/>
    <w:rsid w:val="00D772C5"/>
    <w:rsid w:val="00D80466"/>
    <w:rsid w:val="00D8151E"/>
    <w:rsid w:val="00D8280E"/>
    <w:rsid w:val="00D82A87"/>
    <w:rsid w:val="00D82CEA"/>
    <w:rsid w:val="00D83054"/>
    <w:rsid w:val="00D8379B"/>
    <w:rsid w:val="00D858AC"/>
    <w:rsid w:val="00D86DB3"/>
    <w:rsid w:val="00D86F59"/>
    <w:rsid w:val="00D87AB1"/>
    <w:rsid w:val="00D87E1B"/>
    <w:rsid w:val="00D9016B"/>
    <w:rsid w:val="00D9122E"/>
    <w:rsid w:val="00D9186F"/>
    <w:rsid w:val="00D91F18"/>
    <w:rsid w:val="00D92143"/>
    <w:rsid w:val="00D92390"/>
    <w:rsid w:val="00D92D52"/>
    <w:rsid w:val="00D9333C"/>
    <w:rsid w:val="00D93601"/>
    <w:rsid w:val="00D93B6A"/>
    <w:rsid w:val="00D96A31"/>
    <w:rsid w:val="00D96CF8"/>
    <w:rsid w:val="00D972C8"/>
    <w:rsid w:val="00D972E6"/>
    <w:rsid w:val="00D97D2E"/>
    <w:rsid w:val="00DA032F"/>
    <w:rsid w:val="00DA1529"/>
    <w:rsid w:val="00DA1F7A"/>
    <w:rsid w:val="00DA24EB"/>
    <w:rsid w:val="00DA31F3"/>
    <w:rsid w:val="00DA3644"/>
    <w:rsid w:val="00DA4191"/>
    <w:rsid w:val="00DA46D2"/>
    <w:rsid w:val="00DA63B7"/>
    <w:rsid w:val="00DA652F"/>
    <w:rsid w:val="00DA6682"/>
    <w:rsid w:val="00DA6B31"/>
    <w:rsid w:val="00DA7221"/>
    <w:rsid w:val="00DA785A"/>
    <w:rsid w:val="00DA7CC5"/>
    <w:rsid w:val="00DB060F"/>
    <w:rsid w:val="00DB1CF1"/>
    <w:rsid w:val="00DB1DED"/>
    <w:rsid w:val="00DB2A4F"/>
    <w:rsid w:val="00DB474B"/>
    <w:rsid w:val="00DB4E15"/>
    <w:rsid w:val="00DB62A6"/>
    <w:rsid w:val="00DB658B"/>
    <w:rsid w:val="00DB685F"/>
    <w:rsid w:val="00DB7AB8"/>
    <w:rsid w:val="00DC14A6"/>
    <w:rsid w:val="00DC16FB"/>
    <w:rsid w:val="00DC1E63"/>
    <w:rsid w:val="00DC212A"/>
    <w:rsid w:val="00DC2379"/>
    <w:rsid w:val="00DC23A1"/>
    <w:rsid w:val="00DC25F9"/>
    <w:rsid w:val="00DC52C8"/>
    <w:rsid w:val="00DC60F6"/>
    <w:rsid w:val="00DC6957"/>
    <w:rsid w:val="00DC6DB9"/>
    <w:rsid w:val="00DC775C"/>
    <w:rsid w:val="00DD054A"/>
    <w:rsid w:val="00DD075E"/>
    <w:rsid w:val="00DD170B"/>
    <w:rsid w:val="00DD1A3E"/>
    <w:rsid w:val="00DD272C"/>
    <w:rsid w:val="00DD2894"/>
    <w:rsid w:val="00DD30D7"/>
    <w:rsid w:val="00DD3104"/>
    <w:rsid w:val="00DD3C67"/>
    <w:rsid w:val="00DD43F5"/>
    <w:rsid w:val="00DD5D30"/>
    <w:rsid w:val="00DD5DBB"/>
    <w:rsid w:val="00DD7241"/>
    <w:rsid w:val="00DE03CA"/>
    <w:rsid w:val="00DE087D"/>
    <w:rsid w:val="00DE0A70"/>
    <w:rsid w:val="00DE103F"/>
    <w:rsid w:val="00DE2852"/>
    <w:rsid w:val="00DE3CA0"/>
    <w:rsid w:val="00DE50CD"/>
    <w:rsid w:val="00DE519B"/>
    <w:rsid w:val="00DE61FE"/>
    <w:rsid w:val="00DE7A02"/>
    <w:rsid w:val="00DE7A47"/>
    <w:rsid w:val="00DF0837"/>
    <w:rsid w:val="00DF08F1"/>
    <w:rsid w:val="00DF1711"/>
    <w:rsid w:val="00DF183F"/>
    <w:rsid w:val="00DF23FE"/>
    <w:rsid w:val="00DF2C36"/>
    <w:rsid w:val="00DF3248"/>
    <w:rsid w:val="00DF4031"/>
    <w:rsid w:val="00DF42AC"/>
    <w:rsid w:val="00DF6BA1"/>
    <w:rsid w:val="00DF6F13"/>
    <w:rsid w:val="00DF7FC1"/>
    <w:rsid w:val="00E00565"/>
    <w:rsid w:val="00E01133"/>
    <w:rsid w:val="00E016D9"/>
    <w:rsid w:val="00E023A4"/>
    <w:rsid w:val="00E023C9"/>
    <w:rsid w:val="00E02865"/>
    <w:rsid w:val="00E03183"/>
    <w:rsid w:val="00E03BCD"/>
    <w:rsid w:val="00E03FFF"/>
    <w:rsid w:val="00E044F2"/>
    <w:rsid w:val="00E04D2C"/>
    <w:rsid w:val="00E05586"/>
    <w:rsid w:val="00E05F12"/>
    <w:rsid w:val="00E07532"/>
    <w:rsid w:val="00E07C68"/>
    <w:rsid w:val="00E105B2"/>
    <w:rsid w:val="00E10A91"/>
    <w:rsid w:val="00E124BB"/>
    <w:rsid w:val="00E129DC"/>
    <w:rsid w:val="00E12F64"/>
    <w:rsid w:val="00E13180"/>
    <w:rsid w:val="00E1352D"/>
    <w:rsid w:val="00E13570"/>
    <w:rsid w:val="00E13B03"/>
    <w:rsid w:val="00E13B76"/>
    <w:rsid w:val="00E13E22"/>
    <w:rsid w:val="00E1424D"/>
    <w:rsid w:val="00E14882"/>
    <w:rsid w:val="00E15A79"/>
    <w:rsid w:val="00E15D0C"/>
    <w:rsid w:val="00E15E82"/>
    <w:rsid w:val="00E165A4"/>
    <w:rsid w:val="00E167B6"/>
    <w:rsid w:val="00E16860"/>
    <w:rsid w:val="00E16B57"/>
    <w:rsid w:val="00E20168"/>
    <w:rsid w:val="00E208F3"/>
    <w:rsid w:val="00E21132"/>
    <w:rsid w:val="00E21685"/>
    <w:rsid w:val="00E21B84"/>
    <w:rsid w:val="00E21D62"/>
    <w:rsid w:val="00E232A2"/>
    <w:rsid w:val="00E243A6"/>
    <w:rsid w:val="00E249C8"/>
    <w:rsid w:val="00E24AC2"/>
    <w:rsid w:val="00E25034"/>
    <w:rsid w:val="00E302B6"/>
    <w:rsid w:val="00E3262C"/>
    <w:rsid w:val="00E327FC"/>
    <w:rsid w:val="00E33FA1"/>
    <w:rsid w:val="00E342B6"/>
    <w:rsid w:val="00E34501"/>
    <w:rsid w:val="00E34B6C"/>
    <w:rsid w:val="00E34D0C"/>
    <w:rsid w:val="00E35419"/>
    <w:rsid w:val="00E35742"/>
    <w:rsid w:val="00E36170"/>
    <w:rsid w:val="00E37113"/>
    <w:rsid w:val="00E37ABD"/>
    <w:rsid w:val="00E40EB9"/>
    <w:rsid w:val="00E41E7C"/>
    <w:rsid w:val="00E4255B"/>
    <w:rsid w:val="00E42E7E"/>
    <w:rsid w:val="00E42FFA"/>
    <w:rsid w:val="00E439E1"/>
    <w:rsid w:val="00E43A46"/>
    <w:rsid w:val="00E44861"/>
    <w:rsid w:val="00E44E4D"/>
    <w:rsid w:val="00E4504E"/>
    <w:rsid w:val="00E452E7"/>
    <w:rsid w:val="00E45482"/>
    <w:rsid w:val="00E45A97"/>
    <w:rsid w:val="00E46066"/>
    <w:rsid w:val="00E468CB"/>
    <w:rsid w:val="00E46B73"/>
    <w:rsid w:val="00E46C3C"/>
    <w:rsid w:val="00E479EC"/>
    <w:rsid w:val="00E50D1E"/>
    <w:rsid w:val="00E52984"/>
    <w:rsid w:val="00E53775"/>
    <w:rsid w:val="00E54561"/>
    <w:rsid w:val="00E55606"/>
    <w:rsid w:val="00E55752"/>
    <w:rsid w:val="00E57A92"/>
    <w:rsid w:val="00E57AB8"/>
    <w:rsid w:val="00E60A7E"/>
    <w:rsid w:val="00E60B6B"/>
    <w:rsid w:val="00E60F41"/>
    <w:rsid w:val="00E6252E"/>
    <w:rsid w:val="00E647E1"/>
    <w:rsid w:val="00E65834"/>
    <w:rsid w:val="00E6615D"/>
    <w:rsid w:val="00E70D60"/>
    <w:rsid w:val="00E71300"/>
    <w:rsid w:val="00E713A0"/>
    <w:rsid w:val="00E71B18"/>
    <w:rsid w:val="00E74083"/>
    <w:rsid w:val="00E74D6E"/>
    <w:rsid w:val="00E75CCB"/>
    <w:rsid w:val="00E777EF"/>
    <w:rsid w:val="00E77D77"/>
    <w:rsid w:val="00E77E89"/>
    <w:rsid w:val="00E80113"/>
    <w:rsid w:val="00E80A91"/>
    <w:rsid w:val="00E82F3F"/>
    <w:rsid w:val="00E82F71"/>
    <w:rsid w:val="00E838D1"/>
    <w:rsid w:val="00E838FA"/>
    <w:rsid w:val="00E841D6"/>
    <w:rsid w:val="00E842D5"/>
    <w:rsid w:val="00E84BE5"/>
    <w:rsid w:val="00E8524F"/>
    <w:rsid w:val="00E85910"/>
    <w:rsid w:val="00E86278"/>
    <w:rsid w:val="00E86AE6"/>
    <w:rsid w:val="00E874DB"/>
    <w:rsid w:val="00E8769D"/>
    <w:rsid w:val="00E90151"/>
    <w:rsid w:val="00E9029B"/>
    <w:rsid w:val="00E90A6F"/>
    <w:rsid w:val="00E916F1"/>
    <w:rsid w:val="00E917B0"/>
    <w:rsid w:val="00E91823"/>
    <w:rsid w:val="00E91FB4"/>
    <w:rsid w:val="00E92967"/>
    <w:rsid w:val="00E94505"/>
    <w:rsid w:val="00E94A8B"/>
    <w:rsid w:val="00E95714"/>
    <w:rsid w:val="00E95AD4"/>
    <w:rsid w:val="00EA0ABD"/>
    <w:rsid w:val="00EA0B64"/>
    <w:rsid w:val="00EA1A3C"/>
    <w:rsid w:val="00EA2990"/>
    <w:rsid w:val="00EA31F8"/>
    <w:rsid w:val="00EA34C0"/>
    <w:rsid w:val="00EA630B"/>
    <w:rsid w:val="00EA785A"/>
    <w:rsid w:val="00EB0110"/>
    <w:rsid w:val="00EB0126"/>
    <w:rsid w:val="00EB0756"/>
    <w:rsid w:val="00EB16BB"/>
    <w:rsid w:val="00EB1C19"/>
    <w:rsid w:val="00EB23EA"/>
    <w:rsid w:val="00EB2ABA"/>
    <w:rsid w:val="00EB2ADA"/>
    <w:rsid w:val="00EB5A62"/>
    <w:rsid w:val="00EB622F"/>
    <w:rsid w:val="00EB6C80"/>
    <w:rsid w:val="00EB712D"/>
    <w:rsid w:val="00EB74A8"/>
    <w:rsid w:val="00EB75C7"/>
    <w:rsid w:val="00EC0BFD"/>
    <w:rsid w:val="00EC2EF4"/>
    <w:rsid w:val="00EC4F31"/>
    <w:rsid w:val="00EC59B8"/>
    <w:rsid w:val="00EC5A5C"/>
    <w:rsid w:val="00EC5B8A"/>
    <w:rsid w:val="00EC6E99"/>
    <w:rsid w:val="00EC6FE5"/>
    <w:rsid w:val="00EC7A24"/>
    <w:rsid w:val="00ED243E"/>
    <w:rsid w:val="00ED2CF7"/>
    <w:rsid w:val="00ED2EA9"/>
    <w:rsid w:val="00ED45A5"/>
    <w:rsid w:val="00ED4B5E"/>
    <w:rsid w:val="00ED5CCD"/>
    <w:rsid w:val="00ED65F4"/>
    <w:rsid w:val="00ED65F5"/>
    <w:rsid w:val="00ED68C9"/>
    <w:rsid w:val="00ED6EAE"/>
    <w:rsid w:val="00ED7968"/>
    <w:rsid w:val="00ED7B53"/>
    <w:rsid w:val="00ED7E20"/>
    <w:rsid w:val="00EE0E24"/>
    <w:rsid w:val="00EE1440"/>
    <w:rsid w:val="00EE15B6"/>
    <w:rsid w:val="00EE1795"/>
    <w:rsid w:val="00EE1E46"/>
    <w:rsid w:val="00EE2A7B"/>
    <w:rsid w:val="00EE2C25"/>
    <w:rsid w:val="00EE390D"/>
    <w:rsid w:val="00EE3E01"/>
    <w:rsid w:val="00EE3F13"/>
    <w:rsid w:val="00EE44A1"/>
    <w:rsid w:val="00EE45D6"/>
    <w:rsid w:val="00EE48B2"/>
    <w:rsid w:val="00EE4EE6"/>
    <w:rsid w:val="00EE4EF0"/>
    <w:rsid w:val="00EE53BA"/>
    <w:rsid w:val="00EE5ED0"/>
    <w:rsid w:val="00EE6466"/>
    <w:rsid w:val="00EE678F"/>
    <w:rsid w:val="00EE7937"/>
    <w:rsid w:val="00EE7EF3"/>
    <w:rsid w:val="00EF1B77"/>
    <w:rsid w:val="00EF1C0C"/>
    <w:rsid w:val="00EF1E19"/>
    <w:rsid w:val="00EF2C36"/>
    <w:rsid w:val="00EF3D2E"/>
    <w:rsid w:val="00EF4BFE"/>
    <w:rsid w:val="00EF4EF3"/>
    <w:rsid w:val="00EF5128"/>
    <w:rsid w:val="00EF7CE7"/>
    <w:rsid w:val="00F000FC"/>
    <w:rsid w:val="00F0048C"/>
    <w:rsid w:val="00F0299C"/>
    <w:rsid w:val="00F034B5"/>
    <w:rsid w:val="00F04074"/>
    <w:rsid w:val="00F0415E"/>
    <w:rsid w:val="00F0472C"/>
    <w:rsid w:val="00F04973"/>
    <w:rsid w:val="00F05D02"/>
    <w:rsid w:val="00F06942"/>
    <w:rsid w:val="00F07A7B"/>
    <w:rsid w:val="00F07EA1"/>
    <w:rsid w:val="00F10CAD"/>
    <w:rsid w:val="00F112D6"/>
    <w:rsid w:val="00F123EC"/>
    <w:rsid w:val="00F12FF5"/>
    <w:rsid w:val="00F13CA3"/>
    <w:rsid w:val="00F13D98"/>
    <w:rsid w:val="00F143A0"/>
    <w:rsid w:val="00F14EF4"/>
    <w:rsid w:val="00F16375"/>
    <w:rsid w:val="00F21043"/>
    <w:rsid w:val="00F21172"/>
    <w:rsid w:val="00F214F8"/>
    <w:rsid w:val="00F2184E"/>
    <w:rsid w:val="00F21C9B"/>
    <w:rsid w:val="00F225A4"/>
    <w:rsid w:val="00F22CA7"/>
    <w:rsid w:val="00F23A1B"/>
    <w:rsid w:val="00F23A2C"/>
    <w:rsid w:val="00F23B1B"/>
    <w:rsid w:val="00F24378"/>
    <w:rsid w:val="00F256D3"/>
    <w:rsid w:val="00F25DAC"/>
    <w:rsid w:val="00F26600"/>
    <w:rsid w:val="00F269BE"/>
    <w:rsid w:val="00F33521"/>
    <w:rsid w:val="00F34CDC"/>
    <w:rsid w:val="00F36616"/>
    <w:rsid w:val="00F4198B"/>
    <w:rsid w:val="00F41AAB"/>
    <w:rsid w:val="00F4303E"/>
    <w:rsid w:val="00F446E9"/>
    <w:rsid w:val="00F51920"/>
    <w:rsid w:val="00F519CF"/>
    <w:rsid w:val="00F5204B"/>
    <w:rsid w:val="00F521BE"/>
    <w:rsid w:val="00F5254C"/>
    <w:rsid w:val="00F52A7C"/>
    <w:rsid w:val="00F54542"/>
    <w:rsid w:val="00F54CDC"/>
    <w:rsid w:val="00F561A9"/>
    <w:rsid w:val="00F56E17"/>
    <w:rsid w:val="00F57054"/>
    <w:rsid w:val="00F57A38"/>
    <w:rsid w:val="00F57C28"/>
    <w:rsid w:val="00F57E6D"/>
    <w:rsid w:val="00F6007A"/>
    <w:rsid w:val="00F60534"/>
    <w:rsid w:val="00F612FD"/>
    <w:rsid w:val="00F616FB"/>
    <w:rsid w:val="00F61BF7"/>
    <w:rsid w:val="00F62A18"/>
    <w:rsid w:val="00F62EA6"/>
    <w:rsid w:val="00F6325F"/>
    <w:rsid w:val="00F64BE7"/>
    <w:rsid w:val="00F65448"/>
    <w:rsid w:val="00F6583A"/>
    <w:rsid w:val="00F671F6"/>
    <w:rsid w:val="00F67409"/>
    <w:rsid w:val="00F67CCE"/>
    <w:rsid w:val="00F70168"/>
    <w:rsid w:val="00F71268"/>
    <w:rsid w:val="00F71572"/>
    <w:rsid w:val="00F71B8C"/>
    <w:rsid w:val="00F71BB0"/>
    <w:rsid w:val="00F72E85"/>
    <w:rsid w:val="00F73F1A"/>
    <w:rsid w:val="00F752B6"/>
    <w:rsid w:val="00F75F3B"/>
    <w:rsid w:val="00F76223"/>
    <w:rsid w:val="00F76423"/>
    <w:rsid w:val="00F7675C"/>
    <w:rsid w:val="00F76A0A"/>
    <w:rsid w:val="00F76A13"/>
    <w:rsid w:val="00F81BB9"/>
    <w:rsid w:val="00F82345"/>
    <w:rsid w:val="00F82728"/>
    <w:rsid w:val="00F83AFB"/>
    <w:rsid w:val="00F83FA3"/>
    <w:rsid w:val="00F84309"/>
    <w:rsid w:val="00F84545"/>
    <w:rsid w:val="00F8498F"/>
    <w:rsid w:val="00F84C76"/>
    <w:rsid w:val="00F85027"/>
    <w:rsid w:val="00F85E7C"/>
    <w:rsid w:val="00F86266"/>
    <w:rsid w:val="00F864BD"/>
    <w:rsid w:val="00F86C68"/>
    <w:rsid w:val="00F875F3"/>
    <w:rsid w:val="00F9014C"/>
    <w:rsid w:val="00F90184"/>
    <w:rsid w:val="00F90C7D"/>
    <w:rsid w:val="00F913F8"/>
    <w:rsid w:val="00F918DA"/>
    <w:rsid w:val="00F91CB5"/>
    <w:rsid w:val="00F92F23"/>
    <w:rsid w:val="00F95306"/>
    <w:rsid w:val="00F9534A"/>
    <w:rsid w:val="00F9639B"/>
    <w:rsid w:val="00F977D1"/>
    <w:rsid w:val="00FA0AE7"/>
    <w:rsid w:val="00FA13C0"/>
    <w:rsid w:val="00FA17B2"/>
    <w:rsid w:val="00FA1C5D"/>
    <w:rsid w:val="00FA478E"/>
    <w:rsid w:val="00FA4B30"/>
    <w:rsid w:val="00FA57E0"/>
    <w:rsid w:val="00FA5C72"/>
    <w:rsid w:val="00FA5E28"/>
    <w:rsid w:val="00FA62EF"/>
    <w:rsid w:val="00FA70D7"/>
    <w:rsid w:val="00FA7289"/>
    <w:rsid w:val="00FA7478"/>
    <w:rsid w:val="00FA7C67"/>
    <w:rsid w:val="00FB001C"/>
    <w:rsid w:val="00FB002D"/>
    <w:rsid w:val="00FB00C1"/>
    <w:rsid w:val="00FB05EB"/>
    <w:rsid w:val="00FB177B"/>
    <w:rsid w:val="00FB1B9B"/>
    <w:rsid w:val="00FB5970"/>
    <w:rsid w:val="00FB60CC"/>
    <w:rsid w:val="00FB61BC"/>
    <w:rsid w:val="00FB76ED"/>
    <w:rsid w:val="00FC1629"/>
    <w:rsid w:val="00FC35C5"/>
    <w:rsid w:val="00FC38B0"/>
    <w:rsid w:val="00FC3F9E"/>
    <w:rsid w:val="00FC71F1"/>
    <w:rsid w:val="00FD3081"/>
    <w:rsid w:val="00FD336B"/>
    <w:rsid w:val="00FD34D4"/>
    <w:rsid w:val="00FD39D7"/>
    <w:rsid w:val="00FD6740"/>
    <w:rsid w:val="00FD73EA"/>
    <w:rsid w:val="00FD7820"/>
    <w:rsid w:val="00FE177F"/>
    <w:rsid w:val="00FE1FAF"/>
    <w:rsid w:val="00FE2C15"/>
    <w:rsid w:val="00FE3682"/>
    <w:rsid w:val="00FE3CA4"/>
    <w:rsid w:val="00FE49C1"/>
    <w:rsid w:val="00FE4F13"/>
    <w:rsid w:val="00FE5955"/>
    <w:rsid w:val="00FE5B78"/>
    <w:rsid w:val="00FE5BAB"/>
    <w:rsid w:val="00FE6E72"/>
    <w:rsid w:val="00FE7073"/>
    <w:rsid w:val="00FE743F"/>
    <w:rsid w:val="00FE746F"/>
    <w:rsid w:val="00FF0868"/>
    <w:rsid w:val="00FF10A3"/>
    <w:rsid w:val="00FF10AE"/>
    <w:rsid w:val="00FF2913"/>
    <w:rsid w:val="00FF2CFF"/>
    <w:rsid w:val="00FF2D26"/>
    <w:rsid w:val="00FF3037"/>
    <w:rsid w:val="00FF366D"/>
    <w:rsid w:val="00FF3DCA"/>
    <w:rsid w:val="00FF43EA"/>
    <w:rsid w:val="00FF5272"/>
    <w:rsid w:val="00FF62A8"/>
    <w:rsid w:val="00FF6884"/>
    <w:rsid w:val="05761015"/>
    <w:rsid w:val="069E1448"/>
    <w:rsid w:val="06FE482A"/>
    <w:rsid w:val="074B239C"/>
    <w:rsid w:val="094F135C"/>
    <w:rsid w:val="0A2F6AB8"/>
    <w:rsid w:val="0B3C0E3D"/>
    <w:rsid w:val="0BBB1340"/>
    <w:rsid w:val="1027205A"/>
    <w:rsid w:val="11346176"/>
    <w:rsid w:val="11502C8B"/>
    <w:rsid w:val="121E281A"/>
    <w:rsid w:val="123A7F27"/>
    <w:rsid w:val="156D24A8"/>
    <w:rsid w:val="15964BAE"/>
    <w:rsid w:val="164F5C2A"/>
    <w:rsid w:val="178D027B"/>
    <w:rsid w:val="17C40486"/>
    <w:rsid w:val="1ABB62AA"/>
    <w:rsid w:val="1AE528EA"/>
    <w:rsid w:val="1E9051F5"/>
    <w:rsid w:val="21EF31B1"/>
    <w:rsid w:val="22E26901"/>
    <w:rsid w:val="28706183"/>
    <w:rsid w:val="2D056F7F"/>
    <w:rsid w:val="2F6C32F2"/>
    <w:rsid w:val="310A5812"/>
    <w:rsid w:val="333277E6"/>
    <w:rsid w:val="359A38F8"/>
    <w:rsid w:val="370D1468"/>
    <w:rsid w:val="38F61A4B"/>
    <w:rsid w:val="3A6B16C7"/>
    <w:rsid w:val="3ACC155A"/>
    <w:rsid w:val="3B9E4F5D"/>
    <w:rsid w:val="3E317AB4"/>
    <w:rsid w:val="44B9135E"/>
    <w:rsid w:val="45C34A71"/>
    <w:rsid w:val="470562C1"/>
    <w:rsid w:val="494D12FB"/>
    <w:rsid w:val="4BCD40B9"/>
    <w:rsid w:val="4D2C5C50"/>
    <w:rsid w:val="524D2D7C"/>
    <w:rsid w:val="58BA3203"/>
    <w:rsid w:val="5A362A0D"/>
    <w:rsid w:val="5CA75498"/>
    <w:rsid w:val="611B16B9"/>
    <w:rsid w:val="62BA292E"/>
    <w:rsid w:val="635E06F9"/>
    <w:rsid w:val="642C20E9"/>
    <w:rsid w:val="65270C01"/>
    <w:rsid w:val="66F62B4A"/>
    <w:rsid w:val="671D4FC3"/>
    <w:rsid w:val="6A6D22C4"/>
    <w:rsid w:val="6C153F14"/>
    <w:rsid w:val="6D3F15E6"/>
    <w:rsid w:val="72AF5315"/>
    <w:rsid w:val="76625EA0"/>
    <w:rsid w:val="772A38DC"/>
    <w:rsid w:val="79487132"/>
    <w:rsid w:val="7D4D26F3"/>
    <w:rsid w:val="7F2E795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8"/>
    <w:qFormat/>
    <w:uiPriority w:val="0"/>
    <w:pPr>
      <w:keepNext/>
      <w:outlineLvl w:val="0"/>
    </w:pPr>
    <w:rPr>
      <w:rFonts w:ascii="Arial Black" w:hAnsi="Arial Black"/>
      <w:w w:val="90"/>
      <w:sz w:val="144"/>
    </w:rPr>
  </w:style>
  <w:style w:type="paragraph" w:styleId="3">
    <w:name w:val="heading 2"/>
    <w:basedOn w:val="1"/>
    <w:next w:val="1"/>
    <w:link w:val="5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tabs>
        <w:tab w:val="left" w:pos="0"/>
      </w:tabs>
      <w:spacing w:line="360" w:lineRule="auto"/>
      <w:ind w:left="864" w:hanging="864"/>
      <w:outlineLvl w:val="3"/>
    </w:pPr>
    <w:rPr>
      <w:rFonts w:eastAsia="黑体"/>
      <w:sz w:val="24"/>
    </w:rPr>
  </w:style>
  <w:style w:type="paragraph" w:styleId="6">
    <w:name w:val="heading 5"/>
    <w:basedOn w:val="1"/>
    <w:next w:val="1"/>
    <w:qFormat/>
    <w:uiPriority w:val="0"/>
    <w:pPr>
      <w:tabs>
        <w:tab w:val="left" w:pos="0"/>
      </w:tabs>
      <w:spacing w:before="240" w:after="60" w:line="360" w:lineRule="auto"/>
      <w:ind w:left="1008" w:hanging="1008"/>
      <w:jc w:val="left"/>
      <w:outlineLvl w:val="4"/>
    </w:pPr>
    <w:rPr>
      <w:rFonts w:ascii="Helvetica" w:hAnsi="Helvetica" w:eastAsia="黑体"/>
      <w:sz w:val="22"/>
    </w:rPr>
  </w:style>
  <w:style w:type="paragraph" w:styleId="7">
    <w:name w:val="heading 6"/>
    <w:basedOn w:val="1"/>
    <w:next w:val="1"/>
    <w:qFormat/>
    <w:uiPriority w:val="0"/>
    <w:pPr>
      <w:keepNext/>
      <w:tabs>
        <w:tab w:val="left" w:pos="0"/>
      </w:tabs>
      <w:spacing w:before="240" w:line="360" w:lineRule="auto"/>
      <w:ind w:left="1152" w:hanging="1152"/>
      <w:jc w:val="left"/>
      <w:outlineLvl w:val="5"/>
    </w:pPr>
    <w:rPr>
      <w:rFonts w:eastAsia="黑体"/>
      <w:sz w:val="22"/>
    </w:rPr>
  </w:style>
  <w:style w:type="paragraph" w:styleId="8">
    <w:name w:val="heading 7"/>
    <w:basedOn w:val="1"/>
    <w:next w:val="1"/>
    <w:qFormat/>
    <w:uiPriority w:val="0"/>
    <w:pPr>
      <w:keepNext/>
      <w:tabs>
        <w:tab w:val="left" w:pos="0"/>
      </w:tabs>
      <w:spacing w:before="240" w:line="360" w:lineRule="auto"/>
      <w:ind w:left="1296" w:hanging="1296"/>
      <w:outlineLvl w:val="6"/>
    </w:pPr>
    <w:rPr>
      <w:sz w:val="20"/>
    </w:rPr>
  </w:style>
  <w:style w:type="paragraph" w:styleId="9">
    <w:name w:val="heading 8"/>
    <w:basedOn w:val="1"/>
    <w:next w:val="1"/>
    <w:qFormat/>
    <w:uiPriority w:val="0"/>
    <w:pPr>
      <w:keepNext/>
      <w:tabs>
        <w:tab w:val="left" w:pos="0"/>
      </w:tabs>
      <w:spacing w:before="240" w:line="360" w:lineRule="auto"/>
      <w:ind w:left="1440" w:hanging="1440"/>
      <w:outlineLvl w:val="7"/>
    </w:pPr>
    <w:rPr>
      <w:i/>
      <w:sz w:val="20"/>
    </w:rPr>
  </w:style>
  <w:style w:type="paragraph" w:styleId="10">
    <w:name w:val="heading 9"/>
    <w:basedOn w:val="1"/>
    <w:next w:val="1"/>
    <w:qFormat/>
    <w:uiPriority w:val="0"/>
    <w:pPr>
      <w:keepNext/>
      <w:tabs>
        <w:tab w:val="left" w:pos="0"/>
      </w:tabs>
      <w:spacing w:before="240" w:line="360" w:lineRule="auto"/>
      <w:ind w:left="1584" w:hanging="1584"/>
      <w:outlineLvl w:val="8"/>
    </w:pPr>
    <w:rPr>
      <w:i/>
      <w:sz w:val="18"/>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sz w:val="18"/>
      <w:szCs w:val="18"/>
    </w:rPr>
  </w:style>
  <w:style w:type="paragraph" w:styleId="12">
    <w:name w:val="Normal Indent"/>
    <w:basedOn w:val="1"/>
    <w:qFormat/>
    <w:uiPriority w:val="0"/>
    <w:pPr>
      <w:ind w:firstLine="420" w:firstLineChars="200"/>
    </w:pPr>
    <w:rPr>
      <w:szCs w:val="24"/>
    </w:rPr>
  </w:style>
  <w:style w:type="paragraph" w:styleId="13">
    <w:name w:val="List Bullet"/>
    <w:basedOn w:val="1"/>
    <w:qFormat/>
    <w:uiPriority w:val="0"/>
    <w:pPr>
      <w:numPr>
        <w:ilvl w:val="0"/>
        <w:numId w:val="1"/>
      </w:numPr>
      <w:spacing w:line="360" w:lineRule="auto"/>
      <w:ind w:hanging="200" w:hangingChars="200"/>
    </w:pPr>
    <w:rPr>
      <w:szCs w:val="24"/>
    </w:rPr>
  </w:style>
  <w:style w:type="paragraph" w:styleId="14">
    <w:name w:val="Document Map"/>
    <w:basedOn w:val="1"/>
    <w:link w:val="60"/>
    <w:qFormat/>
    <w:uiPriority w:val="0"/>
    <w:rPr>
      <w:rFonts w:ascii="宋体"/>
      <w:sz w:val="18"/>
      <w:szCs w:val="18"/>
    </w:rPr>
  </w:style>
  <w:style w:type="paragraph" w:styleId="15">
    <w:name w:val="annotation text"/>
    <w:basedOn w:val="1"/>
    <w:semiHidden/>
    <w:qFormat/>
    <w:uiPriority w:val="0"/>
    <w:pPr>
      <w:jc w:val="left"/>
    </w:pPr>
  </w:style>
  <w:style w:type="paragraph" w:styleId="16">
    <w:name w:val="Body Text 3"/>
    <w:basedOn w:val="1"/>
    <w:qFormat/>
    <w:uiPriority w:val="0"/>
    <w:pPr>
      <w:adjustRightInd w:val="0"/>
      <w:spacing w:line="312" w:lineRule="atLeast"/>
      <w:textAlignment w:val="baseline"/>
    </w:pPr>
    <w:rPr>
      <w:kern w:val="0"/>
      <w:sz w:val="28"/>
    </w:rPr>
  </w:style>
  <w:style w:type="paragraph" w:styleId="17">
    <w:name w:val="List Bullet 3"/>
    <w:basedOn w:val="1"/>
    <w:qFormat/>
    <w:uiPriority w:val="0"/>
    <w:pPr>
      <w:numPr>
        <w:ilvl w:val="0"/>
        <w:numId w:val="2"/>
      </w:numPr>
    </w:pPr>
    <w:rPr>
      <w:szCs w:val="24"/>
    </w:rPr>
  </w:style>
  <w:style w:type="paragraph" w:styleId="18">
    <w:name w:val="Body Text"/>
    <w:basedOn w:val="1"/>
    <w:qFormat/>
    <w:uiPriority w:val="0"/>
    <w:pPr>
      <w:spacing w:after="120"/>
    </w:pPr>
    <w:rPr>
      <w:szCs w:val="24"/>
    </w:rPr>
  </w:style>
  <w:style w:type="paragraph" w:styleId="19">
    <w:name w:val="Body Text Indent"/>
    <w:basedOn w:val="1"/>
    <w:qFormat/>
    <w:uiPriority w:val="0"/>
    <w:rPr>
      <w:rFonts w:ascii="宋体"/>
      <w:outline/>
      <w:color w:val="FFFFFF"/>
      <w:sz w:val="28"/>
      <w14:textOutline w14:w="9525" w14:cap="flat" w14:cmpd="sng" w14:algn="ctr">
        <w14:solidFill>
          <w14:srgbClr w14:val="FFFFFF"/>
        </w14:solidFill>
        <w14:prstDash w14:val="solid"/>
        <w14:round/>
      </w14:textOutline>
      <w14:textFill>
        <w14:noFill/>
      </w14:textFill>
    </w:rPr>
  </w:style>
  <w:style w:type="paragraph" w:styleId="20">
    <w:name w:val="HTML Address"/>
    <w:basedOn w:val="1"/>
    <w:qFormat/>
    <w:uiPriority w:val="0"/>
    <w:rPr>
      <w:i/>
      <w:iCs/>
      <w:szCs w:val="24"/>
    </w:rPr>
  </w:style>
  <w:style w:type="paragraph" w:styleId="21">
    <w:name w:val="toc 5"/>
    <w:basedOn w:val="1"/>
    <w:next w:val="1"/>
    <w:qFormat/>
    <w:uiPriority w:val="39"/>
    <w:pPr>
      <w:ind w:left="840"/>
      <w:jc w:val="left"/>
    </w:pPr>
    <w:rPr>
      <w:rFonts w:ascii="Calibri" w:hAnsi="Calibri"/>
      <w:sz w:val="18"/>
      <w:szCs w:val="18"/>
    </w:rPr>
  </w:style>
  <w:style w:type="paragraph" w:styleId="22">
    <w:name w:val="toc 3"/>
    <w:basedOn w:val="1"/>
    <w:next w:val="1"/>
    <w:qFormat/>
    <w:uiPriority w:val="39"/>
    <w:pPr>
      <w:ind w:left="420"/>
      <w:jc w:val="left"/>
    </w:pPr>
    <w:rPr>
      <w:rFonts w:ascii="Calibri" w:hAnsi="Calibri"/>
      <w:i/>
      <w:iCs/>
      <w:sz w:val="20"/>
    </w:rPr>
  </w:style>
  <w:style w:type="paragraph" w:styleId="23">
    <w:name w:val="Plain Text"/>
    <w:basedOn w:val="1"/>
    <w:link w:val="61"/>
    <w:unhideWhenUsed/>
    <w:qFormat/>
    <w:uiPriority w:val="0"/>
    <w:pPr>
      <w:autoSpaceDE w:val="0"/>
      <w:autoSpaceDN w:val="0"/>
      <w:adjustRightInd w:val="0"/>
      <w:spacing w:line="312" w:lineRule="atLeast"/>
    </w:pPr>
    <w:rPr>
      <w:rFonts w:ascii="宋体"/>
      <w:outline/>
      <w:color w:val="FFFFFF"/>
      <w:sz w:val="28"/>
      <w14:textOutline w14:w="9525" w14:cap="flat" w14:cmpd="sng" w14:algn="ctr">
        <w14:solidFill>
          <w14:srgbClr w14:val="FFFFFF"/>
        </w14:solidFill>
        <w14:prstDash w14:val="solid"/>
        <w14:round/>
      </w14:textOutline>
      <w14:textFill>
        <w14:noFill/>
      </w14:textFill>
    </w:rPr>
  </w:style>
  <w:style w:type="paragraph" w:styleId="24">
    <w:name w:val="toc 8"/>
    <w:basedOn w:val="1"/>
    <w:next w:val="1"/>
    <w:qFormat/>
    <w:uiPriority w:val="39"/>
    <w:pPr>
      <w:ind w:left="1470"/>
      <w:jc w:val="left"/>
    </w:pPr>
    <w:rPr>
      <w:rFonts w:ascii="Calibri" w:hAnsi="Calibri"/>
      <w:sz w:val="18"/>
      <w:szCs w:val="18"/>
    </w:rPr>
  </w:style>
  <w:style w:type="paragraph" w:styleId="25">
    <w:name w:val="Date"/>
    <w:basedOn w:val="1"/>
    <w:next w:val="1"/>
    <w:qFormat/>
    <w:uiPriority w:val="0"/>
    <w:rPr>
      <w:rFonts w:ascii="宋体"/>
      <w:sz w:val="28"/>
    </w:rPr>
  </w:style>
  <w:style w:type="paragraph" w:styleId="26">
    <w:name w:val="Body Text Indent 2"/>
    <w:basedOn w:val="1"/>
    <w:qFormat/>
    <w:uiPriority w:val="0"/>
    <w:pPr>
      <w:ind w:left="1055"/>
    </w:pPr>
    <w:rPr>
      <w:rFonts w:ascii="宋体"/>
      <w:sz w:val="28"/>
    </w:rPr>
  </w:style>
  <w:style w:type="paragraph" w:styleId="27">
    <w:name w:val="Balloon Text"/>
    <w:basedOn w:val="1"/>
    <w:link w:val="62"/>
    <w:qFormat/>
    <w:uiPriority w:val="0"/>
    <w:rPr>
      <w:sz w:val="18"/>
      <w:szCs w:val="18"/>
    </w:rPr>
  </w:style>
  <w:style w:type="paragraph" w:styleId="28">
    <w:name w:val="footer"/>
    <w:basedOn w:val="1"/>
    <w:link w:val="63"/>
    <w:qFormat/>
    <w:uiPriority w:val="99"/>
    <w:pPr>
      <w:tabs>
        <w:tab w:val="center" w:pos="4153"/>
        <w:tab w:val="right" w:pos="8306"/>
      </w:tabs>
      <w:snapToGrid w:val="0"/>
      <w:jc w:val="left"/>
    </w:pPr>
    <w:rPr>
      <w:sz w:val="18"/>
      <w:szCs w:val="18"/>
    </w:rPr>
  </w:style>
  <w:style w:type="paragraph" w:styleId="29">
    <w:name w:val="header"/>
    <w:basedOn w:val="1"/>
    <w:link w:val="6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right" w:leader="dot" w:pos="9017"/>
      </w:tabs>
      <w:spacing w:before="40" w:after="40"/>
      <w:jc w:val="left"/>
    </w:pPr>
    <w:rPr>
      <w:rFonts w:ascii="Calibri" w:hAnsi="Calibri"/>
      <w:b/>
      <w:bCs/>
      <w:caps/>
      <w:sz w:val="20"/>
    </w:rPr>
  </w:style>
  <w:style w:type="paragraph" w:styleId="31">
    <w:name w:val="toc 4"/>
    <w:basedOn w:val="1"/>
    <w:next w:val="1"/>
    <w:qFormat/>
    <w:uiPriority w:val="39"/>
    <w:pPr>
      <w:ind w:left="630"/>
      <w:jc w:val="left"/>
    </w:pPr>
    <w:rPr>
      <w:rFonts w:ascii="Calibri" w:hAnsi="Calibri"/>
      <w:sz w:val="18"/>
      <w:szCs w:val="18"/>
    </w:rPr>
  </w:style>
  <w:style w:type="paragraph" w:styleId="32">
    <w:name w:val="footnote text"/>
    <w:basedOn w:val="1"/>
    <w:semiHidden/>
    <w:qFormat/>
    <w:uiPriority w:val="0"/>
    <w:pPr>
      <w:snapToGrid w:val="0"/>
      <w:ind w:left="400" w:leftChars="200" w:hanging="200" w:hangingChars="200"/>
      <w:jc w:val="left"/>
    </w:pPr>
    <w:rPr>
      <w:sz w:val="18"/>
      <w:szCs w:val="18"/>
    </w:rPr>
  </w:style>
  <w:style w:type="paragraph" w:styleId="33">
    <w:name w:val="toc 6"/>
    <w:basedOn w:val="1"/>
    <w:next w:val="1"/>
    <w:qFormat/>
    <w:uiPriority w:val="39"/>
    <w:pPr>
      <w:ind w:left="1050"/>
      <w:jc w:val="left"/>
    </w:pPr>
    <w:rPr>
      <w:rFonts w:ascii="Calibri" w:hAnsi="Calibri"/>
      <w:sz w:val="18"/>
      <w:szCs w:val="18"/>
    </w:rPr>
  </w:style>
  <w:style w:type="paragraph" w:styleId="34">
    <w:name w:val="Body Text Indent 3"/>
    <w:basedOn w:val="1"/>
    <w:qFormat/>
    <w:uiPriority w:val="0"/>
    <w:pPr>
      <w:ind w:left="840"/>
    </w:pPr>
    <w:rPr>
      <w:sz w:val="28"/>
    </w:rPr>
  </w:style>
  <w:style w:type="paragraph" w:styleId="35">
    <w:name w:val="toc 2"/>
    <w:basedOn w:val="1"/>
    <w:next w:val="1"/>
    <w:qFormat/>
    <w:uiPriority w:val="39"/>
    <w:pPr>
      <w:ind w:left="210"/>
      <w:jc w:val="left"/>
    </w:pPr>
    <w:rPr>
      <w:rFonts w:ascii="Calibri" w:hAnsi="Calibri"/>
      <w:smallCaps/>
      <w:sz w:val="20"/>
    </w:rPr>
  </w:style>
  <w:style w:type="paragraph" w:styleId="36">
    <w:name w:val="toc 9"/>
    <w:basedOn w:val="1"/>
    <w:next w:val="1"/>
    <w:qFormat/>
    <w:uiPriority w:val="39"/>
    <w:pPr>
      <w:ind w:left="1680"/>
      <w:jc w:val="left"/>
    </w:pPr>
    <w:rPr>
      <w:rFonts w:ascii="Calibri" w:hAnsi="Calibri"/>
      <w:sz w:val="18"/>
      <w:szCs w:val="18"/>
    </w:rPr>
  </w:style>
  <w:style w:type="paragraph" w:styleId="37">
    <w:name w:val="Body Text 2"/>
    <w:basedOn w:val="1"/>
    <w:qFormat/>
    <w:uiPriority w:val="0"/>
    <w:rPr>
      <w:sz w:val="32"/>
    </w:rPr>
  </w:style>
  <w:style w:type="paragraph" w:styleId="38">
    <w:name w:val="HTML Preformatted"/>
    <w:basedOn w:val="1"/>
    <w:qFormat/>
    <w:uiPriority w:val="0"/>
    <w:rPr>
      <w:rFonts w:ascii="Courier New" w:hAnsi="Courier New" w:cs="Courier New"/>
      <w:sz w:val="20"/>
    </w:rPr>
  </w:style>
  <w:style w:type="paragraph" w:styleId="39">
    <w:name w:val="index 1"/>
    <w:basedOn w:val="1"/>
    <w:next w:val="1"/>
    <w:semiHidden/>
    <w:qFormat/>
    <w:uiPriority w:val="0"/>
    <w:pPr>
      <w:adjustRightInd w:val="0"/>
      <w:spacing w:line="360" w:lineRule="atLeast"/>
      <w:jc w:val="left"/>
      <w:textAlignment w:val="baseline"/>
    </w:pPr>
    <w:rPr>
      <w:kern w:val="0"/>
      <w:sz w:val="24"/>
    </w:rPr>
  </w:style>
  <w:style w:type="paragraph" w:styleId="40">
    <w:name w:val="Title"/>
    <w:basedOn w:val="1"/>
    <w:qFormat/>
    <w:uiPriority w:val="0"/>
    <w:pPr>
      <w:spacing w:before="240" w:after="60"/>
      <w:jc w:val="center"/>
      <w:outlineLvl w:val="0"/>
    </w:pPr>
    <w:rPr>
      <w:rFonts w:ascii="Arial" w:hAnsi="Arial" w:cs="Arial"/>
      <w:b/>
      <w:bCs/>
      <w:sz w:val="32"/>
      <w:szCs w:val="32"/>
    </w:rPr>
  </w:style>
  <w:style w:type="paragraph" w:styleId="41">
    <w:name w:val="annotation subject"/>
    <w:basedOn w:val="15"/>
    <w:next w:val="15"/>
    <w:semiHidden/>
    <w:qFormat/>
    <w:uiPriority w:val="0"/>
    <w:rPr>
      <w:b/>
      <w:bCs/>
    </w:rPr>
  </w:style>
  <w:style w:type="paragraph" w:styleId="42">
    <w:name w:val="Body Text First Indent"/>
    <w:basedOn w:val="18"/>
    <w:qFormat/>
    <w:uiPriority w:val="0"/>
    <w:pPr>
      <w:adjustRightInd w:val="0"/>
      <w:spacing w:after="0"/>
      <w:jc w:val="left"/>
      <w:textAlignment w:val="baseline"/>
    </w:pPr>
    <w:rPr>
      <w:kern w:val="0"/>
      <w:szCs w:val="20"/>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page number"/>
    <w:qFormat/>
    <w:uiPriority w:val="0"/>
  </w:style>
  <w:style w:type="character" w:styleId="48">
    <w:name w:val="HTML Definition"/>
    <w:qFormat/>
    <w:uiPriority w:val="0"/>
    <w:rPr>
      <w:i/>
      <w:iCs/>
    </w:rPr>
  </w:style>
  <w:style w:type="character" w:styleId="49">
    <w:name w:val="HTML Typewriter"/>
    <w:qFormat/>
    <w:uiPriority w:val="0"/>
    <w:rPr>
      <w:rFonts w:ascii="Courier New" w:hAnsi="Courier New" w:cs="Courier New"/>
      <w:sz w:val="20"/>
      <w:szCs w:val="20"/>
    </w:rPr>
  </w:style>
  <w:style w:type="character" w:styleId="50">
    <w:name w:val="HTML Acronym"/>
    <w:qFormat/>
    <w:uiPriority w:val="0"/>
  </w:style>
  <w:style w:type="character" w:styleId="51">
    <w:name w:val="HTML Variable"/>
    <w:qFormat/>
    <w:uiPriority w:val="0"/>
    <w:rPr>
      <w:i/>
      <w:iCs/>
    </w:rPr>
  </w:style>
  <w:style w:type="character" w:styleId="52">
    <w:name w:val="Hyperlink"/>
    <w:qFormat/>
    <w:uiPriority w:val="99"/>
    <w:rPr>
      <w:rFonts w:ascii="Times New Roman" w:hAnsi="Times New Roman" w:eastAsia="宋体"/>
      <w:color w:val="auto"/>
      <w:spacing w:val="0"/>
      <w:w w:val="100"/>
      <w:position w:val="0"/>
      <w:sz w:val="21"/>
      <w:u w:val="none"/>
      <w:vertAlign w:val="baseline"/>
    </w:rPr>
  </w:style>
  <w:style w:type="character" w:styleId="53">
    <w:name w:val="HTML Code"/>
    <w:qFormat/>
    <w:uiPriority w:val="0"/>
    <w:rPr>
      <w:rFonts w:ascii="Courier New" w:hAnsi="Courier New"/>
      <w:sz w:val="20"/>
      <w:szCs w:val="20"/>
    </w:rPr>
  </w:style>
  <w:style w:type="character" w:styleId="54">
    <w:name w:val="annotation reference"/>
    <w:semiHidden/>
    <w:qFormat/>
    <w:uiPriority w:val="0"/>
    <w:rPr>
      <w:sz w:val="21"/>
      <w:szCs w:val="21"/>
    </w:rPr>
  </w:style>
  <w:style w:type="character" w:styleId="55">
    <w:name w:val="HTML Cite"/>
    <w:qFormat/>
    <w:uiPriority w:val="0"/>
    <w:rPr>
      <w:i/>
      <w:iCs/>
    </w:rPr>
  </w:style>
  <w:style w:type="character" w:styleId="56">
    <w:name w:val="HTML Keyboard"/>
    <w:qFormat/>
    <w:uiPriority w:val="0"/>
    <w:rPr>
      <w:rFonts w:ascii="Courier New" w:hAnsi="Courier New" w:cs="Courier New"/>
      <w:sz w:val="20"/>
      <w:szCs w:val="20"/>
    </w:rPr>
  </w:style>
  <w:style w:type="character" w:styleId="57">
    <w:name w:val="HTML Sample"/>
    <w:qFormat/>
    <w:uiPriority w:val="0"/>
    <w:rPr>
      <w:rFonts w:ascii="Courier New" w:hAnsi="Courier New" w:cs="Courier New"/>
    </w:rPr>
  </w:style>
  <w:style w:type="character" w:customStyle="1" w:styleId="58">
    <w:name w:val="标题 1 字符"/>
    <w:link w:val="2"/>
    <w:qFormat/>
    <w:uiPriority w:val="0"/>
    <w:rPr>
      <w:rFonts w:ascii="Arial Black" w:hAnsi="Arial Black" w:eastAsia="宋体"/>
      <w:w w:val="90"/>
      <w:kern w:val="2"/>
      <w:sz w:val="144"/>
      <w:lang w:val="en-US" w:eastAsia="zh-CN" w:bidi="ar-SA"/>
    </w:rPr>
  </w:style>
  <w:style w:type="character" w:customStyle="1" w:styleId="59">
    <w:name w:val="标题 2 字符"/>
    <w:link w:val="3"/>
    <w:qFormat/>
    <w:uiPriority w:val="0"/>
    <w:rPr>
      <w:rFonts w:ascii="Arial" w:hAnsi="Arial" w:eastAsia="黑体"/>
      <w:b/>
      <w:bCs/>
      <w:kern w:val="2"/>
      <w:sz w:val="32"/>
      <w:szCs w:val="32"/>
    </w:rPr>
  </w:style>
  <w:style w:type="character" w:customStyle="1" w:styleId="60">
    <w:name w:val="文档结构图 字符"/>
    <w:link w:val="14"/>
    <w:qFormat/>
    <w:uiPriority w:val="0"/>
    <w:rPr>
      <w:rFonts w:ascii="宋体"/>
      <w:kern w:val="2"/>
      <w:sz w:val="18"/>
      <w:szCs w:val="18"/>
    </w:rPr>
  </w:style>
  <w:style w:type="character" w:customStyle="1" w:styleId="61">
    <w:name w:val="纯文本 字符"/>
    <w:link w:val="23"/>
    <w:qFormat/>
    <w:uiPriority w:val="0"/>
    <w:rPr>
      <w:rFonts w:ascii="宋体"/>
      <w:outline/>
      <w:color w:val="FFFFFF"/>
      <w:kern w:val="2"/>
      <w:sz w:val="28"/>
      <w14:textOutline w14:w="9525" w14:cap="flat" w14:cmpd="sng" w14:algn="ctr">
        <w14:solidFill>
          <w14:srgbClr w14:val="FFFFFF"/>
        </w14:solidFill>
        <w14:prstDash w14:val="solid"/>
        <w14:round/>
      </w14:textOutline>
      <w14:textFill>
        <w14:noFill/>
      </w14:textFill>
    </w:rPr>
  </w:style>
  <w:style w:type="character" w:customStyle="1" w:styleId="62">
    <w:name w:val="批注框文本 字符"/>
    <w:link w:val="27"/>
    <w:qFormat/>
    <w:uiPriority w:val="0"/>
    <w:rPr>
      <w:kern w:val="2"/>
      <w:sz w:val="18"/>
      <w:szCs w:val="18"/>
    </w:rPr>
  </w:style>
  <w:style w:type="character" w:customStyle="1" w:styleId="63">
    <w:name w:val="页脚 字符"/>
    <w:link w:val="28"/>
    <w:qFormat/>
    <w:uiPriority w:val="99"/>
    <w:rPr>
      <w:kern w:val="2"/>
      <w:sz w:val="18"/>
      <w:szCs w:val="18"/>
    </w:rPr>
  </w:style>
  <w:style w:type="character" w:customStyle="1" w:styleId="64">
    <w:name w:val="页眉 字符"/>
    <w:link w:val="29"/>
    <w:qFormat/>
    <w:locked/>
    <w:uiPriority w:val="99"/>
    <w:rPr>
      <w:rFonts w:eastAsia="宋体"/>
      <w:kern w:val="2"/>
      <w:sz w:val="18"/>
      <w:szCs w:val="18"/>
      <w:lang w:val="en-US" w:eastAsia="zh-CN" w:bidi="ar-SA"/>
    </w:rPr>
  </w:style>
  <w:style w:type="character" w:customStyle="1" w:styleId="65">
    <w:name w:val="二级条标题 Char"/>
    <w:link w:val="66"/>
    <w:qFormat/>
    <w:uiPriority w:val="0"/>
    <w:rPr>
      <w:rFonts w:ascii="宋体" w:eastAsia="宋体"/>
      <w:b/>
      <w:bCs/>
      <w:sz w:val="21"/>
      <w:szCs w:val="21"/>
      <w:lang w:val="en-US" w:eastAsia="zh-CN" w:bidi="ar-SA"/>
    </w:rPr>
  </w:style>
  <w:style w:type="paragraph" w:customStyle="1" w:styleId="66">
    <w:name w:val="二级条标题"/>
    <w:basedOn w:val="67"/>
    <w:next w:val="1"/>
    <w:link w:val="65"/>
    <w:qFormat/>
    <w:uiPriority w:val="0"/>
    <w:pPr>
      <w:ind w:left="0"/>
      <w:jc w:val="left"/>
      <w:outlineLvl w:val="3"/>
    </w:pPr>
    <w:rPr>
      <w:szCs w:val="21"/>
    </w:rPr>
  </w:style>
  <w:style w:type="paragraph" w:customStyle="1" w:styleId="67">
    <w:name w:val="一级条标题"/>
    <w:basedOn w:val="68"/>
    <w:next w:val="1"/>
    <w:link w:val="72"/>
    <w:qFormat/>
    <w:uiPriority w:val="0"/>
    <w:pPr>
      <w:spacing w:beforeLines="0" w:afterLines="0"/>
      <w:ind w:left="1440"/>
      <w:outlineLvl w:val="2"/>
    </w:pPr>
    <w:rPr>
      <w:rFonts w:ascii="宋体" w:eastAsia="宋体"/>
      <w:sz w:val="21"/>
    </w:rPr>
  </w:style>
  <w:style w:type="paragraph" w:customStyle="1" w:styleId="68">
    <w:name w:val="章标题"/>
    <w:next w:val="69"/>
    <w:link w:val="70"/>
    <w:qFormat/>
    <w:uiPriority w:val="0"/>
    <w:pPr>
      <w:spacing w:beforeLines="50" w:afterLines="50"/>
      <w:jc w:val="both"/>
      <w:outlineLvl w:val="1"/>
    </w:pPr>
    <w:rPr>
      <w:rFonts w:ascii="黑体" w:hAnsi="Times New Roman" w:eastAsia="华文细黑" w:cs="Times New Roman"/>
      <w:b/>
      <w:bCs/>
      <w:sz w:val="32"/>
      <w:lang w:val="en-US" w:eastAsia="zh-CN" w:bidi="ar-SA"/>
    </w:rPr>
  </w:style>
  <w:style w:type="paragraph" w:customStyle="1" w:styleId="69">
    <w:name w:val="段"/>
    <w:basedOn w:val="1"/>
    <w:link w:val="71"/>
    <w:qFormat/>
    <w:uiPriority w:val="0"/>
    <w:pPr>
      <w:ind w:firstLine="420"/>
    </w:pPr>
    <w:rPr>
      <w:rFonts w:eastAsia="华文细黑"/>
      <w:sz w:val="28"/>
    </w:rPr>
  </w:style>
  <w:style w:type="character" w:customStyle="1" w:styleId="70">
    <w:name w:val="章标题 Char"/>
    <w:link w:val="68"/>
    <w:qFormat/>
    <w:uiPriority w:val="0"/>
    <w:rPr>
      <w:rFonts w:ascii="黑体" w:eastAsia="华文细黑"/>
      <w:b/>
      <w:bCs/>
      <w:sz w:val="32"/>
      <w:lang w:val="en-US" w:eastAsia="zh-CN" w:bidi="ar-SA"/>
    </w:rPr>
  </w:style>
  <w:style w:type="character" w:customStyle="1" w:styleId="71">
    <w:name w:val="段 Char"/>
    <w:link w:val="69"/>
    <w:qFormat/>
    <w:uiPriority w:val="0"/>
    <w:rPr>
      <w:rFonts w:eastAsia="华文细黑"/>
      <w:kern w:val="2"/>
      <w:sz w:val="28"/>
      <w:lang w:val="en-US" w:eastAsia="zh-CN" w:bidi="ar-SA"/>
    </w:rPr>
  </w:style>
  <w:style w:type="character" w:customStyle="1" w:styleId="72">
    <w:name w:val="一级条标题 Char"/>
    <w:link w:val="67"/>
    <w:qFormat/>
    <w:uiPriority w:val="0"/>
    <w:rPr>
      <w:rFonts w:ascii="宋体" w:eastAsia="宋体"/>
      <w:b/>
      <w:bCs/>
      <w:sz w:val="21"/>
      <w:lang w:val="en-US" w:eastAsia="zh-CN" w:bidi="ar-SA"/>
    </w:rPr>
  </w:style>
  <w:style w:type="character" w:customStyle="1" w:styleId="73">
    <w:name w:val="图中文字"/>
    <w:qFormat/>
    <w:uiPriority w:val="0"/>
    <w:rPr>
      <w:rFonts w:ascii="Times New Roman" w:eastAsia="宋体"/>
      <w:sz w:val="15"/>
    </w:rPr>
  </w:style>
  <w:style w:type="character" w:customStyle="1" w:styleId="74">
    <w:name w:val="2 Char"/>
    <w:link w:val="75"/>
    <w:qFormat/>
    <w:uiPriority w:val="0"/>
    <w:rPr>
      <w:rFonts w:ascii="宋体" w:hAnsi="宋体"/>
      <w:kern w:val="2"/>
      <w:sz w:val="21"/>
    </w:rPr>
  </w:style>
  <w:style w:type="paragraph" w:customStyle="1" w:styleId="75">
    <w:name w:val="2"/>
    <w:basedOn w:val="76"/>
    <w:link w:val="74"/>
    <w:qFormat/>
    <w:uiPriority w:val="0"/>
    <w:pPr>
      <w:numPr>
        <w:ilvl w:val="0"/>
        <w:numId w:val="0"/>
      </w:numPr>
      <w:ind w:left="420" w:hanging="420"/>
    </w:pPr>
    <w:rPr>
      <w:rFonts w:ascii="宋体" w:eastAsia="宋体"/>
      <w:b w:val="0"/>
    </w:rPr>
  </w:style>
  <w:style w:type="paragraph" w:customStyle="1" w:styleId="76">
    <w:name w:val="一级"/>
    <w:basedOn w:val="2"/>
    <w:qFormat/>
    <w:uiPriority w:val="0"/>
    <w:pPr>
      <w:keepNext w:val="0"/>
      <w:numPr>
        <w:ilvl w:val="0"/>
        <w:numId w:val="3"/>
      </w:numPr>
      <w:topLinePunct/>
    </w:pPr>
    <w:rPr>
      <w:rFonts w:ascii="Times New Roman" w:hAnsi="宋体" w:eastAsia="黑体"/>
      <w:b/>
      <w:w w:val="100"/>
      <w:sz w:val="21"/>
    </w:rPr>
  </w:style>
  <w:style w:type="character" w:customStyle="1" w:styleId="77">
    <w:name w:val="表头 Char"/>
    <w:link w:val="78"/>
    <w:qFormat/>
    <w:uiPriority w:val="0"/>
    <w:rPr>
      <w:rFonts w:ascii="黑体" w:hAnsi="Monotype Corsiva" w:eastAsia="黑体"/>
      <w:snapToGrid w:val="0"/>
      <w:sz w:val="21"/>
      <w:szCs w:val="24"/>
    </w:rPr>
  </w:style>
  <w:style w:type="paragraph" w:customStyle="1" w:styleId="78">
    <w:name w:val="表头"/>
    <w:basedOn w:val="1"/>
    <w:link w:val="77"/>
    <w:qFormat/>
    <w:uiPriority w:val="0"/>
    <w:pPr>
      <w:topLinePunct/>
      <w:spacing w:before="160" w:after="60" w:line="312" w:lineRule="exact"/>
      <w:jc w:val="center"/>
    </w:pPr>
    <w:rPr>
      <w:rFonts w:ascii="黑体" w:hAnsi="Monotype Corsiva" w:eastAsia="黑体"/>
      <w:snapToGrid w:val="0"/>
      <w:kern w:val="0"/>
      <w:szCs w:val="24"/>
    </w:rPr>
  </w:style>
  <w:style w:type="character" w:customStyle="1" w:styleId="79">
    <w:name w:val="大纲条文注释 Char"/>
    <w:link w:val="80"/>
    <w:qFormat/>
    <w:uiPriority w:val="0"/>
    <w:rPr>
      <w:rFonts w:eastAsia="仿宋_GB2312"/>
      <w:color w:val="000000"/>
      <w:kern w:val="2"/>
      <w:sz w:val="21"/>
      <w:szCs w:val="21"/>
    </w:rPr>
  </w:style>
  <w:style w:type="paragraph" w:customStyle="1" w:styleId="80">
    <w:name w:val="大纲条文注释"/>
    <w:basedOn w:val="1"/>
    <w:link w:val="79"/>
    <w:qFormat/>
    <w:uiPriority w:val="0"/>
    <w:pPr>
      <w:tabs>
        <w:tab w:val="left" w:pos="540"/>
      </w:tabs>
      <w:spacing w:line="300" w:lineRule="auto"/>
      <w:ind w:firstLine="202" w:firstLineChars="202"/>
    </w:pPr>
    <w:rPr>
      <w:rFonts w:eastAsia="仿宋_GB2312"/>
      <w:color w:val="000000"/>
      <w:szCs w:val="21"/>
    </w:rPr>
  </w:style>
  <w:style w:type="character" w:customStyle="1" w:styleId="81">
    <w:name w:val="bai12xi"/>
    <w:qFormat/>
    <w:uiPriority w:val="0"/>
  </w:style>
  <w:style w:type="character" w:customStyle="1" w:styleId="82">
    <w:name w:val="大纲正文样式 Char"/>
    <w:link w:val="83"/>
    <w:qFormat/>
    <w:uiPriority w:val="0"/>
    <w:rPr>
      <w:color w:val="000000"/>
      <w:kern w:val="2"/>
      <w:sz w:val="24"/>
      <w:szCs w:val="24"/>
    </w:rPr>
  </w:style>
  <w:style w:type="paragraph" w:customStyle="1" w:styleId="83">
    <w:name w:val="大纲正文样式"/>
    <w:basedOn w:val="1"/>
    <w:link w:val="82"/>
    <w:qFormat/>
    <w:uiPriority w:val="0"/>
    <w:pPr>
      <w:tabs>
        <w:tab w:val="left" w:pos="540"/>
      </w:tabs>
      <w:spacing w:line="300" w:lineRule="auto"/>
      <w:ind w:firstLine="200" w:firstLineChars="200"/>
    </w:pPr>
    <w:rPr>
      <w:color w:val="000000"/>
      <w:sz w:val="24"/>
      <w:szCs w:val="24"/>
    </w:rPr>
  </w:style>
  <w:style w:type="character" w:customStyle="1" w:styleId="84">
    <w:name w:val="朱表头 Char"/>
    <w:link w:val="85"/>
    <w:qFormat/>
    <w:uiPriority w:val="0"/>
    <w:rPr>
      <w:rFonts w:ascii="EU-F1" w:hAnsi="Monotype Corsiva" w:eastAsia="黑体"/>
      <w:snapToGrid w:val="0"/>
      <w:kern w:val="2"/>
      <w:sz w:val="21"/>
      <w:szCs w:val="21"/>
      <w:lang w:val="en-US" w:eastAsia="zh-CN" w:bidi="ar-SA"/>
    </w:rPr>
  </w:style>
  <w:style w:type="paragraph" w:customStyle="1" w:styleId="85">
    <w:name w:val="朱表头"/>
    <w:basedOn w:val="78"/>
    <w:link w:val="84"/>
    <w:qFormat/>
    <w:uiPriority w:val="0"/>
    <w:rPr>
      <w:rFonts w:ascii="EU-F1"/>
      <w:kern w:val="2"/>
      <w:szCs w:val="21"/>
    </w:rPr>
  </w:style>
  <w:style w:type="character" w:customStyle="1" w:styleId="86">
    <w:name w:val="Footer-Even Char Char"/>
    <w:qFormat/>
    <w:uiPriority w:val="0"/>
    <w:rPr>
      <w:sz w:val="18"/>
    </w:rPr>
  </w:style>
  <w:style w:type="character" w:customStyle="1" w:styleId="87">
    <w:name w:val="Char Char1"/>
    <w:qFormat/>
    <w:uiPriority w:val="0"/>
    <w:rPr>
      <w:rFonts w:eastAsia="黑体"/>
      <w:bCs/>
      <w:kern w:val="44"/>
      <w:sz w:val="32"/>
      <w:szCs w:val="44"/>
      <w:lang w:val="en-US" w:eastAsia="zh-CN" w:bidi="ar-SA"/>
    </w:rPr>
  </w:style>
  <w:style w:type="character" w:customStyle="1" w:styleId="88">
    <w:name w:val="朱2 Char"/>
    <w:link w:val="89"/>
    <w:qFormat/>
    <w:uiPriority w:val="0"/>
    <w:rPr>
      <w:rFonts w:ascii="EU-F1" w:eastAsia="黑体"/>
      <w:kern w:val="2"/>
      <w:sz w:val="21"/>
      <w:szCs w:val="21"/>
      <w:lang w:val="en-US" w:eastAsia="zh-CN" w:bidi="ar-SA"/>
    </w:rPr>
  </w:style>
  <w:style w:type="paragraph" w:customStyle="1" w:styleId="89">
    <w:name w:val="朱2"/>
    <w:basedOn w:val="90"/>
    <w:link w:val="88"/>
    <w:qFormat/>
    <w:uiPriority w:val="0"/>
    <w:pPr>
      <w:topLinePunct/>
      <w:adjustRightInd w:val="0"/>
    </w:pPr>
    <w:rPr>
      <w:szCs w:val="20"/>
    </w:rPr>
  </w:style>
  <w:style w:type="paragraph" w:customStyle="1" w:styleId="90">
    <w:name w:val="样式2"/>
    <w:basedOn w:val="1"/>
    <w:link w:val="91"/>
    <w:qFormat/>
    <w:uiPriority w:val="0"/>
    <w:pPr>
      <w:spacing w:line="312" w:lineRule="exact"/>
    </w:pPr>
    <w:rPr>
      <w:rFonts w:ascii="EU-F1" w:eastAsia="黑体"/>
      <w:szCs w:val="21"/>
    </w:rPr>
  </w:style>
  <w:style w:type="character" w:customStyle="1" w:styleId="91">
    <w:name w:val="样式2 Char"/>
    <w:link w:val="90"/>
    <w:qFormat/>
    <w:uiPriority w:val="0"/>
    <w:rPr>
      <w:rFonts w:ascii="EU-F1" w:eastAsia="黑体"/>
      <w:kern w:val="2"/>
      <w:sz w:val="21"/>
      <w:szCs w:val="21"/>
      <w:lang w:val="en-US" w:eastAsia="zh-CN" w:bidi="ar-SA"/>
    </w:rPr>
  </w:style>
  <w:style w:type="character" w:customStyle="1" w:styleId="92">
    <w:name w:val="songti12px"/>
    <w:qFormat/>
    <w:uiPriority w:val="0"/>
  </w:style>
  <w:style w:type="character" w:customStyle="1" w:styleId="93">
    <w:name w:val="二级标题条 Char Char"/>
    <w:link w:val="94"/>
    <w:qFormat/>
    <w:uiPriority w:val="0"/>
    <w:rPr>
      <w:b/>
      <w:kern w:val="2"/>
      <w:sz w:val="21"/>
      <w:szCs w:val="24"/>
      <w:lang w:bidi="ar-SA"/>
    </w:rPr>
  </w:style>
  <w:style w:type="paragraph" w:customStyle="1" w:styleId="94">
    <w:name w:val="二级标题条"/>
    <w:basedOn w:val="1"/>
    <w:next w:val="66"/>
    <w:link w:val="93"/>
    <w:semiHidden/>
    <w:qFormat/>
    <w:uiPriority w:val="0"/>
    <w:pPr>
      <w:ind w:left="3686"/>
    </w:pPr>
    <w:rPr>
      <w:b/>
      <w:szCs w:val="24"/>
    </w:rPr>
  </w:style>
  <w:style w:type="character" w:customStyle="1" w:styleId="95">
    <w:name w:val="发布"/>
    <w:qFormat/>
    <w:uiPriority w:val="0"/>
    <w:rPr>
      <w:rFonts w:ascii="黑体" w:eastAsia="黑体"/>
      <w:spacing w:val="22"/>
      <w:w w:val="100"/>
      <w:position w:val="3"/>
      <w:sz w:val="28"/>
    </w:rPr>
  </w:style>
  <w:style w:type="character" w:customStyle="1" w:styleId="96">
    <w:name w:val="样式2 Char1"/>
    <w:qFormat/>
    <w:uiPriority w:val="0"/>
    <w:rPr>
      <w:rFonts w:ascii="宋体" w:eastAsia="黑体" w:cs="Arial"/>
      <w:kern w:val="2"/>
      <w:sz w:val="21"/>
      <w:szCs w:val="21"/>
      <w:lang w:val="en-US" w:eastAsia="zh-CN" w:bidi="ar-SA"/>
    </w:rPr>
  </w:style>
  <w:style w:type="character" w:customStyle="1" w:styleId="97">
    <w:name w:val="个人撰写风格"/>
    <w:qFormat/>
    <w:uiPriority w:val="0"/>
    <w:rPr>
      <w:rFonts w:ascii="Arial" w:hAnsi="Arial" w:eastAsia="宋体" w:cs="Arial"/>
      <w:color w:val="auto"/>
      <w:sz w:val="20"/>
    </w:rPr>
  </w:style>
  <w:style w:type="character" w:customStyle="1" w:styleId="98">
    <w:name w:val="个人答复风格"/>
    <w:qFormat/>
    <w:uiPriority w:val="0"/>
    <w:rPr>
      <w:rFonts w:ascii="Arial" w:hAnsi="Arial" w:eastAsia="宋体" w:cs="Arial"/>
      <w:color w:val="auto"/>
      <w:sz w:val="20"/>
    </w:rPr>
  </w:style>
  <w:style w:type="character" w:customStyle="1" w:styleId="99">
    <w:name w:val="样式 五号 非加宽量 / 紧缩量"/>
    <w:qFormat/>
    <w:uiPriority w:val="0"/>
    <w:rPr>
      <w:spacing w:val="-20"/>
      <w:kern w:val="0"/>
      <w:sz w:val="21"/>
      <w:szCs w:val="21"/>
    </w:rPr>
  </w:style>
  <w:style w:type="character" w:customStyle="1" w:styleId="100">
    <w:name w:val="成套标题2 Char"/>
    <w:link w:val="101"/>
    <w:qFormat/>
    <w:uiPriority w:val="0"/>
    <w:rPr>
      <w:rFonts w:ascii="Arial" w:hAnsi="Arial" w:eastAsia="黑体"/>
      <w:spacing w:val="8"/>
      <w:kern w:val="28"/>
      <w:sz w:val="28"/>
    </w:rPr>
  </w:style>
  <w:style w:type="paragraph" w:customStyle="1" w:styleId="101">
    <w:name w:val="成套标题2"/>
    <w:basedOn w:val="1"/>
    <w:next w:val="1"/>
    <w:link w:val="100"/>
    <w:semiHidden/>
    <w:qFormat/>
    <w:uiPriority w:val="0"/>
    <w:pPr>
      <w:keepNext/>
      <w:widowControl/>
      <w:tabs>
        <w:tab w:val="left" w:pos="720"/>
      </w:tabs>
      <w:adjustRightInd w:val="0"/>
      <w:spacing w:beforeLines="50" w:afterLines="50" w:line="420" w:lineRule="exact"/>
      <w:textAlignment w:val="baseline"/>
      <w:outlineLvl w:val="0"/>
    </w:pPr>
    <w:rPr>
      <w:rFonts w:ascii="Arial" w:hAnsi="Arial" w:eastAsia="黑体"/>
      <w:spacing w:val="8"/>
      <w:kern w:val="28"/>
      <w:sz w:val="28"/>
    </w:rPr>
  </w:style>
  <w:style w:type="paragraph" w:customStyle="1" w:styleId="102">
    <w:name w:val="其他发布部门"/>
    <w:basedOn w:val="103"/>
    <w:qFormat/>
    <w:uiPriority w:val="0"/>
    <w:pPr>
      <w:spacing w:line="0" w:lineRule="atLeast"/>
    </w:pPr>
    <w:rPr>
      <w:rFonts w:ascii="黑体" w:eastAsia="黑体"/>
      <w:b w:val="0"/>
    </w:rPr>
  </w:style>
  <w:style w:type="paragraph" w:customStyle="1" w:styleId="103">
    <w:name w:val="发布部门"/>
    <w:next w:val="69"/>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04">
    <w:name w:val="Char1 Char Char Char Char Char Char Char Char Char Char Char1"/>
    <w:basedOn w:val="1"/>
    <w:qFormat/>
    <w:uiPriority w:val="0"/>
    <w:pPr>
      <w:pageBreakBefore/>
      <w:tabs>
        <w:tab w:val="left" w:pos="432"/>
      </w:tabs>
      <w:ind w:left="432" w:hanging="432"/>
    </w:pPr>
    <w:rPr>
      <w:rFonts w:ascii="Tahoma" w:hAnsi="Tahoma"/>
      <w:sz w:val="24"/>
    </w:rPr>
  </w:style>
  <w:style w:type="paragraph" w:customStyle="1" w:styleId="105">
    <w:name w:val="正文图标题"/>
    <w:basedOn w:val="106"/>
    <w:next w:val="69"/>
    <w:qFormat/>
    <w:uiPriority w:val="0"/>
    <w:pPr>
      <w:widowControl/>
      <w:numPr>
        <w:ilvl w:val="0"/>
        <w:numId w:val="4"/>
      </w:numPr>
      <w:tabs>
        <w:tab w:val="left" w:pos="420"/>
        <w:tab w:val="clear" w:pos="360"/>
      </w:tabs>
      <w:spacing w:line="360" w:lineRule="auto"/>
    </w:pPr>
    <w:rPr>
      <w:rFonts w:ascii="宋体" w:hAnsi="宋体" w:eastAsia="宋体" w:cs="Arial"/>
      <w:b/>
      <w:kern w:val="0"/>
      <w:sz w:val="21"/>
      <w:szCs w:val="21"/>
    </w:rPr>
  </w:style>
  <w:style w:type="paragraph" w:customStyle="1" w:styleId="106">
    <w:name w:val="正文表标题"/>
    <w:basedOn w:val="1"/>
    <w:next w:val="1"/>
    <w:qFormat/>
    <w:uiPriority w:val="0"/>
    <w:pPr>
      <w:numPr>
        <w:ilvl w:val="0"/>
        <w:numId w:val="5"/>
      </w:numPr>
      <w:jc w:val="center"/>
    </w:pPr>
    <w:rPr>
      <w:rFonts w:eastAsia="华文细黑"/>
      <w:sz w:val="28"/>
      <w:szCs w:val="28"/>
    </w:rPr>
  </w:style>
  <w:style w:type="paragraph" w:customStyle="1" w:styleId="107">
    <w:name w:val="标准书眉_偶数页"/>
    <w:basedOn w:val="108"/>
    <w:next w:val="1"/>
    <w:qFormat/>
    <w:uiPriority w:val="0"/>
    <w:pPr>
      <w:tabs>
        <w:tab w:val="center" w:pos="4154"/>
        <w:tab w:val="right" w:pos="8306"/>
      </w:tabs>
      <w:jc w:val="left"/>
    </w:pPr>
  </w:style>
  <w:style w:type="paragraph" w:customStyle="1" w:styleId="10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9">
    <w:name w:val="术语定义条标题"/>
    <w:basedOn w:val="68"/>
    <w:next w:val="69"/>
    <w:qFormat/>
    <w:uiPriority w:val="0"/>
    <w:pPr>
      <w:numPr>
        <w:ilvl w:val="0"/>
        <w:numId w:val="6"/>
      </w:numPr>
      <w:tabs>
        <w:tab w:val="left" w:pos="420"/>
      </w:tabs>
      <w:spacing w:beforeLines="0" w:afterLines="0"/>
      <w:jc w:val="left"/>
      <w:outlineLvl w:val="9"/>
    </w:pPr>
    <w:rPr>
      <w:rFonts w:eastAsia="黑体"/>
      <w:bCs w:val="0"/>
      <w:sz w:val="21"/>
    </w:rPr>
  </w:style>
  <w:style w:type="paragraph" w:customStyle="1" w:styleId="110">
    <w:name w:val="标题 16"/>
    <w:basedOn w:val="1"/>
    <w:qFormat/>
    <w:uiPriority w:val="0"/>
  </w:style>
  <w:style w:type="paragraph" w:customStyle="1" w:styleId="111">
    <w:name w:val="Char Char3 Char Char Char Char Char Char Char"/>
    <w:basedOn w:val="1"/>
    <w:qFormat/>
    <w:uiPriority w:val="0"/>
    <w:pPr>
      <w:widowControl/>
      <w:spacing w:after="160" w:line="240" w:lineRule="exact"/>
      <w:jc w:val="center"/>
    </w:pPr>
    <w:rPr>
      <w:rFonts w:ascii="Verdana" w:hAnsi="Verdana"/>
      <w:kern w:val="0"/>
      <w:sz w:val="20"/>
      <w:szCs w:val="24"/>
      <w:lang w:eastAsia="en-US"/>
    </w:rPr>
  </w:style>
  <w:style w:type="paragraph" w:customStyle="1" w:styleId="112">
    <w:name w:val="朱1"/>
    <w:basedOn w:val="113"/>
    <w:qFormat/>
    <w:uiPriority w:val="0"/>
    <w:pPr>
      <w:keepNext/>
      <w:topLinePunct/>
      <w:spacing w:line="480" w:lineRule="auto"/>
      <w:outlineLvl w:val="0"/>
    </w:pPr>
  </w:style>
  <w:style w:type="paragraph" w:customStyle="1" w:styleId="113">
    <w:name w:val="样式1"/>
    <w:basedOn w:val="1"/>
    <w:qFormat/>
    <w:uiPriority w:val="0"/>
    <w:rPr>
      <w:rFonts w:ascii="EU-F1" w:eastAsia="黑体"/>
      <w:kern w:val="21"/>
      <w:szCs w:val="21"/>
    </w:rPr>
  </w:style>
  <w:style w:type="paragraph" w:customStyle="1" w:styleId="114">
    <w:name w:val="注×：（正文）"/>
    <w:qFormat/>
    <w:uiPriority w:val="0"/>
    <w:pPr>
      <w:numPr>
        <w:ilvl w:val="0"/>
        <w:numId w:val="7"/>
      </w:numPr>
      <w:jc w:val="both"/>
    </w:pPr>
    <w:rPr>
      <w:rFonts w:ascii="宋体" w:hAnsi="Times New Roman" w:eastAsia="宋体" w:cs="Times New Roman"/>
      <w:sz w:val="18"/>
      <w:szCs w:val="18"/>
      <w:lang w:val="en-US" w:eastAsia="zh-CN" w:bidi="ar-SA"/>
    </w:rPr>
  </w:style>
  <w:style w:type="paragraph" w:customStyle="1" w:styleId="115">
    <w:name w:val="工程建设章标题"/>
    <w:next w:val="69"/>
    <w:qFormat/>
    <w:uiPriority w:val="0"/>
    <w:pPr>
      <w:spacing w:before="640" w:after="560" w:line="480" w:lineRule="exact"/>
      <w:jc w:val="center"/>
      <w:outlineLvl w:val="1"/>
    </w:pPr>
    <w:rPr>
      <w:rFonts w:ascii="黑体" w:hAnsi="Times New Roman" w:eastAsia="黑体" w:cs="Times New Roman"/>
      <w:b/>
      <w:sz w:val="28"/>
      <w:lang w:val="en-US" w:eastAsia="zh-CN" w:bidi="ar-SA"/>
    </w:rPr>
  </w:style>
  <w:style w:type="paragraph" w:customStyle="1" w:styleId="116">
    <w:name w:val="附录五级条标题"/>
    <w:basedOn w:val="117"/>
    <w:next w:val="69"/>
    <w:qFormat/>
    <w:uiPriority w:val="0"/>
    <w:pPr>
      <w:tabs>
        <w:tab w:val="left" w:pos="1260"/>
      </w:tabs>
      <w:outlineLvl w:val="6"/>
    </w:pPr>
  </w:style>
  <w:style w:type="paragraph" w:customStyle="1" w:styleId="117">
    <w:name w:val="附录四级条标题"/>
    <w:basedOn w:val="118"/>
    <w:next w:val="69"/>
    <w:qFormat/>
    <w:uiPriority w:val="0"/>
    <w:pPr>
      <w:tabs>
        <w:tab w:val="left" w:pos="1260"/>
      </w:tabs>
      <w:outlineLvl w:val="5"/>
    </w:pPr>
  </w:style>
  <w:style w:type="paragraph" w:customStyle="1" w:styleId="118">
    <w:name w:val="附录三级条标题"/>
    <w:basedOn w:val="119"/>
    <w:next w:val="69"/>
    <w:qFormat/>
    <w:uiPriority w:val="0"/>
    <w:pPr>
      <w:tabs>
        <w:tab w:val="left" w:pos="1260"/>
      </w:tabs>
      <w:outlineLvl w:val="4"/>
    </w:pPr>
  </w:style>
  <w:style w:type="paragraph" w:customStyle="1" w:styleId="119">
    <w:name w:val="附录二级条标题"/>
    <w:basedOn w:val="120"/>
    <w:next w:val="69"/>
    <w:qFormat/>
    <w:uiPriority w:val="0"/>
    <w:pPr>
      <w:tabs>
        <w:tab w:val="left" w:pos="1260"/>
      </w:tabs>
      <w:ind w:left="0" w:firstLine="0"/>
      <w:outlineLvl w:val="3"/>
    </w:pPr>
    <w:rPr>
      <w:b/>
    </w:rPr>
  </w:style>
  <w:style w:type="paragraph" w:customStyle="1" w:styleId="120">
    <w:name w:val="附录一级条标题"/>
    <w:basedOn w:val="1"/>
    <w:next w:val="1"/>
    <w:qFormat/>
    <w:uiPriority w:val="0"/>
    <w:pPr>
      <w:widowControl/>
      <w:tabs>
        <w:tab w:val="left" w:pos="1260"/>
      </w:tabs>
      <w:wordWrap w:val="0"/>
      <w:overflowPunct w:val="0"/>
      <w:autoSpaceDE w:val="0"/>
      <w:autoSpaceDN w:val="0"/>
      <w:ind w:left="1260" w:hanging="420"/>
      <w:textAlignment w:val="baseline"/>
      <w:outlineLvl w:val="2"/>
    </w:pPr>
    <w:rPr>
      <w:rFonts w:ascii="黑体" w:eastAsia="黑体"/>
      <w:kern w:val="21"/>
    </w:rPr>
  </w:style>
  <w:style w:type="paragraph" w:customStyle="1" w:styleId="121">
    <w:name w:val="数字编号列项（二级）"/>
    <w:qFormat/>
    <w:uiPriority w:val="0"/>
    <w:pPr>
      <w:numPr>
        <w:ilvl w:val="2"/>
        <w:numId w:val="8"/>
      </w:numPr>
      <w:ind w:left="400" w:leftChars="400" w:hanging="200" w:hangingChars="200"/>
      <w:jc w:val="both"/>
    </w:pPr>
    <w:rPr>
      <w:rFonts w:ascii="宋体" w:hAnsi="Times New Roman" w:eastAsia="宋体" w:cs="Times New Roman"/>
      <w:sz w:val="21"/>
      <w:lang w:val="en-US" w:eastAsia="zh-CN" w:bidi="ar-SA"/>
    </w:rPr>
  </w:style>
  <w:style w:type="paragraph" w:customStyle="1" w:styleId="122">
    <w:name w:val="修订1"/>
    <w:semiHidden/>
    <w:qFormat/>
    <w:uiPriority w:val="99"/>
    <w:rPr>
      <w:rFonts w:ascii="Times New Roman" w:hAnsi="Times New Roman" w:eastAsia="宋体" w:cs="Times New Roman"/>
      <w:kern w:val="2"/>
      <w:sz w:val="21"/>
      <w:lang w:val="en-US" w:eastAsia="zh-CN" w:bidi="ar-SA"/>
    </w:rPr>
  </w:style>
  <w:style w:type="paragraph" w:customStyle="1" w:styleId="123">
    <w:name w:val="术语定义四级条标题"/>
    <w:basedOn w:val="109"/>
    <w:next w:val="69"/>
    <w:qFormat/>
    <w:uiPriority w:val="0"/>
    <w:pPr>
      <w:numPr>
        <w:ilvl w:val="3"/>
      </w:numPr>
    </w:pPr>
  </w:style>
  <w:style w:type="paragraph" w:customStyle="1" w:styleId="124">
    <w:name w:val="四级条标题"/>
    <w:basedOn w:val="1"/>
    <w:next w:val="1"/>
    <w:qFormat/>
    <w:uiPriority w:val="0"/>
    <w:pPr>
      <w:widowControl/>
      <w:jc w:val="left"/>
      <w:outlineLvl w:val="5"/>
    </w:pPr>
    <w:rPr>
      <w:rFonts w:ascii="宋体"/>
      <w:color w:val="000000"/>
      <w:kern w:val="0"/>
      <w:szCs w:val="21"/>
    </w:rPr>
  </w:style>
  <w:style w:type="paragraph" w:customStyle="1" w:styleId="125">
    <w:name w:val="工程建设无节条标题"/>
    <w:basedOn w:val="1"/>
    <w:next w:val="69"/>
    <w:qFormat/>
    <w:uiPriority w:val="0"/>
    <w:pPr>
      <w:numPr>
        <w:ilvl w:val="8"/>
        <w:numId w:val="9"/>
      </w:numPr>
      <w:tabs>
        <w:tab w:val="clear" w:pos="720"/>
      </w:tabs>
      <w:outlineLvl w:val="3"/>
    </w:pPr>
    <w:rPr>
      <w:szCs w:val="24"/>
    </w:rPr>
  </w:style>
  <w:style w:type="paragraph" w:customStyle="1" w:styleId="126">
    <w:name w:val="标准书眉一"/>
    <w:qFormat/>
    <w:uiPriority w:val="0"/>
    <w:pPr>
      <w:jc w:val="both"/>
    </w:pPr>
    <w:rPr>
      <w:rFonts w:ascii="Times New Roman" w:hAnsi="Times New Roman" w:eastAsia="宋体" w:cs="Times New Roman"/>
      <w:lang w:val="en-US" w:eastAsia="zh-CN" w:bidi="ar-SA"/>
    </w:rPr>
  </w:style>
  <w:style w:type="paragraph" w:customStyle="1" w:styleId="127">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28">
    <w:name w:val="Char Char Char Char Char Char Char Char Char Char1"/>
    <w:basedOn w:val="1"/>
    <w:qFormat/>
    <w:uiPriority w:val="0"/>
  </w:style>
  <w:style w:type="paragraph" w:customStyle="1" w:styleId="129">
    <w:name w:val="二级条目录"/>
    <w:basedOn w:val="66"/>
    <w:next w:val="1"/>
    <w:qFormat/>
    <w:uiPriority w:val="0"/>
    <w:rPr>
      <w:rFonts w:hAnsi="宋体"/>
      <w:kern w:val="21"/>
    </w:rPr>
  </w:style>
  <w:style w:type="paragraph" w:customStyle="1" w:styleId="130">
    <w:name w:val="示例"/>
    <w:next w:val="69"/>
    <w:qFormat/>
    <w:uiPriority w:val="0"/>
    <w:pPr>
      <w:numPr>
        <w:ilvl w:val="0"/>
        <w:numId w:val="10"/>
      </w:numPr>
      <w:tabs>
        <w:tab w:val="clear" w:pos="1140"/>
      </w:tabs>
      <w:ind w:left="0" w:firstLine="200" w:firstLineChars="200"/>
      <w:jc w:val="both"/>
    </w:pPr>
    <w:rPr>
      <w:rFonts w:ascii="宋体" w:hAnsi="Times New Roman" w:eastAsia="宋体" w:cs="Times New Roman"/>
      <w:sz w:val="18"/>
      <w:lang w:val="en-US" w:eastAsia="zh-CN" w:bidi="ar-SA"/>
    </w:rPr>
  </w:style>
  <w:style w:type="paragraph" w:customStyle="1" w:styleId="131">
    <w:name w:val="引言一级条标题"/>
    <w:basedOn w:val="1"/>
    <w:next w:val="69"/>
    <w:qFormat/>
    <w:uiPriority w:val="0"/>
    <w:pPr>
      <w:widowControl/>
    </w:pPr>
    <w:rPr>
      <w:rFonts w:eastAsia="黑体"/>
      <w:b/>
      <w:szCs w:val="24"/>
    </w:rPr>
  </w:style>
  <w:style w:type="paragraph" w:customStyle="1" w:styleId="132">
    <w:name w:val="工程建设公式标题"/>
    <w:basedOn w:val="133"/>
    <w:qFormat/>
    <w:uiPriority w:val="0"/>
    <w:pPr>
      <w:jc w:val="center"/>
      <w:outlineLvl w:val="6"/>
    </w:pPr>
  </w:style>
  <w:style w:type="paragraph" w:customStyle="1" w:styleId="133">
    <w:name w:val="工程建设条标题"/>
    <w:basedOn w:val="134"/>
    <w:next w:val="69"/>
    <w:qFormat/>
    <w:uiPriority w:val="0"/>
    <w:pPr>
      <w:spacing w:before="0" w:after="0"/>
      <w:jc w:val="left"/>
      <w:outlineLvl w:val="3"/>
    </w:pPr>
    <w:rPr>
      <w:b w:val="0"/>
    </w:rPr>
  </w:style>
  <w:style w:type="paragraph" w:customStyle="1" w:styleId="134">
    <w:name w:val="工程建设节标题"/>
    <w:basedOn w:val="115"/>
    <w:next w:val="69"/>
    <w:qFormat/>
    <w:uiPriority w:val="0"/>
    <w:pPr>
      <w:spacing w:before="400" w:after="400" w:line="240" w:lineRule="auto"/>
      <w:outlineLvl w:val="2"/>
    </w:pPr>
    <w:rPr>
      <w:sz w:val="21"/>
    </w:rPr>
  </w:style>
  <w:style w:type="paragraph" w:customStyle="1" w:styleId="135">
    <w:name w:val="Char Char Char Char Char Char Char"/>
    <w:basedOn w:val="1"/>
    <w:qFormat/>
    <w:uiPriority w:val="0"/>
    <w:pPr>
      <w:spacing w:line="360" w:lineRule="auto"/>
      <w:ind w:firstLine="200" w:firstLineChars="200"/>
    </w:pPr>
    <w:rPr>
      <w:rFonts w:ascii="宋体" w:hAnsi="宋体" w:cs="宋体"/>
      <w:sz w:val="24"/>
      <w:szCs w:val="24"/>
    </w:rPr>
  </w:style>
  <w:style w:type="paragraph" w:customStyle="1" w:styleId="136">
    <w:name w:val="样式3"/>
    <w:basedOn w:val="1"/>
    <w:qFormat/>
    <w:uiPriority w:val="0"/>
    <w:pPr>
      <w:tabs>
        <w:tab w:val="left" w:pos="420"/>
        <w:tab w:val="left" w:pos="851"/>
      </w:tabs>
      <w:ind w:left="851" w:hanging="851"/>
    </w:pPr>
    <w:rPr>
      <w:szCs w:val="21"/>
    </w:rPr>
  </w:style>
  <w:style w:type="paragraph" w:customStyle="1" w:styleId="137">
    <w:name w:val="其他标准称谓"/>
    <w:qFormat/>
    <w:uiPriority w:val="0"/>
    <w:pPr>
      <w:numPr>
        <w:ilvl w:val="0"/>
        <w:numId w:val="11"/>
      </w:numPr>
      <w:spacing w:line="0" w:lineRule="atLeast"/>
      <w:jc w:val="distribute"/>
    </w:pPr>
    <w:rPr>
      <w:rFonts w:ascii="黑体" w:hAnsi="宋体" w:eastAsia="黑体" w:cs="Times New Roman"/>
      <w:sz w:val="52"/>
      <w:lang w:val="en-US" w:eastAsia="zh-CN" w:bidi="ar-SA"/>
    </w:rPr>
  </w:style>
  <w:style w:type="paragraph" w:customStyle="1" w:styleId="138">
    <w:name w:val="术语定义五级条标题"/>
    <w:basedOn w:val="68"/>
    <w:next w:val="69"/>
    <w:qFormat/>
    <w:uiPriority w:val="0"/>
    <w:pPr>
      <w:numPr>
        <w:ilvl w:val="4"/>
        <w:numId w:val="6"/>
      </w:numPr>
      <w:tabs>
        <w:tab w:val="left" w:pos="420"/>
      </w:tabs>
      <w:spacing w:beforeLines="0" w:afterLines="0"/>
      <w:outlineLvl w:val="9"/>
    </w:pPr>
    <w:rPr>
      <w:rFonts w:eastAsia="黑体"/>
      <w:bCs w:val="0"/>
      <w:sz w:val="21"/>
    </w:rPr>
  </w:style>
  <w:style w:type="paragraph" w:customStyle="1" w:styleId="139">
    <w:name w:val="Char1"/>
    <w:basedOn w:val="1"/>
    <w:qFormat/>
    <w:uiPriority w:val="0"/>
    <w:rPr>
      <w:rFonts w:ascii="Tahoma" w:hAnsi="Tahoma"/>
      <w:sz w:val="24"/>
    </w:rPr>
  </w:style>
  <w:style w:type="paragraph" w:customStyle="1" w:styleId="14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41">
    <w:name w:val="标题 17"/>
    <w:basedOn w:val="1"/>
    <w:qFormat/>
    <w:uiPriority w:val="0"/>
  </w:style>
  <w:style w:type="paragraph" w:customStyle="1" w:styleId="142">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3">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44">
    <w:name w:val="目次、标准名称标题"/>
    <w:basedOn w:val="145"/>
    <w:next w:val="69"/>
    <w:qFormat/>
    <w:uiPriority w:val="0"/>
    <w:pPr>
      <w:spacing w:line="460" w:lineRule="exact"/>
      <w:outlineLvl w:val="9"/>
    </w:pPr>
  </w:style>
  <w:style w:type="paragraph" w:customStyle="1" w:styleId="145">
    <w:name w:val="前言、引言标题"/>
    <w:next w:val="1"/>
    <w:qFormat/>
    <w:uiPriority w:val="0"/>
    <w:pPr>
      <w:shd w:val="clear" w:color="FFFFFF" w:fill="FFFFFF"/>
      <w:spacing w:before="640" w:after="560"/>
      <w:jc w:val="center"/>
      <w:outlineLvl w:val="0"/>
    </w:pPr>
    <w:rPr>
      <w:rFonts w:ascii="黑体" w:hAnsi="Times New Roman" w:eastAsia="黑体" w:cs="Times New Roman"/>
      <w:b/>
      <w:sz w:val="32"/>
      <w:lang w:val="en-US" w:eastAsia="zh-CN" w:bidi="ar-SA"/>
    </w:rPr>
  </w:style>
  <w:style w:type="paragraph" w:customStyle="1" w:styleId="146">
    <w:name w:val="三级无标题条"/>
    <w:basedOn w:val="1"/>
    <w:qFormat/>
    <w:uiPriority w:val="0"/>
    <w:rPr>
      <w:b/>
      <w:szCs w:val="24"/>
    </w:rPr>
  </w:style>
  <w:style w:type="paragraph" w:customStyle="1" w:styleId="147">
    <w:name w:val="列项——（一级）"/>
    <w:qFormat/>
    <w:uiPriority w:val="0"/>
    <w:pPr>
      <w:widowControl w:val="0"/>
      <w:tabs>
        <w:tab w:val="left" w:pos="1080"/>
        <w:tab w:val="left" w:pos="1157"/>
      </w:tabs>
      <w:adjustRightInd w:val="0"/>
      <w:spacing w:line="360" w:lineRule="atLeast"/>
      <w:ind w:left="1157" w:hanging="318"/>
      <w:jc w:val="both"/>
      <w:textAlignment w:val="baseline"/>
    </w:pPr>
    <w:rPr>
      <w:rFonts w:ascii="宋体" w:hAnsi="Times New Roman" w:eastAsia="宋体" w:cs="Times New Roman"/>
      <w:sz w:val="21"/>
      <w:lang w:val="en-US" w:eastAsia="zh-CN" w:bidi="ar-SA"/>
    </w:rPr>
  </w:style>
  <w:style w:type="paragraph" w:customStyle="1" w:styleId="148">
    <w:name w:val="二级无标题条"/>
    <w:basedOn w:val="1"/>
    <w:qFormat/>
    <w:uiPriority w:val="0"/>
    <w:pPr>
      <w:numPr>
        <w:ilvl w:val="3"/>
        <w:numId w:val="12"/>
      </w:numPr>
    </w:pPr>
    <w:rPr>
      <w:b/>
      <w:szCs w:val="24"/>
    </w:rPr>
  </w:style>
  <w:style w:type="paragraph" w:customStyle="1" w:styleId="149">
    <w:name w:val="注×："/>
    <w:qFormat/>
    <w:uiPriority w:val="0"/>
    <w:pPr>
      <w:widowControl w:val="0"/>
      <w:numPr>
        <w:ilvl w:val="0"/>
        <w:numId w:val="13"/>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50">
    <w:name w:val="四级无标题条"/>
    <w:basedOn w:val="1"/>
    <w:qFormat/>
    <w:uiPriority w:val="0"/>
    <w:pPr>
      <w:numPr>
        <w:ilvl w:val="5"/>
        <w:numId w:val="12"/>
      </w:numPr>
    </w:pPr>
    <w:rPr>
      <w:rFonts w:eastAsia="黑体"/>
      <w:b/>
      <w:szCs w:val="24"/>
    </w:rPr>
  </w:style>
  <w:style w:type="paragraph" w:customStyle="1" w:styleId="151">
    <w:name w:val="结构图正文"/>
    <w:basedOn w:val="1"/>
    <w:qFormat/>
    <w:uiPriority w:val="0"/>
    <w:rPr>
      <w:rFonts w:eastAsia="华文细黑"/>
      <w:kern w:val="0"/>
    </w:rPr>
  </w:style>
  <w:style w:type="paragraph" w:customStyle="1" w:styleId="152">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53">
    <w:name w:val="参考文献、索引标题"/>
    <w:basedOn w:val="145"/>
    <w:next w:val="1"/>
    <w:qFormat/>
    <w:uiPriority w:val="0"/>
    <w:pPr>
      <w:spacing w:after="200"/>
    </w:pPr>
    <w:rPr>
      <w:sz w:val="21"/>
    </w:rPr>
  </w:style>
  <w:style w:type="paragraph" w:customStyle="1" w:styleId="154">
    <w:name w:val="标题 13"/>
    <w:basedOn w:val="1"/>
    <w:qFormat/>
    <w:uiPriority w:val="0"/>
  </w:style>
  <w:style w:type="paragraph" w:customStyle="1" w:styleId="155">
    <w:name w:val="术语定义二级条标题"/>
    <w:basedOn w:val="109"/>
    <w:next w:val="69"/>
    <w:qFormat/>
    <w:uiPriority w:val="0"/>
    <w:pPr>
      <w:numPr>
        <w:ilvl w:val="1"/>
      </w:numPr>
    </w:pPr>
  </w:style>
  <w:style w:type="paragraph" w:customStyle="1" w:styleId="156">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5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58">
    <w:name w:val="封面正文"/>
    <w:qFormat/>
    <w:uiPriority w:val="0"/>
    <w:pPr>
      <w:jc w:val="both"/>
    </w:pPr>
    <w:rPr>
      <w:rFonts w:ascii="Times New Roman" w:hAnsi="Times New Roman" w:eastAsia="宋体" w:cs="Times New Roman"/>
      <w:lang w:val="en-US" w:eastAsia="zh-CN" w:bidi="ar-SA"/>
    </w:rPr>
  </w:style>
  <w:style w:type="paragraph" w:customStyle="1" w:styleId="159">
    <w:name w:val="名称"/>
    <w:basedOn w:val="145"/>
    <w:next w:val="69"/>
    <w:qFormat/>
    <w:uiPriority w:val="0"/>
    <w:pPr>
      <w:spacing w:line="460" w:lineRule="exact"/>
      <w:outlineLvl w:val="9"/>
    </w:pPr>
  </w:style>
  <w:style w:type="paragraph" w:customStyle="1" w:styleId="160">
    <w:name w:val="条文说明"/>
    <w:basedOn w:val="159"/>
    <w:qFormat/>
    <w:uiPriority w:val="0"/>
  </w:style>
  <w:style w:type="paragraph" w:customStyle="1" w:styleId="161">
    <w:name w:val="代码图六号"/>
    <w:basedOn w:val="1"/>
    <w:qFormat/>
    <w:uiPriority w:val="0"/>
    <w:pPr>
      <w:spacing w:line="360" w:lineRule="auto"/>
    </w:pPr>
    <w:rPr>
      <w:color w:val="000000"/>
      <w:sz w:val="15"/>
      <w:szCs w:val="24"/>
    </w:rPr>
  </w:style>
  <w:style w:type="paragraph" w:customStyle="1" w:styleId="162">
    <w:name w:val="标题 15"/>
    <w:basedOn w:val="1"/>
    <w:qFormat/>
    <w:uiPriority w:val="0"/>
  </w:style>
  <w:style w:type="paragraph" w:customStyle="1" w:styleId="163">
    <w:name w:val="列项·"/>
    <w:qFormat/>
    <w:uiPriority w:val="0"/>
    <w:pPr>
      <w:numPr>
        <w:ilvl w:val="0"/>
        <w:numId w:val="14"/>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64">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65">
    <w:name w:val="图"/>
    <w:basedOn w:val="1"/>
    <w:next w:val="1"/>
    <w:qFormat/>
    <w:uiPriority w:val="0"/>
    <w:pPr>
      <w:spacing w:line="360" w:lineRule="auto"/>
      <w:jc w:val="center"/>
    </w:pPr>
    <w:rPr>
      <w:b/>
      <w:szCs w:val="24"/>
    </w:rPr>
  </w:style>
  <w:style w:type="paragraph" w:customStyle="1" w:styleId="166">
    <w:name w:val="样式1 样式 标题 4 + 段前: 0 行 + Times New Roman"/>
    <w:basedOn w:val="1"/>
    <w:next w:val="1"/>
    <w:qFormat/>
    <w:uiPriority w:val="0"/>
    <w:pPr>
      <w:tabs>
        <w:tab w:val="left" w:pos="0"/>
      </w:tabs>
      <w:snapToGrid w:val="0"/>
      <w:spacing w:line="276" w:lineRule="auto"/>
      <w:outlineLvl w:val="3"/>
    </w:pPr>
    <w:rPr>
      <w:rFonts w:eastAsia="黑体"/>
      <w:bCs/>
      <w:szCs w:val="21"/>
    </w:rPr>
  </w:style>
  <w:style w:type="paragraph" w:customStyle="1" w:styleId="167">
    <w:name w:val="五级条标题"/>
    <w:basedOn w:val="124"/>
    <w:next w:val="69"/>
    <w:qFormat/>
    <w:uiPriority w:val="0"/>
    <w:pPr>
      <w:tabs>
        <w:tab w:val="left" w:pos="1407"/>
        <w:tab w:val="left" w:pos="1440"/>
      </w:tabs>
      <w:jc w:val="both"/>
      <w:outlineLvl w:val="6"/>
    </w:pPr>
    <w:rPr>
      <w:rFonts w:ascii="黑体" w:eastAsia="黑体"/>
      <w:b/>
      <w:color w:val="auto"/>
      <w:szCs w:val="20"/>
    </w:rPr>
  </w:style>
  <w:style w:type="paragraph" w:customStyle="1" w:styleId="168">
    <w:name w:val="附录图标题"/>
    <w:basedOn w:val="105"/>
    <w:next w:val="69"/>
    <w:qFormat/>
    <w:uiPriority w:val="0"/>
    <w:pPr>
      <w:numPr>
        <w:ilvl w:val="0"/>
        <w:numId w:val="15"/>
      </w:numPr>
      <w:tabs>
        <w:tab w:val="left" w:pos="210"/>
        <w:tab w:val="clear" w:pos="360"/>
      </w:tabs>
    </w:pPr>
  </w:style>
  <w:style w:type="paragraph" w:customStyle="1" w:styleId="169">
    <w:name w:val="公式"/>
    <w:basedOn w:val="69"/>
    <w:qFormat/>
    <w:uiPriority w:val="0"/>
    <w:pPr>
      <w:tabs>
        <w:tab w:val="center" w:pos="4706"/>
        <w:tab w:val="right" w:pos="9412"/>
      </w:tabs>
      <w:topLinePunct/>
      <w:snapToGrid w:val="0"/>
      <w:spacing w:before="40" w:after="40"/>
      <w:ind w:firstLine="0"/>
    </w:pPr>
    <w:rPr>
      <w:rFonts w:eastAsia="宋体" w:cs="Arial"/>
      <w:sz w:val="21"/>
      <w:szCs w:val="21"/>
    </w:rPr>
  </w:style>
  <w:style w:type="paragraph" w:customStyle="1" w:styleId="170">
    <w:name w:val="实施日期"/>
    <w:basedOn w:val="140"/>
    <w:qFormat/>
    <w:uiPriority w:val="0"/>
    <w:pPr>
      <w:framePr w:hSpace="0" w:xAlign="right"/>
      <w:jc w:val="right"/>
    </w:pPr>
  </w:style>
  <w:style w:type="paragraph" w:customStyle="1" w:styleId="171">
    <w:name w:val="表格文本居左"/>
    <w:basedOn w:val="1"/>
    <w:qFormat/>
    <w:uiPriority w:val="0"/>
    <w:pPr>
      <w:spacing w:before="60" w:after="60"/>
      <w:jc w:val="left"/>
    </w:pPr>
    <w:rPr>
      <w:szCs w:val="24"/>
    </w:rPr>
  </w:style>
  <w:style w:type="paragraph" w:customStyle="1" w:styleId="17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73">
    <w:name w:val="样式1 样式 标题 3 + 段前: 0.1 行 + 段前: 0.1 行"/>
    <w:basedOn w:val="1"/>
    <w:qFormat/>
    <w:uiPriority w:val="0"/>
    <w:pPr>
      <w:tabs>
        <w:tab w:val="left" w:pos="210"/>
        <w:tab w:val="left" w:pos="454"/>
        <w:tab w:val="left" w:pos="630"/>
      </w:tabs>
      <w:snapToGrid w:val="0"/>
      <w:spacing w:line="276" w:lineRule="auto"/>
      <w:outlineLvl w:val="2"/>
    </w:pPr>
    <w:rPr>
      <w:rFonts w:eastAsia="黑体" w:cs="宋体"/>
      <w:bCs/>
      <w:szCs w:val="21"/>
    </w:rPr>
  </w:style>
  <w:style w:type="paragraph" w:customStyle="1" w:styleId="174">
    <w:name w:val="Char1 Char Char Char Char Char Char Char Char Char Char Char"/>
    <w:basedOn w:val="1"/>
    <w:qFormat/>
    <w:uiPriority w:val="0"/>
    <w:pPr>
      <w:pageBreakBefore/>
      <w:tabs>
        <w:tab w:val="left" w:pos="432"/>
      </w:tabs>
      <w:ind w:left="432" w:hanging="432"/>
    </w:pPr>
    <w:rPr>
      <w:rFonts w:ascii="Tahoma" w:hAnsi="Tahoma"/>
      <w:sz w:val="24"/>
    </w:rPr>
  </w:style>
  <w:style w:type="paragraph" w:customStyle="1" w:styleId="175">
    <w:name w:val="正文表标题续表"/>
    <w:basedOn w:val="106"/>
    <w:next w:val="69"/>
    <w:qFormat/>
    <w:uiPriority w:val="0"/>
    <w:pPr>
      <w:widowControl/>
      <w:numPr>
        <w:ilvl w:val="2"/>
        <w:numId w:val="16"/>
      </w:numPr>
      <w:tabs>
        <w:tab w:val="left" w:pos="420"/>
      </w:tabs>
      <w:spacing w:line="360" w:lineRule="auto"/>
    </w:pPr>
    <w:rPr>
      <w:rFonts w:ascii="宋体" w:hAnsi="宋体" w:eastAsia="宋体" w:cs="Arial"/>
      <w:kern w:val="0"/>
      <w:sz w:val="21"/>
      <w:szCs w:val="21"/>
    </w:rPr>
  </w:style>
  <w:style w:type="paragraph" w:customStyle="1" w:styleId="176">
    <w:name w:val="五级无标题条"/>
    <w:basedOn w:val="1"/>
    <w:qFormat/>
    <w:uiPriority w:val="0"/>
    <w:pPr>
      <w:numPr>
        <w:ilvl w:val="6"/>
        <w:numId w:val="12"/>
      </w:numPr>
    </w:pPr>
    <w:rPr>
      <w:rFonts w:ascii="黑体" w:eastAsia="黑体"/>
      <w:b/>
      <w:szCs w:val="24"/>
    </w:rPr>
  </w:style>
  <w:style w:type="paragraph" w:customStyle="1" w:styleId="177">
    <w:name w:val="正文格式"/>
    <w:basedOn w:val="1"/>
    <w:qFormat/>
    <w:uiPriority w:val="0"/>
    <w:pPr>
      <w:topLinePunct/>
      <w:ind w:firstLine="420" w:firstLineChars="200"/>
    </w:pPr>
    <w:rPr>
      <w:rFonts w:ascii="宋体" w:hAnsi="宋体"/>
      <w:bCs/>
      <w:szCs w:val="21"/>
    </w:rPr>
  </w:style>
  <w:style w:type="paragraph" w:customStyle="1" w:styleId="178">
    <w:name w:val="样式1 标题 1 + 段前: 1 行 段后: 1 行"/>
    <w:basedOn w:val="1"/>
    <w:qFormat/>
    <w:uiPriority w:val="0"/>
    <w:pPr>
      <w:tabs>
        <w:tab w:val="left" w:pos="360"/>
      </w:tabs>
      <w:spacing w:beforeLines="50" w:afterLines="50"/>
      <w:jc w:val="left"/>
      <w:outlineLvl w:val="0"/>
    </w:pPr>
    <w:rPr>
      <w:rFonts w:eastAsia="黑体"/>
      <w:b/>
      <w:bCs/>
      <w:kern w:val="21"/>
      <w:szCs w:val="21"/>
    </w:rPr>
  </w:style>
  <w:style w:type="paragraph" w:customStyle="1" w:styleId="179">
    <w:name w:val="条文脚注"/>
    <w:basedOn w:val="32"/>
    <w:qFormat/>
    <w:uiPriority w:val="0"/>
    <w:pPr>
      <w:numPr>
        <w:ilvl w:val="0"/>
        <w:numId w:val="17"/>
      </w:numPr>
      <w:ind w:firstLineChars="0"/>
      <w:jc w:val="both"/>
    </w:pPr>
    <w:rPr>
      <w:rFonts w:ascii="宋体"/>
    </w:rPr>
  </w:style>
  <w:style w:type="paragraph" w:customStyle="1" w:styleId="180">
    <w:name w:val="三级条标题"/>
    <w:basedOn w:val="66"/>
    <w:next w:val="1"/>
    <w:qFormat/>
    <w:uiPriority w:val="0"/>
    <w:pPr>
      <w:outlineLvl w:val="4"/>
    </w:pPr>
  </w:style>
  <w:style w:type="paragraph" w:customStyle="1" w:styleId="181">
    <w:name w:val="式中"/>
    <w:next w:val="69"/>
    <w:qFormat/>
    <w:uiPriority w:val="0"/>
    <w:pPr>
      <w:numPr>
        <w:ilvl w:val="0"/>
        <w:numId w:val="18"/>
      </w:numPr>
      <w:tabs>
        <w:tab w:val="left" w:pos="210"/>
        <w:tab w:val="clear" w:pos="918"/>
      </w:tabs>
    </w:pPr>
    <w:rPr>
      <w:rFonts w:ascii="宋体" w:hAnsi="Times New Roman" w:eastAsia="宋体" w:cs="Times New Roman"/>
      <w:sz w:val="18"/>
      <w:lang w:val="en-US" w:eastAsia="zh-CN" w:bidi="ar-SA"/>
    </w:rPr>
  </w:style>
  <w:style w:type="paragraph" w:customStyle="1" w:styleId="182">
    <w:name w:val="图表脚注"/>
    <w:next w:val="6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83">
    <w:name w:val="篇"/>
    <w:basedOn w:val="1"/>
    <w:next w:val="1"/>
    <w:qFormat/>
    <w:uiPriority w:val="0"/>
    <w:pPr>
      <w:adjustRightInd w:val="0"/>
      <w:spacing w:line="360" w:lineRule="atLeast"/>
      <w:jc w:val="center"/>
      <w:textAlignment w:val="baseline"/>
    </w:pPr>
    <w:rPr>
      <w:rFonts w:eastAsia="黑体"/>
      <w:kern w:val="0"/>
      <w:sz w:val="24"/>
    </w:rPr>
  </w:style>
  <w:style w:type="paragraph" w:customStyle="1" w:styleId="184">
    <w:name w:val="标题 14"/>
    <w:basedOn w:val="1"/>
    <w:qFormat/>
    <w:uiPriority w:val="0"/>
  </w:style>
  <w:style w:type="paragraph" w:customStyle="1" w:styleId="185">
    <w:name w:val="术语定义三级条标题"/>
    <w:basedOn w:val="109"/>
    <w:next w:val="69"/>
    <w:qFormat/>
    <w:uiPriority w:val="0"/>
    <w:pPr>
      <w:numPr>
        <w:ilvl w:val="2"/>
      </w:numPr>
    </w:pPr>
  </w:style>
  <w:style w:type="paragraph" w:customStyle="1" w:styleId="186">
    <w:name w:val="样式 正文首行缩进 + 宋体 五号 行距: 单倍行距"/>
    <w:basedOn w:val="42"/>
    <w:qFormat/>
    <w:uiPriority w:val="0"/>
    <w:pPr>
      <w:adjustRightInd/>
      <w:spacing w:line="360" w:lineRule="auto"/>
      <w:jc w:val="both"/>
      <w:textAlignment w:val="auto"/>
    </w:pPr>
    <w:rPr>
      <w:rFonts w:ascii="宋体" w:hAnsi="宋体" w:cs="宋体"/>
      <w:kern w:val="2"/>
    </w:rPr>
  </w:style>
  <w:style w:type="paragraph" w:customStyle="1" w:styleId="187">
    <w:name w:val="表格文字"/>
    <w:basedOn w:val="1"/>
    <w:qFormat/>
    <w:uiPriority w:val="0"/>
    <w:pPr>
      <w:adjustRightInd w:val="0"/>
      <w:spacing w:line="240" w:lineRule="atLeast"/>
      <w:jc w:val="center"/>
      <w:textAlignment w:val="baseline"/>
    </w:pPr>
    <w:rPr>
      <w:rFonts w:ascii="楷体_GB2312" w:eastAsia="楷体_GB2312"/>
      <w:spacing w:val="8"/>
      <w:kern w:val="0"/>
    </w:rPr>
  </w:style>
  <w:style w:type="paragraph" w:customStyle="1" w:styleId="188">
    <w:name w:val="列项——"/>
    <w:qFormat/>
    <w:uiPriority w:val="0"/>
    <w:pPr>
      <w:widowControl w:val="0"/>
      <w:numPr>
        <w:ilvl w:val="0"/>
        <w:numId w:val="19"/>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89">
    <w:name w:val="引言二级条标题"/>
    <w:basedOn w:val="131"/>
    <w:next w:val="69"/>
    <w:qFormat/>
    <w:uiPriority w:val="0"/>
    <w:pPr>
      <w:numPr>
        <w:ilvl w:val="1"/>
        <w:numId w:val="20"/>
      </w:numPr>
      <w:tabs>
        <w:tab w:val="clear" w:pos="720"/>
      </w:tabs>
    </w:pPr>
  </w:style>
  <w:style w:type="paragraph" w:customStyle="1" w:styleId="190">
    <w:name w:val="二级条目录1"/>
    <w:basedOn w:val="129"/>
    <w:qFormat/>
    <w:uiPriority w:val="0"/>
  </w:style>
  <w:style w:type="paragraph" w:customStyle="1" w:styleId="191">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2">
    <w:name w:val="注："/>
    <w:next w:val="69"/>
    <w:qFormat/>
    <w:uiPriority w:val="0"/>
    <w:pPr>
      <w:widowControl w:val="0"/>
      <w:numPr>
        <w:ilvl w:val="0"/>
        <w:numId w:val="21"/>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93">
    <w:name w:val="表内小五"/>
    <w:basedOn w:val="1"/>
    <w:qFormat/>
    <w:uiPriority w:val="0"/>
    <w:pPr>
      <w:spacing w:line="360" w:lineRule="auto"/>
    </w:pPr>
    <w:rPr>
      <w:color w:val="000000"/>
      <w:sz w:val="18"/>
      <w:szCs w:val="24"/>
    </w:rPr>
  </w:style>
  <w:style w:type="paragraph" w:customStyle="1" w:styleId="194">
    <w:name w:val="Char Char Char1 Char"/>
    <w:basedOn w:val="1"/>
    <w:qFormat/>
    <w:uiPriority w:val="0"/>
    <w:pPr>
      <w:spacing w:line="240" w:lineRule="atLeast"/>
      <w:ind w:left="420" w:firstLine="420"/>
    </w:pPr>
    <w:rPr>
      <w:kern w:val="0"/>
      <w:szCs w:val="21"/>
    </w:rPr>
  </w:style>
  <w:style w:type="paragraph" w:customStyle="1" w:styleId="195">
    <w:name w:val="样式 样式 小四 行距: 固定值 25 磅 + 首行缩进:  2 字符"/>
    <w:basedOn w:val="1"/>
    <w:qFormat/>
    <w:uiPriority w:val="0"/>
    <w:pPr>
      <w:spacing w:line="480" w:lineRule="auto"/>
      <w:ind w:firstLine="200" w:firstLineChars="200"/>
    </w:pPr>
    <w:rPr>
      <w:sz w:val="24"/>
    </w:rPr>
  </w:style>
  <w:style w:type="paragraph" w:customStyle="1" w:styleId="196">
    <w:name w:val="一级无标题条"/>
    <w:basedOn w:val="1"/>
    <w:qFormat/>
    <w:uiPriority w:val="0"/>
    <w:pPr>
      <w:numPr>
        <w:ilvl w:val="2"/>
        <w:numId w:val="12"/>
      </w:numPr>
      <w:tabs>
        <w:tab w:val="left" w:pos="420"/>
      </w:tabs>
    </w:pPr>
    <w:rPr>
      <w:b/>
      <w:szCs w:val="24"/>
    </w:rPr>
  </w:style>
  <w:style w:type="paragraph" w:customStyle="1" w:styleId="197">
    <w:name w:val="工程建设款标题"/>
    <w:basedOn w:val="133"/>
    <w:qFormat/>
    <w:uiPriority w:val="0"/>
    <w:pPr>
      <w:outlineLvl w:val="9"/>
    </w:pPr>
  </w:style>
  <w:style w:type="paragraph" w:customStyle="1" w:styleId="198">
    <w:name w:val="附录表标题"/>
    <w:basedOn w:val="106"/>
    <w:next w:val="69"/>
    <w:qFormat/>
    <w:uiPriority w:val="0"/>
    <w:pPr>
      <w:widowControl/>
      <w:numPr>
        <w:ilvl w:val="0"/>
        <w:numId w:val="22"/>
      </w:numPr>
      <w:tabs>
        <w:tab w:val="left" w:pos="210"/>
        <w:tab w:val="left" w:pos="420"/>
        <w:tab w:val="clear" w:pos="360"/>
      </w:tabs>
      <w:spacing w:line="360" w:lineRule="auto"/>
      <w:textAlignment w:val="baseline"/>
    </w:pPr>
    <w:rPr>
      <w:rFonts w:ascii="宋体" w:hAnsi="宋体" w:eastAsia="宋体" w:cs="Arial"/>
      <w:b/>
      <w:kern w:val="21"/>
      <w:sz w:val="21"/>
      <w:szCs w:val="21"/>
    </w:rPr>
  </w:style>
  <w:style w:type="paragraph" w:customStyle="1" w:styleId="199">
    <w:name w:val="样式 正文首行缩进 + 宋体 五号 首行缩进:  2 字符 行距: 单倍行距"/>
    <w:basedOn w:val="42"/>
    <w:qFormat/>
    <w:uiPriority w:val="0"/>
    <w:pPr>
      <w:adjustRightInd/>
      <w:spacing w:line="360" w:lineRule="auto"/>
      <w:ind w:firstLine="420" w:firstLineChars="200"/>
      <w:jc w:val="both"/>
      <w:textAlignment w:val="auto"/>
    </w:pPr>
    <w:rPr>
      <w:rFonts w:ascii="宋体" w:hAnsi="宋体" w:cs="宋体"/>
      <w:kern w:val="2"/>
    </w:rPr>
  </w:style>
  <w:style w:type="paragraph" w:customStyle="1" w:styleId="200">
    <w:name w:val="Char Char1 Char Char Char"/>
    <w:basedOn w:val="14"/>
    <w:qFormat/>
    <w:uiPriority w:val="0"/>
    <w:pPr>
      <w:shd w:val="clear" w:color="auto" w:fill="000080"/>
    </w:pPr>
    <w:rPr>
      <w:rFonts w:ascii="Times New Roman"/>
      <w:sz w:val="21"/>
      <w:szCs w:val="20"/>
    </w:rPr>
  </w:style>
  <w:style w:type="paragraph" w:customStyle="1" w:styleId="201">
    <w:name w:val="封面标准代替信息"/>
    <w:basedOn w:val="202"/>
    <w:qFormat/>
    <w:uiPriority w:val="0"/>
    <w:pPr>
      <w:spacing w:before="57"/>
    </w:pPr>
    <w:rPr>
      <w:rFonts w:ascii="宋体"/>
      <w:sz w:val="21"/>
    </w:rPr>
  </w:style>
  <w:style w:type="paragraph" w:customStyle="1" w:styleId="202">
    <w:name w:val="封面标准号2"/>
    <w:basedOn w:val="172"/>
    <w:qFormat/>
    <w:uiPriority w:val="0"/>
    <w:pPr>
      <w:framePr w:w="9138" w:h="1244" w:hRule="exact" w:wrap="around" w:vAnchor="page" w:hAnchor="margin" w:y="2908"/>
      <w:adjustRightInd w:val="0"/>
      <w:spacing w:before="357" w:line="280" w:lineRule="exact"/>
    </w:pPr>
  </w:style>
  <w:style w:type="paragraph" w:customStyle="1" w:styleId="20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0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5">
    <w:name w:val="附录表标题续表"/>
    <w:basedOn w:val="198"/>
    <w:next w:val="69"/>
    <w:qFormat/>
    <w:uiPriority w:val="0"/>
    <w:pPr>
      <w:numPr>
        <w:numId w:val="23"/>
      </w:numPr>
      <w:tabs>
        <w:tab w:val="left" w:pos="360"/>
      </w:tabs>
    </w:pPr>
    <w:rPr>
      <w:b w:val="0"/>
    </w:rPr>
  </w:style>
  <w:style w:type="paragraph" w:customStyle="1" w:styleId="206">
    <w:name w:val="样式 标题 2节标题 1.1H2h22nd levelTitre2l22Header 2Head 2节标题...1"/>
    <w:basedOn w:val="3"/>
    <w:qFormat/>
    <w:uiPriority w:val="0"/>
    <w:pPr>
      <w:keepLines w:val="0"/>
      <w:spacing w:before="0" w:after="0" w:line="240" w:lineRule="auto"/>
      <w:outlineLvl w:val="3"/>
    </w:pPr>
    <w:rPr>
      <w:rFonts w:ascii="Times New Roman" w:hAnsi="Times New Roman" w:eastAsia="宋体" w:cs="宋体"/>
      <w:b w:val="0"/>
      <w:bCs w:val="0"/>
      <w:sz w:val="28"/>
      <w:szCs w:val="20"/>
    </w:rPr>
  </w:style>
  <w:style w:type="paragraph" w:customStyle="1" w:styleId="207">
    <w:name w:val="附录标识"/>
    <w:basedOn w:val="145"/>
    <w:next w:val="69"/>
    <w:qFormat/>
    <w:uiPriority w:val="0"/>
    <w:pPr>
      <w:numPr>
        <w:ilvl w:val="0"/>
        <w:numId w:val="24"/>
      </w:numPr>
      <w:spacing w:before="0" w:after="120"/>
      <w:jc w:val="both"/>
    </w:pPr>
    <w:rPr>
      <w:rFonts w:ascii="宋体" w:hAnsi="宋体" w:eastAsia="宋体"/>
      <w:sz w:val="21"/>
    </w:rPr>
  </w:style>
  <w:style w:type="paragraph" w:customStyle="1" w:styleId="208">
    <w:name w:val="附录章标题"/>
    <w:next w:val="69"/>
    <w:qFormat/>
    <w:uiPriority w:val="0"/>
    <w:pPr>
      <w:numPr>
        <w:ilvl w:val="1"/>
        <w:numId w:val="24"/>
      </w:numPr>
      <w:wordWrap w:val="0"/>
      <w:overflowPunct w:val="0"/>
      <w:autoSpaceDE w:val="0"/>
      <w:spacing w:beforeLines="50" w:afterLines="50"/>
      <w:jc w:val="both"/>
      <w:textAlignment w:val="baseline"/>
      <w:outlineLvl w:val="1"/>
    </w:pPr>
    <w:rPr>
      <w:rFonts w:ascii="黑体" w:hAnsi="Times New Roman" w:eastAsia="黑体" w:cs="Times New Roman"/>
      <w:b/>
      <w:kern w:val="21"/>
      <w:sz w:val="21"/>
      <w:lang w:val="en-US" w:eastAsia="zh-CN" w:bidi="ar-SA"/>
    </w:rPr>
  </w:style>
  <w:style w:type="paragraph" w:customStyle="1" w:styleId="209">
    <w:name w:val="封面编号"/>
    <w:qFormat/>
    <w:uiPriority w:val="0"/>
    <w:pPr>
      <w:numPr>
        <w:ilvl w:val="1"/>
        <w:numId w:val="3"/>
      </w:numPr>
      <w:ind w:left="0" w:right="284" w:firstLine="0"/>
      <w:jc w:val="right"/>
    </w:pPr>
    <w:rPr>
      <w:rFonts w:ascii="Times New Roman" w:hAnsi="Times New Roman" w:eastAsia="黑体" w:cs="Times New Roman"/>
      <w:spacing w:val="20"/>
      <w:sz w:val="28"/>
      <w:lang w:val="en-US" w:eastAsia="zh-CN" w:bidi="ar-SA"/>
    </w:rPr>
  </w:style>
  <w:style w:type="paragraph" w:customStyle="1" w:styleId="210">
    <w:name w:val="工程建设图标题"/>
    <w:basedOn w:val="133"/>
    <w:qFormat/>
    <w:uiPriority w:val="0"/>
    <w:pPr>
      <w:jc w:val="center"/>
      <w:outlineLvl w:val="5"/>
    </w:pPr>
  </w:style>
  <w:style w:type="paragraph" w:customStyle="1" w:styleId="211">
    <w:name w:val="Char"/>
    <w:basedOn w:val="1"/>
    <w:semiHidden/>
    <w:qFormat/>
    <w:uiPriority w:val="0"/>
    <w:pPr>
      <w:spacing w:line="360" w:lineRule="auto"/>
      <w:ind w:firstLine="200" w:firstLineChars="200"/>
    </w:pPr>
    <w:rPr>
      <w:rFonts w:ascii="宋体" w:hAnsi="宋体" w:cs="宋体"/>
      <w:sz w:val="24"/>
      <w:szCs w:val="24"/>
    </w:rPr>
  </w:style>
  <w:style w:type="paragraph" w:customStyle="1" w:styleId="21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13">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214">
    <w:name w:val="工程建设表标题"/>
    <w:basedOn w:val="133"/>
    <w:qFormat/>
    <w:uiPriority w:val="0"/>
    <w:pPr>
      <w:jc w:val="center"/>
      <w:outlineLvl w:val="4"/>
    </w:pPr>
  </w:style>
  <w:style w:type="paragraph" w:customStyle="1" w:styleId="215">
    <w:name w:val="标题 11"/>
    <w:basedOn w:val="1"/>
    <w:qFormat/>
    <w:uiPriority w:val="0"/>
  </w:style>
  <w:style w:type="paragraph" w:customStyle="1" w:styleId="216">
    <w:name w:val="表头黑5"/>
    <w:basedOn w:val="1"/>
    <w:qFormat/>
    <w:uiPriority w:val="0"/>
    <w:pPr>
      <w:spacing w:line="360" w:lineRule="auto"/>
      <w:jc w:val="center"/>
    </w:pPr>
    <w:rPr>
      <w:rFonts w:eastAsia="黑体"/>
      <w:color w:val="000000"/>
      <w:szCs w:val="24"/>
    </w:rPr>
  </w:style>
  <w:style w:type="paragraph" w:customStyle="1" w:styleId="217">
    <w:name w:val="Char Char Char Char Char Char Char Char Char Char"/>
    <w:basedOn w:val="1"/>
    <w:qFormat/>
    <w:uiPriority w:val="0"/>
    <w:pPr>
      <w:ind w:firstLine="540" w:firstLineChars="225"/>
    </w:pPr>
    <w:rPr>
      <w:rFonts w:ascii="宋体" w:hAnsi="宋体"/>
      <w:i/>
      <w:sz w:val="24"/>
      <w:szCs w:val="24"/>
    </w:rPr>
  </w:style>
  <w:style w:type="paragraph" w:customStyle="1" w:styleId="218">
    <w:name w:val="标题 18"/>
    <w:basedOn w:val="1"/>
    <w:qFormat/>
    <w:uiPriority w:val="0"/>
  </w:style>
  <w:style w:type="paragraph" w:customStyle="1" w:styleId="219">
    <w:name w:val="标题 12"/>
    <w:basedOn w:val="1"/>
    <w:qFormat/>
    <w:uiPriority w:val="0"/>
  </w:style>
  <w:style w:type="paragraph" w:customStyle="1" w:styleId="220">
    <w:name w:val="无标题条"/>
    <w:next w:val="69"/>
    <w:qFormat/>
    <w:uiPriority w:val="0"/>
    <w:pPr>
      <w:jc w:val="both"/>
    </w:pPr>
    <w:rPr>
      <w:rFonts w:ascii="Times New Roman" w:hAnsi="Times New Roman" w:eastAsia="宋体" w:cs="Times New Roman"/>
      <w:sz w:val="21"/>
      <w:lang w:val="en-US" w:eastAsia="zh-CN" w:bidi="ar-SA"/>
    </w:rPr>
  </w:style>
  <w:style w:type="paragraph" w:customStyle="1" w:styleId="221">
    <w:name w:val="字母编号列项（一级）"/>
    <w:qFormat/>
    <w:uiPriority w:val="0"/>
    <w:pPr>
      <w:numPr>
        <w:ilvl w:val="1"/>
        <w:numId w:val="8"/>
      </w:numPr>
      <w:ind w:left="200" w:leftChars="200" w:hanging="200" w:hanging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1.bin"/><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image" Target="media/image29.jpeg"/><Relationship Id="rId34" Type="http://schemas.openxmlformats.org/officeDocument/2006/relationships/image" Target="media/image28.png"/><Relationship Id="rId33" Type="http://schemas.openxmlformats.org/officeDocument/2006/relationships/image" Target="media/image27.jpeg"/><Relationship Id="rId32" Type="http://schemas.openxmlformats.org/officeDocument/2006/relationships/image" Target="media/image26.png"/><Relationship Id="rId31" Type="http://schemas.openxmlformats.org/officeDocument/2006/relationships/image" Target="media/image25.jpeg"/><Relationship Id="rId30" Type="http://schemas.openxmlformats.org/officeDocument/2006/relationships/image" Target="media/image24.jpeg"/><Relationship Id="rId3" Type="http://schemas.openxmlformats.org/officeDocument/2006/relationships/footer" Target="footer1.xml"/><Relationship Id="rId29" Type="http://schemas.openxmlformats.org/officeDocument/2006/relationships/image" Target="media/image23.png"/><Relationship Id="rId28" Type="http://schemas.openxmlformats.org/officeDocument/2006/relationships/image" Target="media/image22.jpeg"/><Relationship Id="rId27" Type="http://schemas.openxmlformats.org/officeDocument/2006/relationships/image" Target="media/image21.png"/><Relationship Id="rId26" Type="http://schemas.openxmlformats.org/officeDocument/2006/relationships/image" Target="media/image20.jpeg"/><Relationship Id="rId25" Type="http://schemas.openxmlformats.org/officeDocument/2006/relationships/image" Target="media/image19.png"/><Relationship Id="rId24" Type="http://schemas.openxmlformats.org/officeDocument/2006/relationships/image" Target="media/image18.jpeg"/><Relationship Id="rId23" Type="http://schemas.openxmlformats.org/officeDocument/2006/relationships/image" Target="media/image17.png"/><Relationship Id="rId22" Type="http://schemas.openxmlformats.org/officeDocument/2006/relationships/image" Target="media/image16.jpeg"/><Relationship Id="rId21" Type="http://schemas.openxmlformats.org/officeDocument/2006/relationships/image" Target="media/image15.pn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pn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49</Pages>
  <Words>3426</Words>
  <Characters>19529</Characters>
  <Lines>162</Lines>
  <Paragraphs>45</Paragraphs>
  <TotalTime>8</TotalTime>
  <ScaleCrop>false</ScaleCrop>
  <LinksUpToDate>false</LinksUpToDate>
  <CharactersWithSpaces>22910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2019-01-29T07:50:00Z</dcterms:created>
  <dc:creator>Ulysses R. Gotera</dc:creator>
  <cp:lastModifiedBy>李腾腾</cp:lastModifiedBy>
  <cp:lastPrinted>2019-01-29T07:54:00Z</cp:lastPrinted>
  <dcterms:modified xsi:type="dcterms:W3CDTF">2026-05-07T13:39:07Z</dcterms:modified>
  <dc:title>ICS 27</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2F4C3385AF164C2DAC9125C656184043</vt:lpwstr>
  </property>
</Properties>
</file>