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3962E">
      <w:pPr>
        <w:spacing w:before="156" w:beforeLines="50" w:after="156" w:afterLines="50"/>
        <w:jc w:val="center"/>
        <w:rPr>
          <w:rFonts w:hint="eastAsia" w:ascii="方正小标宋_GBK" w:hAnsi="黑体" w:eastAsia="方正小标宋_GBK" w:cs="黑体"/>
          <w:bCs/>
          <w:spacing w:val="30"/>
          <w:sz w:val="44"/>
          <w:szCs w:val="44"/>
        </w:rPr>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-506095</wp:posOffset>
            </wp:positionH>
            <wp:positionV relativeFrom="paragraph">
              <wp:posOffset>-796290</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7"/>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4DB5192F">
      <w:pPr>
        <w:spacing w:before="156" w:beforeLines="50" w:after="156" w:afterLines="50"/>
        <w:jc w:val="center"/>
        <w:rPr>
          <w:rFonts w:hint="eastAsia" w:ascii="方正小标宋_GBK" w:hAnsi="黑体" w:eastAsia="方正小标宋_GBK" w:cs="黑体"/>
          <w:bCs/>
          <w:spacing w:val="30"/>
          <w:sz w:val="44"/>
          <w:szCs w:val="44"/>
        </w:rPr>
      </w:pPr>
    </w:p>
    <w:p w14:paraId="3793FBF0">
      <w:pPr>
        <w:spacing w:before="156" w:beforeLines="50" w:after="156" w:afterLines="50"/>
        <w:rPr>
          <w:rFonts w:hint="eastAsia" w:ascii="方正小标宋_GBK" w:hAnsi="黑体" w:eastAsia="方正小标宋_GBK" w:cs="黑体"/>
          <w:bCs/>
          <w:spacing w:val="30"/>
          <w:sz w:val="44"/>
          <w:szCs w:val="44"/>
        </w:rPr>
      </w:pPr>
    </w:p>
    <w:p w14:paraId="4334F430">
      <w:pPr>
        <w:spacing w:before="156" w:beforeLines="50" w:after="156" w:afterLines="50"/>
        <w:jc w:val="center"/>
        <w:rPr>
          <w:rFonts w:hint="eastAsia" w:ascii="方正小标宋_GBK" w:hAnsi="黑体" w:eastAsia="方正小标宋_GBK" w:cs="黑体"/>
          <w:bCs/>
          <w:spacing w:val="30"/>
          <w:sz w:val="48"/>
          <w:szCs w:val="48"/>
        </w:rPr>
      </w:pPr>
    </w:p>
    <w:p w14:paraId="6188B2A6">
      <w:pPr>
        <w:jc w:val="center"/>
        <w:rPr>
          <w:rFonts w:hint="eastAsia" w:ascii="宋体" w:hAnsi="宋体" w:cs="宋体"/>
          <w:b/>
          <w:bCs/>
        </w:rPr>
      </w:pPr>
      <w:r>
        <w:rPr>
          <w:rFonts w:hint="eastAsia" w:ascii="方正小标宋_GBK" w:hAnsi="黑体" w:eastAsia="方正小标宋_GBK" w:cs="黑体"/>
          <w:bCs/>
          <w:spacing w:val="30"/>
          <w:sz w:val="48"/>
          <w:szCs w:val="48"/>
        </w:rPr>
        <w:t>2026年南网数字集团信通公司南网云建设项目API安全检测系统入网安评服务</w:t>
      </w:r>
      <w:r>
        <w:rPr>
          <w:rFonts w:hint="eastAsia" w:ascii="方正小标宋_GBK" w:hAnsi="黑体" w:eastAsia="方正小标宋_GBK" w:cs="黑体"/>
          <w:bCs/>
          <w:spacing w:val="30"/>
          <w:sz w:val="44"/>
          <w:szCs w:val="44"/>
        </w:rPr>
        <w:t>技术规范书</w:t>
      </w:r>
    </w:p>
    <w:tbl>
      <w:tblPr>
        <w:tblStyle w:val="13"/>
        <w:tblpPr w:leftFromText="180" w:rightFromText="180" w:vertAnchor="text" w:horzAnchor="page" w:tblpX="1387" w:tblpY="4208"/>
        <w:tblOverlap w:val="never"/>
        <w:tblW w:w="8908" w:type="dxa"/>
        <w:tblInd w:w="0" w:type="dxa"/>
        <w:tblLayout w:type="fixed"/>
        <w:tblCellMar>
          <w:top w:w="0" w:type="dxa"/>
          <w:left w:w="28" w:type="dxa"/>
          <w:bottom w:w="0" w:type="dxa"/>
          <w:right w:w="28" w:type="dxa"/>
        </w:tblCellMar>
      </w:tblPr>
      <w:tblGrid>
        <w:gridCol w:w="8908"/>
      </w:tblGrid>
      <w:tr w14:paraId="5EE733B3">
        <w:tblPrEx>
          <w:tblCellMar>
            <w:top w:w="0" w:type="dxa"/>
            <w:left w:w="28" w:type="dxa"/>
            <w:bottom w:w="0" w:type="dxa"/>
            <w:right w:w="28" w:type="dxa"/>
          </w:tblCellMar>
        </w:tblPrEx>
        <w:trPr>
          <w:cantSplit/>
          <w:trHeight w:val="540" w:hRule="atLeast"/>
        </w:trPr>
        <w:tc>
          <w:tcPr>
            <w:tcW w:w="8908" w:type="dxa"/>
            <w:vAlign w:val="center"/>
          </w:tcPr>
          <w:p w14:paraId="543A62A5">
            <w:pPr>
              <w:jc w:val="center"/>
              <w:rPr>
                <w:rFonts w:hint="eastAsia" w:ascii="黑体" w:hAnsi="黑体" w:eastAsia="黑体" w:cs="黑体"/>
                <w:sz w:val="32"/>
                <w:szCs w:val="32"/>
              </w:rPr>
            </w:pPr>
            <w:sdt>
              <w:sdtPr>
                <w:rPr>
                  <w:rFonts w:hint="eastAsia" w:ascii="宋体" w:hAnsi="宋体" w:cs="Batang"/>
                  <w:sz w:val="24"/>
                </w:rPr>
                <w:alias w:val="甲方当事人全称"/>
                <w:tag w:val="甲方当事人全称"/>
                <w:id w:val="147474217"/>
                <w:text/>
              </w:sdtPr>
              <w:sdtEndPr>
                <w:rPr>
                  <w:rFonts w:hint="eastAsia" w:ascii="黑体" w:hAnsi="黑体" w:eastAsia="黑体" w:cs="黑体"/>
                  <w:sz w:val="32"/>
                  <w:szCs w:val="32"/>
                </w:rPr>
              </w:sdtEndPr>
              <w:sdtContent>
                <w:r>
                  <w:rPr>
                    <w:rFonts w:hint="eastAsia" w:asciiTheme="minorEastAsia" w:hAnsiTheme="minorEastAsia" w:eastAsiaTheme="minorEastAsia" w:cstheme="minorEastAsia"/>
                    <w:sz w:val="28"/>
                    <w:szCs w:val="28"/>
                  </w:rPr>
                  <w:t>南方电网数字电网集团信息通信科技有限公司</w:t>
                </w:r>
              </w:sdtContent>
            </w:sdt>
          </w:p>
        </w:tc>
      </w:tr>
      <w:tr w14:paraId="1E16D445">
        <w:tblPrEx>
          <w:tblCellMar>
            <w:top w:w="0" w:type="dxa"/>
            <w:left w:w="28" w:type="dxa"/>
            <w:bottom w:w="0" w:type="dxa"/>
            <w:right w:w="28" w:type="dxa"/>
          </w:tblCellMar>
        </w:tblPrEx>
        <w:trPr>
          <w:cantSplit/>
          <w:trHeight w:val="1213" w:hRule="atLeast"/>
        </w:trPr>
        <w:tc>
          <w:tcPr>
            <w:tcW w:w="8908" w:type="dxa"/>
            <w:vAlign w:val="center"/>
          </w:tcPr>
          <w:p w14:paraId="66B7391C">
            <w:pPr>
              <w:jc w:val="center"/>
              <w:rPr>
                <w:rFonts w:hint="eastAsia" w:ascii="黑体" w:hAnsi="黑体" w:eastAsia="黑体" w:cs="黑体"/>
                <w:spacing w:val="20"/>
                <w:sz w:val="32"/>
                <w:szCs w:val="32"/>
              </w:rPr>
            </w:pPr>
            <w:r>
              <w:rPr>
                <w:rFonts w:hint="eastAsia" w:ascii="黑体" w:hAnsi="黑体" w:eastAsia="黑体" w:cs="黑体"/>
                <w:spacing w:val="20"/>
                <w:sz w:val="32"/>
                <w:szCs w:val="32"/>
              </w:rPr>
              <w:t>202</w:t>
            </w:r>
            <w:r>
              <w:rPr>
                <w:rFonts w:hint="eastAsia" w:ascii="黑体" w:hAnsi="黑体" w:eastAsia="黑体" w:cs="黑体"/>
                <w:spacing w:val="20"/>
                <w:sz w:val="32"/>
                <w:szCs w:val="32"/>
                <w:lang w:val="en-US" w:eastAsia="zh-CN"/>
              </w:rPr>
              <w:t>6</w:t>
            </w:r>
            <w:r>
              <w:rPr>
                <w:rFonts w:hint="eastAsia" w:ascii="黑体" w:hAnsi="黑体" w:eastAsia="黑体" w:cs="黑体"/>
                <w:spacing w:val="20"/>
                <w:sz w:val="32"/>
                <w:szCs w:val="32"/>
              </w:rPr>
              <w:t>年</w:t>
            </w:r>
            <w:r>
              <w:rPr>
                <w:rFonts w:hint="eastAsia" w:ascii="黑体" w:hAnsi="黑体" w:eastAsia="黑体" w:cs="黑体"/>
                <w:spacing w:val="20"/>
                <w:sz w:val="32"/>
                <w:szCs w:val="32"/>
                <w:lang w:val="en-US" w:eastAsia="zh-CN"/>
              </w:rPr>
              <w:t>5</w:t>
            </w:r>
            <w:r>
              <w:rPr>
                <w:rFonts w:hint="eastAsia" w:ascii="黑体" w:hAnsi="黑体" w:eastAsia="黑体" w:cs="黑体"/>
                <w:spacing w:val="20"/>
                <w:sz w:val="32"/>
                <w:szCs w:val="32"/>
              </w:rPr>
              <w:t>月</w:t>
            </w:r>
          </w:p>
        </w:tc>
      </w:tr>
    </w:tbl>
    <w:p w14:paraId="6CDA2086">
      <w:pPr>
        <w:spacing w:line="360" w:lineRule="auto"/>
        <w:jc w:val="center"/>
        <w:rPr>
          <w:rFonts w:hint="eastAsia" w:ascii="宋体" w:hAnsi="宋体" w:cs="宋体"/>
          <w:b/>
          <w:bCs/>
        </w:rPr>
        <w:sectPr>
          <w:headerReference r:id="rId3" w:type="default"/>
          <w:footerReference r:id="rId4" w:type="default"/>
          <w:pgSz w:w="11906" w:h="16838"/>
          <w:pgMar w:top="720" w:right="720" w:bottom="720" w:left="720" w:header="851" w:footer="992" w:gutter="0"/>
          <w:pgNumType w:start="1"/>
          <w:cols w:space="720" w:num="1"/>
          <w:docGrid w:type="lines" w:linePitch="312" w:charSpace="0"/>
        </w:sectPr>
      </w:pPr>
    </w:p>
    <w:p w14:paraId="071E9D22">
      <w:pPr>
        <w:pStyle w:val="2"/>
        <w:pageBreakBefore/>
        <w:spacing w:before="0" w:after="0" w:line="560" w:lineRule="exact"/>
        <w:ind w:left="1054"/>
        <w:rPr>
          <w:rFonts w:hint="eastAsia" w:ascii="黑体" w:hAnsi="黑体" w:cs="黑体"/>
          <w:szCs w:val="32"/>
        </w:rPr>
      </w:pPr>
      <w:r>
        <w:rPr>
          <w:rFonts w:hint="eastAsia" w:ascii="黑体" w:hAnsi="黑体" w:cs="黑体"/>
          <w:szCs w:val="32"/>
        </w:rPr>
        <w:t>项目背景</w:t>
      </w:r>
    </w:p>
    <w:p w14:paraId="3C7EDCEC">
      <w:pPr>
        <w:ind w:firstLine="480"/>
        <w:rPr>
          <w:rFonts w:hint="eastAsia" w:ascii="仿宋_GB2312" w:hAnsi="仿宋_GB2312" w:eastAsia="仿宋_GB2312" w:cs="仿宋_GB2312"/>
          <w:kern w:val="0"/>
          <w:sz w:val="32"/>
          <w:szCs w:val="32"/>
        </w:rPr>
      </w:pPr>
      <w:bookmarkStart w:id="0" w:name="_Toc89283980"/>
      <w:bookmarkEnd w:id="0"/>
      <w:r>
        <w:rPr>
          <w:rFonts w:hint="eastAsia" w:ascii="仿宋_GB2312" w:hAnsi="仿宋_GB2312" w:eastAsia="仿宋_GB2312" w:cs="仿宋_GB2312"/>
          <w:kern w:val="0"/>
          <w:sz w:val="32"/>
          <w:szCs w:val="32"/>
        </w:rPr>
        <w:t>目前在推进2026年南网数字集团信通公司南网云建设项目</w:t>
      </w:r>
      <w:r>
        <w:rPr>
          <w:rFonts w:hint="eastAsia" w:ascii="仿宋_GB2312" w:hAnsi="仿宋_GB2312" w:eastAsia="仿宋_GB2312" w:cs="仿宋_GB2312"/>
          <w:kern w:val="0"/>
          <w:sz w:val="32"/>
          <w:szCs w:val="32"/>
          <w:lang w:val="en-US" w:eastAsia="zh-CN"/>
        </w:rPr>
        <w:t>建设</w:t>
      </w:r>
      <w:r>
        <w:rPr>
          <w:rFonts w:hint="eastAsia" w:ascii="仿宋_GB2312" w:hAnsi="仿宋_GB2312" w:eastAsia="仿宋_GB2312" w:cs="仿宋_GB2312"/>
          <w:kern w:val="0"/>
          <w:sz w:val="32"/>
          <w:szCs w:val="32"/>
        </w:rPr>
        <w:t>工作，需要</w:t>
      </w:r>
      <w:r>
        <w:rPr>
          <w:rFonts w:hint="eastAsia" w:ascii="仿宋_GB2312" w:hAnsi="仿宋_GB2312" w:eastAsia="仿宋_GB2312" w:cs="仿宋_GB2312"/>
          <w:kern w:val="0"/>
          <w:sz w:val="32"/>
          <w:szCs w:val="32"/>
          <w:lang w:val="en-US" w:eastAsia="zh-CN"/>
        </w:rPr>
        <w:t>针对API安全检测系统</w:t>
      </w:r>
      <w:r>
        <w:rPr>
          <w:rFonts w:hint="eastAsia" w:ascii="仿宋_GB2312" w:hAnsi="仿宋_GB2312" w:eastAsia="仿宋_GB2312" w:cs="仿宋_GB2312"/>
          <w:kern w:val="0"/>
          <w:sz w:val="32"/>
          <w:szCs w:val="32"/>
        </w:rPr>
        <w:t>进行入网安评的测评工作。</w:t>
      </w:r>
    </w:p>
    <w:p w14:paraId="69EE0CB8">
      <w:pPr>
        <w:pStyle w:val="2"/>
        <w:spacing w:before="0" w:after="0" w:line="560" w:lineRule="exact"/>
        <w:ind w:left="1054"/>
        <w:rPr>
          <w:rFonts w:hint="eastAsia" w:ascii="黑体" w:hAnsi="黑体" w:cs="黑体"/>
          <w:szCs w:val="32"/>
        </w:rPr>
      </w:pPr>
      <w:r>
        <w:rPr>
          <w:rFonts w:hint="eastAsia" w:ascii="黑体" w:hAnsi="黑体" w:cs="黑体"/>
          <w:szCs w:val="32"/>
        </w:rPr>
        <w:t>项目目标</w:t>
      </w:r>
    </w:p>
    <w:p w14:paraId="6C6AD784">
      <w:pPr>
        <w:ind w:firstLine="48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本次项目需要提供满足</w:t>
      </w:r>
      <w:r>
        <w:rPr>
          <w:rFonts w:hint="eastAsia" w:ascii="仿宋_GB2312" w:hAnsi="仿宋_GB2312" w:eastAsia="仿宋_GB2312" w:cs="仿宋_GB2312"/>
          <w:kern w:val="0"/>
          <w:sz w:val="32"/>
          <w:szCs w:val="32"/>
          <w:lang w:val="en-US" w:eastAsia="zh-CN"/>
        </w:rPr>
        <w:t>南方电网</w:t>
      </w:r>
      <w:r>
        <w:rPr>
          <w:rFonts w:hint="eastAsia" w:ascii="仿宋_GB2312" w:hAnsi="仿宋_GB2312" w:eastAsia="仿宋_GB2312" w:cs="仿宋_GB2312"/>
          <w:kern w:val="0"/>
          <w:sz w:val="32"/>
          <w:szCs w:val="32"/>
        </w:rPr>
        <w:t>并网要求的入网安评测试报告。</w:t>
      </w:r>
    </w:p>
    <w:p w14:paraId="59DAD9A3">
      <w:pPr>
        <w:pStyle w:val="2"/>
        <w:spacing w:before="0" w:after="0" w:line="560" w:lineRule="exact"/>
        <w:ind w:left="1054"/>
        <w:rPr>
          <w:rFonts w:hint="eastAsia" w:ascii="黑体" w:hAnsi="黑体" w:cs="黑体"/>
          <w:szCs w:val="32"/>
        </w:rPr>
      </w:pPr>
      <w:r>
        <w:rPr>
          <w:rFonts w:hint="eastAsia" w:ascii="黑体" w:hAnsi="黑体" w:cs="黑体"/>
          <w:szCs w:val="32"/>
        </w:rPr>
        <w:t>项目依据</w:t>
      </w:r>
    </w:p>
    <w:p w14:paraId="3BDC37A1">
      <w:pPr>
        <w:adjustRightInd w:val="0"/>
        <w:snapToGrid w:val="0"/>
        <w:spacing w:line="560" w:lineRule="exact"/>
        <w:ind w:firstLine="42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本项目必须遵循以下规范和标准：</w:t>
      </w:r>
    </w:p>
    <w:p w14:paraId="0A4EE72B">
      <w:pPr>
        <w:pStyle w:val="6"/>
        <w:numPr>
          <w:ilvl w:val="0"/>
          <w:numId w:val="2"/>
        </w:numPr>
        <w:snapToGrid w:val="0"/>
        <w:spacing w:before="0" w:after="0" w:line="560" w:lineRule="exact"/>
        <w:ind w:left="1054" w:firstLineChars="0"/>
        <w:jc w:val="left"/>
        <w:outlineLvl w:val="9"/>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iCs/>
          <w:color w:val="000000"/>
          <w:sz w:val="32"/>
          <w:szCs w:val="32"/>
        </w:rPr>
        <w:t>《中华人民共和国网络安全法》</w:t>
      </w:r>
    </w:p>
    <w:p w14:paraId="100721A2">
      <w:pPr>
        <w:pStyle w:val="6"/>
        <w:numPr>
          <w:ilvl w:val="0"/>
          <w:numId w:val="2"/>
        </w:numPr>
        <w:snapToGrid w:val="0"/>
        <w:spacing w:before="0" w:after="0" w:line="560" w:lineRule="exact"/>
        <w:ind w:left="1054" w:firstLineChars="0"/>
        <w:jc w:val="left"/>
        <w:outlineLvl w:val="9"/>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iCs/>
          <w:color w:val="000000"/>
          <w:sz w:val="32"/>
          <w:szCs w:val="32"/>
        </w:rPr>
        <w:t>《中华人民共和国计算机信息系统安全保护条例》</w:t>
      </w:r>
    </w:p>
    <w:p w14:paraId="7CA2027D">
      <w:pPr>
        <w:pStyle w:val="6"/>
        <w:numPr>
          <w:ilvl w:val="0"/>
          <w:numId w:val="2"/>
        </w:numPr>
        <w:snapToGrid w:val="0"/>
        <w:spacing w:before="0" w:after="0" w:line="560" w:lineRule="exact"/>
        <w:ind w:left="1054" w:firstLineChars="0"/>
        <w:jc w:val="left"/>
        <w:outlineLvl w:val="9"/>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《信息安全等级保护管理办法》（公通字〔2007〕43号）</w:t>
      </w:r>
    </w:p>
    <w:p w14:paraId="6E466FEA">
      <w:pPr>
        <w:pStyle w:val="6"/>
        <w:numPr>
          <w:ilvl w:val="0"/>
          <w:numId w:val="2"/>
        </w:numPr>
        <w:snapToGrid w:val="0"/>
        <w:spacing w:before="0" w:after="0" w:line="560" w:lineRule="exact"/>
        <w:ind w:left="1054" w:firstLineChars="0"/>
        <w:jc w:val="left"/>
        <w:outlineLvl w:val="9"/>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GB/T 20984-2022《信息安全技术 信息安全风险评估方法》</w:t>
      </w:r>
    </w:p>
    <w:p w14:paraId="1F40639D">
      <w:pPr>
        <w:pStyle w:val="6"/>
        <w:numPr>
          <w:ilvl w:val="0"/>
          <w:numId w:val="2"/>
        </w:numPr>
        <w:snapToGrid w:val="0"/>
        <w:spacing w:before="0" w:after="0" w:line="560" w:lineRule="exact"/>
        <w:ind w:left="1054" w:firstLineChars="0"/>
        <w:jc w:val="left"/>
        <w:outlineLvl w:val="9"/>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GB/T 22239-2019《信息安全技术 网络安全等级保护基本要求》</w:t>
      </w:r>
    </w:p>
    <w:p w14:paraId="043A3E67">
      <w:pPr>
        <w:pStyle w:val="6"/>
        <w:numPr>
          <w:ilvl w:val="0"/>
          <w:numId w:val="2"/>
        </w:numPr>
        <w:snapToGrid w:val="0"/>
        <w:spacing w:before="0" w:after="0" w:line="560" w:lineRule="exact"/>
        <w:ind w:left="1054" w:firstLineChars="0"/>
        <w:jc w:val="left"/>
        <w:outlineLvl w:val="9"/>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GB/T 28448-2019《信息安全技术 网络安全等级保护测评要求》</w:t>
      </w:r>
    </w:p>
    <w:p w14:paraId="7550CF0D">
      <w:pPr>
        <w:pStyle w:val="6"/>
        <w:numPr>
          <w:ilvl w:val="0"/>
          <w:numId w:val="2"/>
        </w:numPr>
        <w:snapToGrid w:val="0"/>
        <w:spacing w:before="0" w:after="0" w:line="560" w:lineRule="exact"/>
        <w:ind w:left="1054" w:firstLineChars="0"/>
        <w:jc w:val="left"/>
        <w:outlineLvl w:val="9"/>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GB/T38318-2019《电力监控系统网络安全评估指南》</w:t>
      </w:r>
    </w:p>
    <w:p w14:paraId="2EA6FF10">
      <w:pP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br w:type="page"/>
      </w:r>
    </w:p>
    <w:p w14:paraId="351F48ED">
      <w:pPr>
        <w:pStyle w:val="2"/>
        <w:spacing w:before="0" w:after="0" w:line="560" w:lineRule="exact"/>
        <w:ind w:left="1054"/>
        <w:rPr>
          <w:rFonts w:hint="eastAsia" w:ascii="黑体" w:hAnsi="黑体" w:cs="黑体"/>
          <w:szCs w:val="32"/>
        </w:rPr>
      </w:pPr>
      <w:bookmarkStart w:id="1" w:name="_Toc527891621"/>
      <w:bookmarkEnd w:id="1"/>
      <w:bookmarkStart w:id="2" w:name="_Toc168479656"/>
      <w:bookmarkEnd w:id="2"/>
      <w:r>
        <w:rPr>
          <w:rFonts w:hint="eastAsia" w:ascii="黑体" w:hAnsi="黑体" w:cs="黑体"/>
          <w:szCs w:val="32"/>
          <w:lang w:eastAsia="zh-Hans"/>
        </w:rPr>
        <w:t>服务内容</w:t>
      </w:r>
    </w:p>
    <w:p w14:paraId="118B2F2F">
      <w:pPr>
        <w:pStyle w:val="3"/>
        <w:spacing w:line="520" w:lineRule="exact"/>
        <w:rPr>
          <w:rFonts w:hint="eastAsia" w:ascii="楷体_GB2312" w:hAnsi="楷体_GB2312" w:eastAsia="楷体_GB2312" w:cs="楷体_GB2312"/>
          <w:szCs w:val="32"/>
        </w:rPr>
      </w:pPr>
      <w:bookmarkStart w:id="3" w:name="_Toc7535"/>
      <w:bookmarkEnd w:id="3"/>
      <w:bookmarkStart w:id="4" w:name="_Toc11453"/>
      <w:bookmarkEnd w:id="4"/>
      <w:bookmarkStart w:id="5" w:name="_Toc32746"/>
      <w:bookmarkEnd w:id="5"/>
      <w:bookmarkStart w:id="6" w:name="_Toc1019528390"/>
      <w:bookmarkStart w:id="7" w:name="_Toc617954287"/>
      <w:r>
        <w:rPr>
          <w:rFonts w:hint="eastAsia" w:ascii="楷体_GB2312" w:hAnsi="楷体_GB2312" w:eastAsia="楷体_GB2312" w:cs="楷体_GB2312"/>
          <w:szCs w:val="32"/>
        </w:rPr>
        <w:t>安全评估范围</w:t>
      </w:r>
    </w:p>
    <w:p w14:paraId="239DCF28">
      <w:pPr>
        <w:pStyle w:val="19"/>
        <w:snapToGrid w:val="0"/>
        <w:spacing w:line="520" w:lineRule="exact"/>
        <w:ind w:firstLine="640"/>
        <w:rPr>
          <w:rFonts w:hint="eastAsia" w:ascii="仿宋_GB2312" w:hAnsi="仿宋_GB2312" w:eastAsia="仿宋_GB2312" w:cs="仿宋_GB2312"/>
          <w:iCs/>
          <w:color w:val="000000"/>
          <w:sz w:val="32"/>
          <w:szCs w:val="32"/>
          <w:highlight w:val="yellow"/>
        </w:rPr>
      </w:pPr>
    </w:p>
    <w:tbl>
      <w:tblPr>
        <w:tblStyle w:val="14"/>
        <w:tblW w:w="43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1"/>
        <w:gridCol w:w="5791"/>
      </w:tblGrid>
      <w:tr w14:paraId="0F841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072" w:type="pct"/>
            <w:shd w:val="clear" w:color="auto" w:fill="E7E6E6" w:themeFill="background2"/>
            <w:vAlign w:val="center"/>
          </w:tcPr>
          <w:p w14:paraId="7820E408">
            <w:pPr>
              <w:snapToGrid w:val="0"/>
              <w:spacing w:line="52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序号</w:t>
            </w:r>
          </w:p>
        </w:tc>
        <w:tc>
          <w:tcPr>
            <w:tcW w:w="3927" w:type="pct"/>
            <w:shd w:val="clear" w:color="auto" w:fill="E7E6E6" w:themeFill="background2"/>
            <w:vAlign w:val="center"/>
          </w:tcPr>
          <w:p w14:paraId="20D8F115">
            <w:pPr>
              <w:snapToGrid w:val="0"/>
              <w:spacing w:line="52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系统名称</w:t>
            </w:r>
          </w:p>
        </w:tc>
      </w:tr>
      <w:tr w14:paraId="26E90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072" w:type="pct"/>
            <w:vAlign w:val="center"/>
          </w:tcPr>
          <w:p w14:paraId="58AE8D6C">
            <w:pPr>
              <w:snapToGrid w:val="0"/>
              <w:spacing w:line="52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p>
        </w:tc>
        <w:tc>
          <w:tcPr>
            <w:tcW w:w="3927" w:type="pct"/>
            <w:vAlign w:val="center"/>
          </w:tcPr>
          <w:p w14:paraId="3B745A47">
            <w:pPr>
              <w:snapToGrid w:val="0"/>
              <w:spacing w:line="52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2026年南网数字集团信通公司南网云建设项目API安全检测系统</w:t>
            </w:r>
          </w:p>
        </w:tc>
      </w:tr>
      <w:bookmarkEnd w:id="6"/>
      <w:bookmarkEnd w:id="7"/>
    </w:tbl>
    <w:p w14:paraId="05862152">
      <w:pPr>
        <w:pStyle w:val="3"/>
        <w:spacing w:line="520" w:lineRule="exact"/>
        <w:rPr>
          <w:rFonts w:hint="eastAsia" w:ascii="楷体_GB2312" w:hAnsi="楷体_GB2312" w:eastAsia="楷体_GB2312" w:cs="楷体_GB2312"/>
          <w:szCs w:val="32"/>
        </w:rPr>
      </w:pPr>
      <w:r>
        <w:rPr>
          <w:rFonts w:hint="eastAsia" w:ascii="楷体_GB2312" w:hAnsi="楷体_GB2312" w:eastAsia="楷体_GB2312" w:cs="楷体_GB2312"/>
          <w:szCs w:val="32"/>
        </w:rPr>
        <w:t>安全评估内容</w:t>
      </w:r>
    </w:p>
    <w:p w14:paraId="05B8EAD5">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依据《中国南方电网有限责任公司IT主流设备安全基线技术规范》、《中国南方电网有限责任公司入网安全测评技术规范》完成安全评估范围内信息系统的测评工作，分别从网络、系统主机、数据库、中间件、应用系统等多个方面开展入网安全评估工作。</w:t>
      </w:r>
    </w:p>
    <w:p w14:paraId="2215AF05">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通过应用系统渗透测试、主机漏洞扫描和安全配置核查等方式，乙方协助甲方开展入网安全评估工作，以发现新入网系统存在的安全风险隐患。甲方完成风险隐患的整改加固后，乙方进行回归测试，以确认先前的风险安全隐患得到有效的修复，同时没有出现新的安全漏洞，并出具《入网安全评估测试报告》。</w:t>
      </w:r>
    </w:p>
    <w:p w14:paraId="34E80ACA">
      <w:pPr>
        <w:snapToGrid w:val="0"/>
        <w:spacing w:line="520" w:lineRule="exact"/>
        <w:rPr>
          <w:rFonts w:hint="eastAsia" w:ascii="仿宋_GB2312" w:hAnsi="仿宋_GB2312" w:eastAsia="仿宋_GB2312" w:cs="仿宋_GB2312"/>
          <w:iCs/>
          <w:color w:val="000000"/>
          <w:sz w:val="32"/>
          <w:szCs w:val="32"/>
          <w:highlight w:val="yellow"/>
        </w:rPr>
      </w:pPr>
    </w:p>
    <w:p w14:paraId="44F2B529">
      <w:pPr>
        <w:pStyle w:val="2"/>
        <w:spacing w:before="0" w:after="0" w:line="560" w:lineRule="exact"/>
        <w:ind w:left="1054"/>
        <w:rPr>
          <w:rFonts w:hint="eastAsia" w:ascii="黑体" w:hAnsi="黑体" w:cs="黑体"/>
          <w:szCs w:val="32"/>
        </w:rPr>
      </w:pPr>
      <w:r>
        <w:rPr>
          <w:rFonts w:hint="eastAsia" w:ascii="黑体" w:hAnsi="黑体" w:cs="黑体"/>
          <w:szCs w:val="32"/>
        </w:rPr>
        <w:t>项目工作要求</w:t>
      </w:r>
    </w:p>
    <w:p w14:paraId="2E1CAE34">
      <w:pPr>
        <w:pStyle w:val="3"/>
        <w:spacing w:line="520" w:lineRule="exact"/>
        <w:rPr>
          <w:rFonts w:hint="eastAsia" w:ascii="楷体_GB2312" w:hAnsi="楷体_GB2312" w:eastAsia="楷体_GB2312" w:cs="楷体_GB2312"/>
          <w:szCs w:val="32"/>
        </w:rPr>
      </w:pPr>
      <w:r>
        <w:rPr>
          <w:rFonts w:hint="eastAsia" w:ascii="楷体_GB2312" w:hAnsi="楷体_GB2312" w:eastAsia="楷体_GB2312" w:cs="楷体_GB2312"/>
          <w:szCs w:val="32"/>
        </w:rPr>
        <w:t>资质要求</w:t>
      </w:r>
    </w:p>
    <w:p w14:paraId="1D53BF3C">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1）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提供加盖公章的营业执行复印件）。</w:t>
      </w:r>
    </w:p>
    <w:p w14:paraId="30DC1912">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（2）投标单位负责人为同一人或者存在控股、管理关系的不同单位，不得同时参加本项目（提供承诺函）。</w:t>
      </w:r>
    </w:p>
    <w:p w14:paraId="0874652B">
      <w:pPr>
        <w:pStyle w:val="19"/>
        <w:snapToGrid w:val="0"/>
        <w:spacing w:line="520" w:lineRule="exact"/>
        <w:ind w:firstLine="640"/>
        <w:rPr>
          <w:rFonts w:hint="eastAsia" w:ascii="仿宋_GB2312" w:hAnsi="仿宋_GB2312" w:eastAsia="仿宋_GB2312" w:cs="仿宋_GB2312"/>
          <w:iCs/>
          <w:color w:val="000000"/>
          <w:sz w:val="32"/>
          <w:szCs w:val="32"/>
          <w:highlight w:val="none"/>
        </w:rPr>
      </w:pPr>
      <w:r>
        <w:rPr>
          <w:rFonts w:hint="eastAsia" w:ascii="仿宋_GB2312" w:hAnsi="仿宋_GB2312" w:eastAsia="仿宋_GB2312" w:cs="仿宋_GB2312"/>
          <w:iCs/>
          <w:color w:val="000000"/>
          <w:sz w:val="32"/>
          <w:szCs w:val="32"/>
          <w:highlight w:val="none"/>
        </w:rPr>
        <w:t>（3）投标人应具备中国网络安全审查认证和市场监管大数据中心签发的信息安全服务资质认证证书-信息安全风险评估二级（含）以上的服务资质证书。（提供加盖公章的有效的证书复印件）。</w:t>
      </w:r>
    </w:p>
    <w:p w14:paraId="758E6E08">
      <w:pPr>
        <w:pStyle w:val="19"/>
        <w:snapToGrid w:val="0"/>
        <w:spacing w:line="520" w:lineRule="exact"/>
        <w:ind w:firstLine="640"/>
        <w:rPr>
          <w:rFonts w:hint="eastAsia" w:ascii="仿宋_GB2312" w:hAnsi="仿宋_GB2312" w:eastAsia="仿宋_GB2312" w:cs="仿宋_GB2312"/>
          <w:iCs/>
          <w:color w:val="000000"/>
          <w:sz w:val="32"/>
          <w:szCs w:val="32"/>
        </w:rPr>
      </w:pPr>
    </w:p>
    <w:p w14:paraId="06BA8AD4">
      <w:pPr>
        <w:pStyle w:val="3"/>
        <w:spacing w:line="520" w:lineRule="exact"/>
        <w:rPr>
          <w:rFonts w:hint="eastAsia" w:ascii="楷体_GB2312" w:hAnsi="楷体_GB2312" w:eastAsia="楷体_GB2312" w:cs="楷体_GB2312"/>
          <w:szCs w:val="32"/>
        </w:rPr>
      </w:pPr>
      <w:r>
        <w:rPr>
          <w:rFonts w:hint="eastAsia" w:ascii="楷体_GB2312" w:hAnsi="楷体_GB2312" w:eastAsia="楷体_GB2312" w:cs="楷体_GB2312"/>
          <w:szCs w:val="32"/>
        </w:rPr>
        <w:t>进度要求</w:t>
      </w:r>
    </w:p>
    <w:p w14:paraId="3D6C9ED6">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（1）乙方应根据甲方的要求及时间安排，派遣安全测试人员至甲方工作场所开展测试工作。</w:t>
      </w:r>
    </w:p>
    <w:p w14:paraId="0B165DF3">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（2）乙方负责在整个项目安全测试过程中，保证测试质量和测试数据的可靠性。</w:t>
      </w:r>
    </w:p>
    <w:p w14:paraId="741EDD76">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（3）乙方按照要求完成安全测试并出具相应的盖章版安全测试报告。</w:t>
      </w:r>
    </w:p>
    <w:tbl>
      <w:tblPr>
        <w:tblStyle w:val="13"/>
        <w:tblW w:w="55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9"/>
        <w:gridCol w:w="1392"/>
        <w:gridCol w:w="1529"/>
        <w:gridCol w:w="4389"/>
      </w:tblGrid>
      <w:tr w14:paraId="5CAB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136" w:type="pct"/>
            <w:tcBorders>
              <w:top w:val="single" w:color="auto" w:sz="4" w:space="0"/>
              <w:left w:val="single" w:color="auto" w:sz="4" w:space="0"/>
              <w:bottom w:val="single" w:color="auto" w:sz="4" w:space="0"/>
              <w:right w:val="single" w:color="auto" w:sz="4" w:space="0"/>
            </w:tcBorders>
            <w:shd w:val="clear" w:color="auto" w:fill="DEEAF6"/>
            <w:vAlign w:val="center"/>
          </w:tcPr>
          <w:p w14:paraId="5F22DBD2">
            <w:pPr>
              <w:spacing w:line="520" w:lineRule="exact"/>
              <w:jc w:val="center"/>
              <w:rPr>
                <w:rFonts w:hint="eastAsia" w:ascii="仿宋_GB2312" w:hAnsi="仿宋_GB2312" w:eastAsia="仿宋_GB2312" w:cs="仿宋_GB2312"/>
                <w:b/>
                <w:color w:val="000000"/>
                <w:sz w:val="28"/>
                <w:szCs w:val="28"/>
              </w:rPr>
            </w:pPr>
            <w:bookmarkStart w:id="8" w:name="_Toc280111395"/>
            <w:bookmarkEnd w:id="8"/>
            <w:bookmarkStart w:id="9" w:name="_Toc48843703"/>
            <w:bookmarkEnd w:id="9"/>
            <w:bookmarkStart w:id="10" w:name="_Toc74069008"/>
            <w:bookmarkEnd w:id="10"/>
            <w:bookmarkStart w:id="11" w:name="_Toc1316264651"/>
            <w:bookmarkEnd w:id="11"/>
            <w:bookmarkStart w:id="12" w:name="_Toc2559"/>
            <w:bookmarkEnd w:id="12"/>
            <w:r>
              <w:rPr>
                <w:rFonts w:hint="eastAsia" w:ascii="仿宋_GB2312" w:hAnsi="仿宋_GB2312" w:eastAsia="仿宋_GB2312" w:cs="仿宋_GB2312"/>
                <w:b/>
                <w:color w:val="000000"/>
                <w:sz w:val="28"/>
                <w:szCs w:val="28"/>
              </w:rPr>
              <w:t>任务名称</w:t>
            </w:r>
          </w:p>
        </w:tc>
        <w:tc>
          <w:tcPr>
            <w:tcW w:w="736" w:type="pct"/>
            <w:tcBorders>
              <w:top w:val="single" w:color="auto" w:sz="4" w:space="0"/>
              <w:left w:val="single" w:color="auto" w:sz="4" w:space="0"/>
              <w:bottom w:val="single" w:color="auto" w:sz="4" w:space="0"/>
              <w:right w:val="single" w:color="auto" w:sz="4" w:space="0"/>
            </w:tcBorders>
            <w:shd w:val="clear" w:color="auto" w:fill="DEEAF6"/>
            <w:vAlign w:val="center"/>
          </w:tcPr>
          <w:p w14:paraId="5757ED1E">
            <w:pPr>
              <w:spacing w:line="52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开始时间</w:t>
            </w:r>
          </w:p>
        </w:tc>
        <w:tc>
          <w:tcPr>
            <w:tcW w:w="808" w:type="pct"/>
            <w:tcBorders>
              <w:top w:val="single" w:color="auto" w:sz="4" w:space="0"/>
              <w:left w:val="single" w:color="auto" w:sz="4" w:space="0"/>
              <w:bottom w:val="single" w:color="auto" w:sz="4" w:space="0"/>
              <w:right w:val="single" w:color="auto" w:sz="4" w:space="0"/>
            </w:tcBorders>
            <w:shd w:val="clear" w:color="auto" w:fill="DEEAF6"/>
            <w:vAlign w:val="center"/>
          </w:tcPr>
          <w:p w14:paraId="63306BF7">
            <w:pPr>
              <w:spacing w:line="52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完成时间</w:t>
            </w:r>
          </w:p>
        </w:tc>
        <w:tc>
          <w:tcPr>
            <w:tcW w:w="2320" w:type="pct"/>
            <w:tcBorders>
              <w:top w:val="single" w:color="auto" w:sz="4" w:space="0"/>
              <w:left w:val="single" w:color="auto" w:sz="4" w:space="0"/>
              <w:bottom w:val="single" w:color="auto" w:sz="4" w:space="0"/>
              <w:right w:val="single" w:color="auto" w:sz="4" w:space="0"/>
            </w:tcBorders>
            <w:shd w:val="clear" w:color="auto" w:fill="DEEAF6"/>
            <w:vAlign w:val="center"/>
          </w:tcPr>
          <w:p w14:paraId="53AADB4A">
            <w:pPr>
              <w:spacing w:line="52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主要内容及交付项</w:t>
            </w:r>
          </w:p>
        </w:tc>
      </w:tr>
      <w:tr w14:paraId="7FCBD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9" w:hRule="atLeast"/>
          <w:jc w:val="center"/>
        </w:trPr>
        <w:tc>
          <w:tcPr>
            <w:tcW w:w="1136" w:type="pct"/>
            <w:tcBorders>
              <w:top w:val="single" w:color="auto" w:sz="4" w:space="0"/>
              <w:left w:val="single" w:color="auto" w:sz="4" w:space="0"/>
              <w:bottom w:val="single" w:color="auto" w:sz="4" w:space="0"/>
              <w:right w:val="single" w:color="auto" w:sz="4" w:space="0"/>
            </w:tcBorders>
            <w:vAlign w:val="center"/>
          </w:tcPr>
          <w:p w14:paraId="3BCDFCAE">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2026年南网数字集团信通公司南网云建设项目API安全检测系统入网安评服务</w:t>
            </w:r>
          </w:p>
        </w:tc>
        <w:tc>
          <w:tcPr>
            <w:tcW w:w="736" w:type="pct"/>
            <w:tcBorders>
              <w:top w:val="single" w:color="auto" w:sz="4" w:space="0"/>
              <w:left w:val="single" w:color="auto" w:sz="4" w:space="0"/>
              <w:bottom w:val="single" w:color="auto" w:sz="4" w:space="0"/>
              <w:right w:val="single" w:color="auto" w:sz="4" w:space="0"/>
            </w:tcBorders>
            <w:vAlign w:val="center"/>
          </w:tcPr>
          <w:p w14:paraId="68636D95">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合同签订之日起5个自然日内</w:t>
            </w:r>
          </w:p>
        </w:tc>
        <w:tc>
          <w:tcPr>
            <w:tcW w:w="808" w:type="pct"/>
            <w:tcBorders>
              <w:top w:val="single" w:color="auto" w:sz="4" w:space="0"/>
              <w:left w:val="single" w:color="auto" w:sz="4" w:space="0"/>
              <w:bottom w:val="single" w:color="auto" w:sz="4" w:space="0"/>
              <w:right w:val="single" w:color="auto" w:sz="4" w:space="0"/>
            </w:tcBorders>
            <w:vAlign w:val="center"/>
          </w:tcPr>
          <w:p w14:paraId="496FED2E">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合同签订之日起1个月内</w:t>
            </w:r>
          </w:p>
        </w:tc>
        <w:tc>
          <w:tcPr>
            <w:tcW w:w="2320" w:type="pct"/>
            <w:tcBorders>
              <w:top w:val="single" w:color="auto" w:sz="4" w:space="0"/>
              <w:left w:val="single" w:color="auto" w:sz="4" w:space="0"/>
              <w:bottom w:val="single" w:color="auto" w:sz="4" w:space="0"/>
              <w:right w:val="single" w:color="auto" w:sz="4" w:space="0"/>
            </w:tcBorders>
            <w:vAlign w:val="center"/>
          </w:tcPr>
          <w:p w14:paraId="65EAE7CF">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highlight w:val="none"/>
              </w:rPr>
              <w:t>乙方通过人工渗透测试、安全基线检查、安全漏洞扫描，进行评估测试，并进行整改后的回归测试，最终出具《</w:t>
            </w:r>
            <w:r>
              <w:rPr>
                <w:rFonts w:hint="eastAsia" w:ascii="仿宋_GB2312" w:hAnsi="仿宋_GB2312" w:eastAsia="仿宋_GB2312" w:cs="仿宋_GB2312"/>
                <w:sz w:val="28"/>
                <w:szCs w:val="28"/>
                <w:highlight w:val="none"/>
              </w:rPr>
              <w:t>入网安全评估测试报告》</w:t>
            </w:r>
          </w:p>
        </w:tc>
      </w:tr>
    </w:tbl>
    <w:p w14:paraId="6328026B">
      <w:pPr>
        <w:pStyle w:val="3"/>
        <w:spacing w:line="520" w:lineRule="exact"/>
        <w:rPr>
          <w:rFonts w:hint="eastAsia" w:ascii="楷体_GB2312" w:hAnsi="楷体_GB2312" w:eastAsia="楷体_GB2312" w:cs="楷体_GB2312"/>
          <w:szCs w:val="32"/>
        </w:rPr>
      </w:pPr>
      <w:bookmarkStart w:id="13" w:name="_Toc74069009"/>
      <w:bookmarkEnd w:id="13"/>
      <w:bookmarkStart w:id="14" w:name="_Toc1230941610"/>
      <w:bookmarkEnd w:id="14"/>
      <w:bookmarkStart w:id="15" w:name="_Toc548061541"/>
      <w:bookmarkEnd w:id="15"/>
      <w:bookmarkStart w:id="16" w:name="_Toc3104"/>
      <w:bookmarkEnd w:id="16"/>
      <w:bookmarkStart w:id="17" w:name="_Toc501372638"/>
      <w:bookmarkEnd w:id="17"/>
      <w:bookmarkStart w:id="18" w:name="_Toc493761305"/>
      <w:bookmarkEnd w:id="18"/>
      <w:bookmarkStart w:id="19" w:name="_Toc54882075"/>
      <w:bookmarkEnd w:id="19"/>
      <w:r>
        <w:rPr>
          <w:rFonts w:hint="eastAsia" w:ascii="楷体_GB2312" w:hAnsi="楷体_GB2312" w:eastAsia="楷体_GB2312" w:cs="楷体_GB2312"/>
          <w:szCs w:val="32"/>
          <w:lang w:val="en-US" w:eastAsia="zh-CN"/>
        </w:rPr>
        <w:t>内容要求</w:t>
      </w:r>
    </w:p>
    <w:p w14:paraId="38F48A15">
      <w:pPr>
        <w:pStyle w:val="4"/>
        <w:bidi w:val="0"/>
        <w:ind w:left="1339" w:leftChars="0" w:hanging="709" w:firstLineChars="0"/>
      </w:pPr>
      <w:r>
        <w:rPr>
          <w:rFonts w:hint="eastAsia"/>
          <w:lang w:val="en-US" w:eastAsia="zh-CN"/>
        </w:rPr>
        <w:t>测试依据</w:t>
      </w:r>
    </w:p>
    <w:p w14:paraId="2AB78F92">
      <w:pPr>
        <w:keepNext/>
        <w:keepLines/>
        <w:pageBreakBefore w:val="0"/>
        <w:widowControl w:val="0"/>
        <w:numPr>
          <w:ilvl w:val="0"/>
          <w:numId w:val="0"/>
        </w:numPr>
        <w:kinsoku/>
        <w:wordWrap/>
        <w:overflowPunct/>
        <w:topLinePunct w:val="0"/>
        <w:autoSpaceDE/>
        <w:autoSpaceDN/>
        <w:bidi w:val="0"/>
        <w:adjustRightInd/>
        <w:snapToGrid/>
        <w:spacing w:line="416" w:lineRule="auto"/>
        <w:ind w:left="420" w:leftChars="0" w:firstLine="420" w:firstLineChars="0"/>
        <w:textAlignment w:val="auto"/>
        <w:outlineLvl w:val="9"/>
        <w:rPr>
          <w:rFonts w:hint="eastAsia" w:ascii="仿宋_GB2312" w:hAnsi="仿宋_GB2312" w:eastAsia="仿宋_GB2312" w:cs="仿宋_GB2312"/>
          <w:b w:val="0"/>
          <w:bCs w:val="0"/>
          <w:iCs/>
          <w:color w:val="000000"/>
          <w:kern w:val="2"/>
          <w:sz w:val="32"/>
          <w:szCs w:val="32"/>
          <w:lang w:val="en-US" w:eastAsia="zh-CN" w:bidi="ar-SA"/>
        </w:rPr>
      </w:pPr>
      <w:r>
        <w:rPr>
          <w:rFonts w:hint="eastAsia" w:ascii="仿宋_GB2312" w:hAnsi="仿宋_GB2312" w:eastAsia="仿宋_GB2312" w:cs="仿宋_GB2312"/>
          <w:b w:val="0"/>
          <w:bCs w:val="0"/>
          <w:iCs/>
          <w:color w:val="000000"/>
          <w:kern w:val="2"/>
          <w:sz w:val="32"/>
          <w:szCs w:val="32"/>
          <w:lang w:val="en-US" w:eastAsia="zh-CN" w:bidi="ar-SA"/>
        </w:rPr>
        <w:t>安全测试服务将参考下列规范进行工作：</w:t>
      </w:r>
    </w:p>
    <w:p w14:paraId="0E5D3D8A">
      <w:pPr>
        <w:keepNext/>
        <w:keepLines/>
        <w:pageBreakBefore w:val="0"/>
        <w:widowControl w:val="0"/>
        <w:numPr>
          <w:ilvl w:val="0"/>
          <w:numId w:val="3"/>
        </w:numPr>
        <w:kinsoku/>
        <w:wordWrap/>
        <w:overflowPunct/>
        <w:topLinePunct w:val="0"/>
        <w:autoSpaceDE/>
        <w:autoSpaceDN/>
        <w:bidi w:val="0"/>
        <w:adjustRightInd/>
        <w:snapToGrid/>
        <w:spacing w:line="416" w:lineRule="auto"/>
        <w:ind w:left="0" w:leftChars="0" w:firstLine="420" w:firstLineChars="0"/>
        <w:textAlignment w:val="auto"/>
        <w:outlineLvl w:val="9"/>
        <w:rPr>
          <w:rFonts w:hint="eastAsia" w:ascii="仿宋_GB2312" w:hAnsi="仿宋_GB2312" w:eastAsia="仿宋_GB2312" w:cs="仿宋_GB2312"/>
          <w:b w:val="0"/>
          <w:bCs w:val="0"/>
          <w:iCs/>
          <w:color w:val="000000"/>
          <w:kern w:val="2"/>
          <w:sz w:val="32"/>
          <w:szCs w:val="32"/>
          <w:lang w:val="en-US" w:eastAsia="zh-CN" w:bidi="ar-SA"/>
        </w:rPr>
      </w:pPr>
      <w:r>
        <w:rPr>
          <w:rFonts w:hint="eastAsia" w:ascii="仿宋_GB2312" w:hAnsi="仿宋_GB2312" w:eastAsia="仿宋_GB2312" w:cs="仿宋_GB2312"/>
          <w:b w:val="0"/>
          <w:bCs w:val="0"/>
          <w:iCs/>
          <w:color w:val="000000"/>
          <w:kern w:val="2"/>
          <w:sz w:val="32"/>
          <w:szCs w:val="32"/>
          <w:lang w:val="en-US" w:eastAsia="zh-CN" w:bidi="ar-SA"/>
        </w:rPr>
        <w:t>信息安全技术  信息安全风险评估规范（GB/T 20984-2007）</w:t>
      </w:r>
    </w:p>
    <w:p w14:paraId="6DDC3BA9">
      <w:pPr>
        <w:keepNext/>
        <w:keepLines/>
        <w:pageBreakBefore w:val="0"/>
        <w:widowControl w:val="0"/>
        <w:numPr>
          <w:ilvl w:val="0"/>
          <w:numId w:val="3"/>
        </w:numPr>
        <w:kinsoku/>
        <w:wordWrap/>
        <w:overflowPunct/>
        <w:topLinePunct w:val="0"/>
        <w:autoSpaceDE/>
        <w:autoSpaceDN/>
        <w:bidi w:val="0"/>
        <w:adjustRightInd/>
        <w:snapToGrid/>
        <w:spacing w:line="416" w:lineRule="auto"/>
        <w:ind w:left="0" w:leftChars="0" w:firstLine="420" w:firstLineChars="0"/>
        <w:textAlignment w:val="auto"/>
        <w:outlineLvl w:val="9"/>
        <w:rPr>
          <w:rFonts w:hint="eastAsia" w:ascii="仿宋_GB2312" w:hAnsi="仿宋_GB2312" w:eastAsia="仿宋_GB2312" w:cs="仿宋_GB2312"/>
          <w:b w:val="0"/>
          <w:bCs w:val="0"/>
          <w:iCs/>
          <w:color w:val="000000"/>
          <w:kern w:val="2"/>
          <w:sz w:val="32"/>
          <w:szCs w:val="32"/>
          <w:lang w:val="en-US" w:eastAsia="zh-CN" w:bidi="ar-SA"/>
        </w:rPr>
      </w:pPr>
      <w:r>
        <w:rPr>
          <w:rFonts w:hint="eastAsia" w:ascii="仿宋_GB2312" w:hAnsi="仿宋_GB2312" w:eastAsia="仿宋_GB2312" w:cs="仿宋_GB2312"/>
          <w:b w:val="0"/>
          <w:bCs w:val="0"/>
          <w:iCs/>
          <w:color w:val="000000"/>
          <w:kern w:val="2"/>
          <w:sz w:val="32"/>
          <w:szCs w:val="32"/>
          <w:lang w:val="en-US" w:eastAsia="zh-CN" w:bidi="ar-SA"/>
        </w:rPr>
        <w:t>信息技术 信息安全管理实用规则（GB/T 19716-2005)(ISO/IEC 17799:2000)</w:t>
      </w:r>
    </w:p>
    <w:p w14:paraId="0466CC43">
      <w:pPr>
        <w:keepNext/>
        <w:keepLines/>
        <w:pageBreakBefore w:val="0"/>
        <w:widowControl w:val="0"/>
        <w:numPr>
          <w:ilvl w:val="0"/>
          <w:numId w:val="3"/>
        </w:numPr>
        <w:kinsoku/>
        <w:wordWrap/>
        <w:overflowPunct/>
        <w:topLinePunct w:val="0"/>
        <w:autoSpaceDE/>
        <w:autoSpaceDN/>
        <w:bidi w:val="0"/>
        <w:adjustRightInd/>
        <w:snapToGrid/>
        <w:spacing w:line="416" w:lineRule="auto"/>
        <w:ind w:left="0" w:leftChars="0" w:firstLine="420" w:firstLineChars="0"/>
        <w:textAlignment w:val="auto"/>
        <w:outlineLvl w:val="9"/>
        <w:rPr>
          <w:rFonts w:hint="eastAsia" w:ascii="仿宋_GB2312" w:hAnsi="仿宋_GB2312" w:eastAsia="仿宋_GB2312" w:cs="仿宋_GB2312"/>
          <w:b w:val="0"/>
          <w:bCs w:val="0"/>
          <w:iCs/>
          <w:color w:val="000000"/>
          <w:kern w:val="2"/>
          <w:sz w:val="32"/>
          <w:szCs w:val="32"/>
          <w:lang w:val="en-US" w:eastAsia="zh-CN" w:bidi="ar-SA"/>
        </w:rPr>
      </w:pPr>
      <w:r>
        <w:rPr>
          <w:rFonts w:hint="eastAsia" w:ascii="仿宋_GB2312" w:hAnsi="仿宋_GB2312" w:eastAsia="仿宋_GB2312" w:cs="仿宋_GB2312"/>
          <w:b w:val="0"/>
          <w:bCs w:val="0"/>
          <w:iCs/>
          <w:color w:val="000000"/>
          <w:kern w:val="2"/>
          <w:sz w:val="32"/>
          <w:szCs w:val="32"/>
          <w:lang w:val="en-US" w:eastAsia="zh-CN" w:bidi="ar-SA"/>
        </w:rPr>
        <w:t>信息系统安全风险评估实施指南</w:t>
      </w:r>
    </w:p>
    <w:p w14:paraId="4F1F9A23">
      <w:pPr>
        <w:keepNext/>
        <w:keepLines/>
        <w:pageBreakBefore w:val="0"/>
        <w:widowControl w:val="0"/>
        <w:numPr>
          <w:ilvl w:val="0"/>
          <w:numId w:val="3"/>
        </w:numPr>
        <w:kinsoku/>
        <w:wordWrap/>
        <w:overflowPunct/>
        <w:topLinePunct w:val="0"/>
        <w:autoSpaceDE/>
        <w:autoSpaceDN/>
        <w:bidi w:val="0"/>
        <w:adjustRightInd/>
        <w:snapToGrid/>
        <w:spacing w:line="416" w:lineRule="auto"/>
        <w:ind w:left="0" w:leftChars="0" w:firstLine="420" w:firstLineChars="0"/>
        <w:textAlignment w:val="auto"/>
        <w:outlineLvl w:val="9"/>
        <w:rPr>
          <w:rFonts w:hint="eastAsia" w:ascii="仿宋_GB2312" w:hAnsi="仿宋_GB2312" w:eastAsia="仿宋_GB2312" w:cs="仿宋_GB2312"/>
          <w:b w:val="0"/>
          <w:bCs w:val="0"/>
          <w:iCs/>
          <w:color w:val="000000"/>
          <w:kern w:val="2"/>
          <w:sz w:val="32"/>
          <w:szCs w:val="32"/>
          <w:lang w:val="en-US" w:eastAsia="zh-CN" w:bidi="ar-SA"/>
        </w:rPr>
      </w:pPr>
      <w:r>
        <w:rPr>
          <w:rFonts w:hint="eastAsia" w:ascii="仿宋_GB2312" w:hAnsi="仿宋_GB2312" w:eastAsia="仿宋_GB2312" w:cs="仿宋_GB2312"/>
          <w:b w:val="0"/>
          <w:bCs w:val="0"/>
          <w:iCs/>
          <w:color w:val="000000"/>
          <w:kern w:val="2"/>
          <w:sz w:val="32"/>
          <w:szCs w:val="32"/>
          <w:lang w:val="en-US" w:eastAsia="zh-CN" w:bidi="ar-SA"/>
        </w:rPr>
        <w:t>信息系统审计标准（ISACA）</w:t>
      </w:r>
    </w:p>
    <w:p w14:paraId="49772E20">
      <w:pPr>
        <w:keepNext/>
        <w:keepLines/>
        <w:pageBreakBefore w:val="0"/>
        <w:widowControl w:val="0"/>
        <w:numPr>
          <w:ilvl w:val="0"/>
          <w:numId w:val="3"/>
        </w:numPr>
        <w:kinsoku/>
        <w:wordWrap/>
        <w:overflowPunct/>
        <w:topLinePunct w:val="0"/>
        <w:autoSpaceDE/>
        <w:autoSpaceDN/>
        <w:bidi w:val="0"/>
        <w:adjustRightInd/>
        <w:snapToGrid/>
        <w:spacing w:line="416" w:lineRule="auto"/>
        <w:ind w:left="0" w:leftChars="0" w:firstLine="420" w:firstLineChars="0"/>
        <w:textAlignment w:val="auto"/>
        <w:outlineLvl w:val="9"/>
        <w:rPr>
          <w:rFonts w:hint="eastAsia" w:ascii="仿宋_GB2312" w:hAnsi="仿宋_GB2312" w:eastAsia="仿宋_GB2312" w:cs="仿宋_GB2312"/>
          <w:b w:val="0"/>
          <w:bCs w:val="0"/>
          <w:iCs/>
          <w:color w:val="000000"/>
          <w:kern w:val="2"/>
          <w:sz w:val="32"/>
          <w:szCs w:val="32"/>
          <w:lang w:val="en-US" w:eastAsia="zh-CN" w:bidi="ar-SA"/>
        </w:rPr>
      </w:pPr>
      <w:r>
        <w:rPr>
          <w:rFonts w:hint="eastAsia" w:ascii="仿宋_GB2312" w:hAnsi="仿宋_GB2312" w:eastAsia="仿宋_GB2312" w:cs="仿宋_GB2312"/>
          <w:b w:val="0"/>
          <w:bCs w:val="0"/>
          <w:iCs/>
          <w:color w:val="000000"/>
          <w:kern w:val="2"/>
          <w:sz w:val="32"/>
          <w:szCs w:val="32"/>
          <w:lang w:val="en-US" w:eastAsia="zh-CN" w:bidi="ar-SA"/>
        </w:rPr>
        <w:t>OWASP OWASP_Testing_Guide_v3</w:t>
      </w:r>
    </w:p>
    <w:p w14:paraId="4DC4FB23">
      <w:pPr>
        <w:keepNext/>
        <w:keepLines/>
        <w:pageBreakBefore w:val="0"/>
        <w:widowControl w:val="0"/>
        <w:numPr>
          <w:ilvl w:val="0"/>
          <w:numId w:val="3"/>
        </w:numPr>
        <w:kinsoku/>
        <w:wordWrap/>
        <w:overflowPunct/>
        <w:topLinePunct w:val="0"/>
        <w:autoSpaceDE/>
        <w:autoSpaceDN/>
        <w:bidi w:val="0"/>
        <w:adjustRightInd/>
        <w:snapToGrid/>
        <w:spacing w:line="416" w:lineRule="auto"/>
        <w:ind w:left="0" w:leftChars="0" w:firstLine="420" w:firstLineChars="0"/>
        <w:textAlignment w:val="auto"/>
        <w:outlineLvl w:val="9"/>
        <w:rPr>
          <w:rFonts w:hint="eastAsia" w:ascii="仿宋_GB2312" w:hAnsi="仿宋_GB2312" w:eastAsia="仿宋_GB2312" w:cs="仿宋_GB2312"/>
          <w:b w:val="0"/>
          <w:bCs w:val="0"/>
          <w:iCs/>
          <w:color w:val="000000"/>
          <w:kern w:val="2"/>
          <w:sz w:val="32"/>
          <w:szCs w:val="32"/>
          <w:lang w:val="en-US" w:eastAsia="zh-CN" w:bidi="ar-SA"/>
        </w:rPr>
      </w:pPr>
      <w:r>
        <w:rPr>
          <w:rFonts w:hint="eastAsia" w:ascii="仿宋_GB2312" w:hAnsi="仿宋_GB2312" w:eastAsia="仿宋_GB2312" w:cs="仿宋_GB2312"/>
          <w:b w:val="0"/>
          <w:bCs w:val="0"/>
          <w:iCs/>
          <w:color w:val="000000"/>
          <w:kern w:val="2"/>
          <w:sz w:val="32"/>
          <w:szCs w:val="32"/>
          <w:lang w:val="en-US" w:eastAsia="zh-CN" w:bidi="ar-SA"/>
        </w:rPr>
        <w:t>OWASP OWASP_Development_Guide_2005</w:t>
      </w:r>
    </w:p>
    <w:p w14:paraId="5FB7A509">
      <w:pPr>
        <w:keepNext/>
        <w:keepLines/>
        <w:pageBreakBefore w:val="0"/>
        <w:widowControl w:val="0"/>
        <w:numPr>
          <w:ilvl w:val="0"/>
          <w:numId w:val="3"/>
        </w:numPr>
        <w:kinsoku/>
        <w:wordWrap/>
        <w:overflowPunct/>
        <w:topLinePunct w:val="0"/>
        <w:autoSpaceDE/>
        <w:autoSpaceDN/>
        <w:bidi w:val="0"/>
        <w:adjustRightInd/>
        <w:snapToGrid/>
        <w:spacing w:line="416" w:lineRule="auto"/>
        <w:ind w:left="0" w:leftChars="0" w:firstLine="420" w:firstLineChars="0"/>
        <w:textAlignment w:val="auto"/>
        <w:outlineLvl w:val="9"/>
        <w:rPr>
          <w:rFonts w:hint="eastAsia" w:ascii="仿宋_GB2312" w:hAnsi="仿宋_GB2312" w:eastAsia="仿宋_GB2312" w:cs="仿宋_GB2312"/>
          <w:b w:val="0"/>
          <w:bCs w:val="0"/>
          <w:iCs/>
          <w:color w:val="000000"/>
          <w:kern w:val="2"/>
          <w:sz w:val="32"/>
          <w:szCs w:val="32"/>
          <w:lang w:val="en-US" w:eastAsia="zh-CN" w:bidi="ar-SA"/>
        </w:rPr>
      </w:pPr>
      <w:r>
        <w:rPr>
          <w:rFonts w:hint="eastAsia" w:ascii="仿宋_GB2312" w:hAnsi="仿宋_GB2312" w:eastAsia="仿宋_GB2312" w:cs="仿宋_GB2312"/>
          <w:b w:val="0"/>
          <w:bCs w:val="0"/>
          <w:iCs/>
          <w:color w:val="000000"/>
          <w:kern w:val="2"/>
          <w:sz w:val="32"/>
          <w:szCs w:val="32"/>
          <w:lang w:val="en-US" w:eastAsia="zh-CN" w:bidi="ar-SA"/>
        </w:rPr>
        <w:t>OWASP OWASP_Top_10_2010_Chinese_V1.0</w:t>
      </w:r>
    </w:p>
    <w:p w14:paraId="7CE7DE9B">
      <w:pPr>
        <w:pStyle w:val="4"/>
        <w:bidi w:val="0"/>
        <w:ind w:left="1339" w:leftChars="0" w:hanging="709" w:firstLineChars="0"/>
      </w:pPr>
      <w:r>
        <w:rPr>
          <w:rFonts w:hint="eastAsia"/>
          <w:lang w:val="en-US" w:eastAsia="zh-CN"/>
        </w:rPr>
        <w:t>测试原则</w:t>
      </w:r>
    </w:p>
    <w:p w14:paraId="3C4D9EC7">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eastAsia" w:ascii="仿宋_GB2312" w:hAnsi="仿宋_GB2312" w:eastAsia="仿宋_GB2312" w:cs="仿宋_GB2312"/>
          <w:iCs/>
          <w:color w:val="000000"/>
          <w:kern w:val="2"/>
          <w:sz w:val="32"/>
          <w:szCs w:val="32"/>
          <w:lang w:val="en-US" w:eastAsia="zh-CN" w:bidi="ar-SA"/>
        </w:rPr>
      </w:pPr>
      <w:r>
        <w:rPr>
          <w:rFonts w:hint="eastAsia" w:ascii="仿宋_GB2312" w:hAnsi="仿宋_GB2312" w:eastAsia="仿宋_GB2312" w:cs="仿宋_GB2312"/>
          <w:iCs/>
          <w:color w:val="000000"/>
          <w:kern w:val="2"/>
          <w:sz w:val="32"/>
          <w:szCs w:val="32"/>
          <w:lang w:val="en-US" w:eastAsia="zh-CN" w:bidi="ar-SA"/>
        </w:rPr>
        <w:t>（1）最小权限原则：应用软件的每个模块如进程、用户只能访问当下所必需的信息或者资源。赋予每一个合法动作最小的权限，以保护数据以及功能避免受到错误或者恶意行为的破坏。</w:t>
      </w:r>
    </w:p>
    <w:p w14:paraId="489BFFAD">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eastAsia"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（2）权限分离原则</w:t>
      </w:r>
      <w:r>
        <w:rPr>
          <w:rFonts w:hint="eastAsia" w:ascii="仿宋_GB2312" w:hAnsi="仿宋_GB2312" w:eastAsia="仿宋_GB2312" w:cs="仿宋_GB2312"/>
          <w:iCs/>
          <w:color w:val="000000"/>
          <w:kern w:val="2"/>
          <w:sz w:val="32"/>
          <w:szCs w:val="32"/>
          <w:lang w:val="en-US" w:eastAsia="zh-CN" w:bidi="ar-SA"/>
        </w:rPr>
        <w:t>：对业务的操作、管理和审计权限应该由软件中的不同角色的用户分别承担；普通用户和管理员用户信息应该存放在不同的数据表中。</w:t>
      </w:r>
    </w:p>
    <w:p w14:paraId="737AD36D">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（3）深度防御原则</w:t>
      </w:r>
      <w:r>
        <w:rPr>
          <w:rFonts w:hint="eastAsia" w:ascii="仿宋_GB2312" w:hAnsi="仿宋_GB2312" w:eastAsia="仿宋_GB2312" w:cs="仿宋_GB2312"/>
          <w:iCs/>
          <w:color w:val="000000"/>
          <w:kern w:val="2"/>
          <w:sz w:val="32"/>
          <w:szCs w:val="32"/>
          <w:lang w:val="en-US" w:eastAsia="zh-CN" w:bidi="ar-SA"/>
        </w:rPr>
        <w:t>：在应用程序对业务数据进行处理的每个阶段都要考虑安全性问题，不能仅在某个阶段做安全防御，这样单点防御一旦被突破将造成安全风险。</w:t>
      </w:r>
    </w:p>
    <w:p w14:paraId="532A21DB">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（4）容错保护原则</w:t>
      </w:r>
      <w:r>
        <w:rPr>
          <w:rFonts w:hint="eastAsia" w:ascii="仿宋_GB2312" w:hAnsi="仿宋_GB2312" w:eastAsia="仿宋_GB2312" w:cs="仿宋_GB2312"/>
          <w:iCs/>
          <w:color w:val="000000"/>
          <w:kern w:val="2"/>
          <w:sz w:val="32"/>
          <w:szCs w:val="32"/>
          <w:lang w:val="en-US" w:eastAsia="zh-CN" w:bidi="ar-SA"/>
        </w:rPr>
        <w:t>:当程序出现故障时或系统异常当系统失败时，可以进入到一个失败保护的状态。如果用户请求失败，系统仍可保障安全。</w:t>
      </w:r>
    </w:p>
    <w:p w14:paraId="24C826A5">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（5）单点异常终止原则</w:t>
      </w:r>
      <w:r>
        <w:rPr>
          <w:rFonts w:hint="eastAsia" w:ascii="仿宋_GB2312" w:hAnsi="仿宋_GB2312" w:eastAsia="仿宋_GB2312" w:cs="仿宋_GB2312"/>
          <w:iCs/>
          <w:color w:val="000000"/>
          <w:kern w:val="2"/>
          <w:sz w:val="32"/>
          <w:szCs w:val="32"/>
          <w:lang w:val="en-US" w:eastAsia="zh-CN" w:bidi="ar-SA"/>
        </w:rPr>
        <w:t>:当用户提交数据超出预期时，应立即终止程序的执行，不要试图加以修正并继续执行下去。</w:t>
      </w:r>
    </w:p>
    <w:p w14:paraId="509EDE54">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（6）外来代码安全原则</w:t>
      </w:r>
      <w:r>
        <w:rPr>
          <w:rFonts w:hint="eastAsia" w:ascii="仿宋_GB2312" w:hAnsi="仿宋_GB2312" w:eastAsia="仿宋_GB2312" w:cs="仿宋_GB2312"/>
          <w:iCs/>
          <w:color w:val="000000"/>
          <w:kern w:val="2"/>
          <w:sz w:val="32"/>
          <w:szCs w:val="32"/>
          <w:lang w:val="en-US" w:eastAsia="zh-CN" w:bidi="ar-SA"/>
        </w:rPr>
        <w:t>:严格控制第三方函数与插件的使用，对外来代码必须进行详细的安全测试。</w:t>
      </w:r>
    </w:p>
    <w:p w14:paraId="420FA417">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（7）代码重用原则</w:t>
      </w:r>
      <w:r>
        <w:rPr>
          <w:rFonts w:hint="eastAsia" w:ascii="仿宋_GB2312" w:hAnsi="仿宋_GB2312" w:eastAsia="仿宋_GB2312" w:cs="仿宋_GB2312"/>
          <w:iCs/>
          <w:color w:val="000000"/>
          <w:kern w:val="2"/>
          <w:sz w:val="32"/>
          <w:szCs w:val="32"/>
          <w:lang w:val="en-US" w:eastAsia="zh-CN" w:bidi="ar-SA"/>
        </w:rPr>
        <w:t>:尽可能的重用软件已有的模块，这样可以降低引入新的漏洞和攻击界面的可能性。</w:t>
      </w:r>
    </w:p>
    <w:p w14:paraId="17C8D460">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（8）数据保护原则</w:t>
      </w:r>
      <w:r>
        <w:rPr>
          <w:rFonts w:hint="eastAsia" w:ascii="仿宋_GB2312" w:hAnsi="仿宋_GB2312" w:eastAsia="仿宋_GB2312" w:cs="仿宋_GB2312"/>
          <w:iCs/>
          <w:color w:val="000000"/>
          <w:kern w:val="2"/>
          <w:sz w:val="32"/>
          <w:szCs w:val="32"/>
          <w:lang w:val="en-US" w:eastAsia="zh-CN" w:bidi="ar-SA"/>
        </w:rPr>
        <w:t>:对用户数据的保护功能应涵盖用户数据存储的完整性、用户数据传输保密性、数据传输的访问控制、剩余信息的保护、数据反转操作等内容；应对系统中关键数据（如用户密码等）的存储和网络传输时应采用加密保护，实用加密加密算法应该符合国际标准、国家标准和业界标准。</w:t>
      </w:r>
    </w:p>
    <w:p w14:paraId="17569FE2">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（9）可审计原则</w:t>
      </w:r>
      <w:r>
        <w:rPr>
          <w:rFonts w:hint="eastAsia" w:ascii="仿宋_GB2312" w:hAnsi="仿宋_GB2312" w:eastAsia="仿宋_GB2312" w:cs="仿宋_GB2312"/>
          <w:iCs/>
          <w:color w:val="000000"/>
          <w:kern w:val="2"/>
          <w:sz w:val="32"/>
          <w:szCs w:val="32"/>
          <w:lang w:val="en-US" w:eastAsia="zh-CN" w:bidi="ar-SA"/>
        </w:rPr>
        <w:t>:在应用系统中设计审计日志记录的功能，并对应用系统产生的日志增加完备的审计功能。</w:t>
      </w:r>
    </w:p>
    <w:p w14:paraId="7AEDD1AB">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（10）开放设计原则</w:t>
      </w:r>
      <w:r>
        <w:rPr>
          <w:rFonts w:hint="eastAsia" w:ascii="仿宋_GB2312" w:hAnsi="仿宋_GB2312" w:eastAsia="仿宋_GB2312" w:cs="仿宋_GB2312"/>
          <w:iCs/>
          <w:color w:val="000000"/>
          <w:kern w:val="2"/>
          <w:sz w:val="32"/>
          <w:szCs w:val="32"/>
          <w:lang w:val="en-US" w:eastAsia="zh-CN" w:bidi="ar-SA"/>
        </w:rPr>
        <w:t>:开放设计与“不开放即安全”的原则相对而言，认为设计本身不应具有神秘感。这一原则的具体表现可以参见应用于加密设计的Kerchoff定律，“系统不应单纯依赖私密性，若落入敌人手中则毫无优势可言”；开放设计以提高系统兼容性和可扩展性。</w:t>
      </w:r>
    </w:p>
    <w:p w14:paraId="194AA6D1">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（11）抗抵赖原则</w:t>
      </w:r>
      <w:r>
        <w:rPr>
          <w:rFonts w:hint="eastAsia" w:ascii="仿宋_GB2312" w:hAnsi="仿宋_GB2312" w:eastAsia="仿宋_GB2312" w:cs="仿宋_GB2312"/>
          <w:iCs/>
          <w:color w:val="000000"/>
          <w:kern w:val="2"/>
          <w:sz w:val="32"/>
          <w:szCs w:val="32"/>
          <w:lang w:val="en-US" w:eastAsia="zh-CN" w:bidi="ar-SA"/>
        </w:rPr>
        <w:t>:对于涉及支付交易等重要的业务场景，系统设计应有效地防止通信双方抵赖，如采用电子证书签名等方式。</w:t>
      </w:r>
    </w:p>
    <w:p w14:paraId="5DBB8C6C">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（12）规范性</w:t>
      </w:r>
      <w:r>
        <w:rPr>
          <w:rFonts w:hint="eastAsia" w:ascii="仿宋_GB2312" w:hAnsi="仿宋_GB2312" w:eastAsia="仿宋_GB2312" w:cs="仿宋_GB2312"/>
          <w:iCs/>
          <w:color w:val="000000"/>
          <w:kern w:val="2"/>
          <w:sz w:val="32"/>
          <w:szCs w:val="32"/>
          <w:lang w:val="en-US" w:eastAsia="zh-CN" w:bidi="ar-SA"/>
        </w:rPr>
        <w:t>:系统设计所采用的安全技术和安全产品应符合国际标准、国家标准和业界标准，为系统的扩展升级、与其他系统的互联提供良好的基础。</w:t>
      </w:r>
    </w:p>
    <w:p w14:paraId="4E36B303">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（13）可扩展性</w:t>
      </w:r>
      <w:r>
        <w:rPr>
          <w:rFonts w:hint="eastAsia" w:ascii="仿宋_GB2312" w:hAnsi="仿宋_GB2312" w:eastAsia="仿宋_GB2312" w:cs="仿宋_GB2312"/>
          <w:iCs/>
          <w:color w:val="000000"/>
          <w:kern w:val="2"/>
          <w:sz w:val="32"/>
          <w:szCs w:val="32"/>
          <w:lang w:val="en-US" w:eastAsia="zh-CN" w:bidi="ar-SA"/>
        </w:rPr>
        <w:t>:以当前业务安全需求为基础，充分考虑发展的需要，安全功能模块子系统以插件或接口方式以方便未来的扩展。</w:t>
      </w:r>
    </w:p>
    <w:p w14:paraId="0D1973FD">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（14）实用性</w:t>
      </w:r>
      <w:r>
        <w:rPr>
          <w:rFonts w:hint="eastAsia" w:ascii="仿宋_GB2312" w:hAnsi="仿宋_GB2312" w:eastAsia="仿宋_GB2312" w:cs="仿宋_GB2312"/>
          <w:iCs/>
          <w:color w:val="000000"/>
          <w:kern w:val="2"/>
          <w:sz w:val="32"/>
          <w:szCs w:val="32"/>
          <w:lang w:val="en-US" w:eastAsia="zh-CN" w:bidi="ar-SA"/>
        </w:rPr>
        <w:t>:安全功能设计需要尽可能的考虑投入产出比，同时尽量控制对用户体验的影响。</w:t>
      </w:r>
    </w:p>
    <w:p w14:paraId="1EF6F5C4">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default" w:ascii="仿宋_GB2312" w:hAnsi="仿宋_GB2312" w:eastAsia="仿宋_GB2312" w:cs="仿宋_GB2312"/>
          <w:iCs/>
          <w:color w:val="000000"/>
          <w:kern w:val="2"/>
          <w:sz w:val="32"/>
          <w:szCs w:val="32"/>
          <w:lang w:val="en-US" w:eastAsia="zh-CN" w:bidi="ar-SA"/>
        </w:rPr>
        <w:t>（15）符合性</w:t>
      </w:r>
      <w:r>
        <w:rPr>
          <w:rFonts w:hint="eastAsia" w:ascii="仿宋_GB2312" w:hAnsi="仿宋_GB2312" w:eastAsia="仿宋_GB2312" w:cs="仿宋_GB2312"/>
          <w:iCs/>
          <w:color w:val="000000"/>
          <w:kern w:val="2"/>
          <w:sz w:val="32"/>
          <w:szCs w:val="32"/>
          <w:lang w:val="en-US" w:eastAsia="zh-CN" w:bidi="ar-SA"/>
        </w:rPr>
        <w:t>:安全功能的设计尽可能的要符合国家规范、行业规范以及业界的通用标准，如等级保护等规范。</w:t>
      </w:r>
    </w:p>
    <w:p w14:paraId="6A549FB0">
      <w:pPr>
        <w:pStyle w:val="4"/>
        <w:bidi w:val="0"/>
        <w:ind w:left="1339" w:leftChars="0" w:hanging="709" w:firstLineChars="0"/>
      </w:pPr>
      <w:r>
        <w:rPr>
          <w:rFonts w:hint="eastAsia"/>
          <w:lang w:val="en-US" w:eastAsia="zh-CN"/>
        </w:rPr>
        <w:t>测试工具用例</w:t>
      </w:r>
    </w:p>
    <w:p w14:paraId="7886F2FC">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default" w:ascii="仿宋_GB2312" w:hAnsi="仿宋_GB2312" w:eastAsia="仿宋_GB2312" w:cs="仿宋_GB2312"/>
          <w:iCs/>
          <w:color w:val="000000"/>
          <w:kern w:val="2"/>
          <w:sz w:val="32"/>
          <w:szCs w:val="32"/>
          <w:lang w:val="en-US" w:eastAsia="zh-CN" w:bidi="ar-SA"/>
        </w:rPr>
      </w:pPr>
      <w:r>
        <w:rPr>
          <w:rFonts w:hint="eastAsia" w:ascii="仿宋_GB2312" w:hAnsi="仿宋_GB2312" w:eastAsia="仿宋_GB2312" w:cs="仿宋_GB2312"/>
          <w:iCs/>
          <w:color w:val="000000"/>
          <w:kern w:val="2"/>
          <w:sz w:val="32"/>
          <w:szCs w:val="32"/>
          <w:lang w:val="en-US" w:eastAsia="zh-CN" w:bidi="ar-SA"/>
        </w:rPr>
        <w:t>包括但不限于以下测试工具用例：</w:t>
      </w:r>
    </w:p>
    <w:p w14:paraId="67519879">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eastAsia" w:ascii="仿宋_GB2312" w:hAnsi="仿宋_GB2312" w:eastAsia="仿宋_GB2312" w:cs="仿宋_GB2312"/>
          <w:iCs/>
          <w:color w:val="000000"/>
          <w:kern w:val="2"/>
          <w:sz w:val="32"/>
          <w:szCs w:val="32"/>
          <w:lang w:val="en-US" w:eastAsia="zh-CN" w:bidi="ar-SA"/>
        </w:rPr>
      </w:pPr>
      <w:r>
        <w:rPr>
          <w:rFonts w:hint="eastAsia" w:ascii="仿宋_GB2312" w:hAnsi="仿宋_GB2312" w:eastAsia="仿宋_GB2312" w:cs="仿宋_GB2312"/>
          <w:iCs/>
          <w:color w:val="000000"/>
          <w:kern w:val="2"/>
          <w:sz w:val="32"/>
          <w:szCs w:val="32"/>
          <w:lang w:val="en-US" w:eastAsia="zh-CN" w:bidi="ar-SA"/>
        </w:rPr>
        <w:t>（1）自动化扫描工具：Nessus、AIScanner等</w:t>
      </w:r>
    </w:p>
    <w:p w14:paraId="2387F7CB">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eastAsia" w:ascii="仿宋_GB2312" w:hAnsi="仿宋_GB2312" w:eastAsia="仿宋_GB2312" w:cs="仿宋_GB2312"/>
          <w:iCs/>
          <w:color w:val="000000"/>
          <w:kern w:val="2"/>
          <w:sz w:val="32"/>
          <w:szCs w:val="32"/>
          <w:lang w:val="en-US" w:eastAsia="zh-CN" w:bidi="ar-SA"/>
        </w:rPr>
      </w:pPr>
      <w:r>
        <w:rPr>
          <w:rFonts w:hint="eastAsia" w:ascii="仿宋_GB2312" w:hAnsi="仿宋_GB2312" w:eastAsia="仿宋_GB2312" w:cs="仿宋_GB2312"/>
          <w:iCs/>
          <w:color w:val="000000"/>
          <w:kern w:val="2"/>
          <w:sz w:val="32"/>
          <w:szCs w:val="32"/>
          <w:lang w:val="en-US" w:eastAsia="zh-CN" w:bidi="ar-SA"/>
        </w:rPr>
        <w:t>（2）端口扫描、服务检测：Nmap、SuperScan等</w:t>
      </w:r>
    </w:p>
    <w:p w14:paraId="24E9195A">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eastAsia" w:ascii="仿宋_GB2312" w:hAnsi="仿宋_GB2312" w:eastAsia="仿宋_GB2312" w:cs="仿宋_GB2312"/>
          <w:iCs/>
          <w:color w:val="000000"/>
          <w:kern w:val="2"/>
          <w:sz w:val="32"/>
          <w:szCs w:val="32"/>
          <w:lang w:val="en-US" w:eastAsia="zh-CN" w:bidi="ar-SA"/>
        </w:rPr>
      </w:pPr>
      <w:r>
        <w:rPr>
          <w:rFonts w:hint="eastAsia" w:ascii="仿宋_GB2312" w:hAnsi="仿宋_GB2312" w:eastAsia="仿宋_GB2312" w:cs="仿宋_GB2312"/>
          <w:iCs/>
          <w:color w:val="000000"/>
          <w:kern w:val="2"/>
          <w:sz w:val="32"/>
          <w:szCs w:val="32"/>
          <w:lang w:val="en-US" w:eastAsia="zh-CN" w:bidi="ar-SA"/>
        </w:rPr>
        <w:t>（3）Exploiting 利用工具：Metasploit Framework、Core Impact、Canvas等</w:t>
      </w:r>
    </w:p>
    <w:p w14:paraId="2EA9F5E9">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eastAsia" w:ascii="仿宋_GB2312" w:hAnsi="仿宋_GB2312" w:eastAsia="仿宋_GB2312" w:cs="仿宋_GB2312"/>
          <w:iCs/>
          <w:color w:val="000000"/>
          <w:kern w:val="2"/>
          <w:sz w:val="32"/>
          <w:szCs w:val="32"/>
          <w:lang w:val="en-US" w:eastAsia="zh-CN" w:bidi="ar-SA"/>
        </w:rPr>
      </w:pPr>
      <w:r>
        <w:rPr>
          <w:rFonts w:hint="eastAsia" w:ascii="仿宋_GB2312" w:hAnsi="仿宋_GB2312" w:eastAsia="仿宋_GB2312" w:cs="仿宋_GB2312"/>
          <w:iCs/>
          <w:color w:val="000000"/>
          <w:kern w:val="2"/>
          <w:sz w:val="32"/>
          <w:szCs w:val="32"/>
          <w:lang w:val="en-US" w:eastAsia="zh-CN" w:bidi="ar-SA"/>
        </w:rPr>
        <w:t>（4）应用缺陷分析工具：SQLMAP等</w:t>
      </w:r>
    </w:p>
    <w:p w14:paraId="364CDF78">
      <w:pPr>
        <w:pStyle w:val="4"/>
        <w:bidi w:val="0"/>
        <w:ind w:left="1339" w:leftChars="0" w:hanging="709" w:firstLineChars="0"/>
      </w:pPr>
      <w:r>
        <w:rPr>
          <w:rFonts w:hint="eastAsia"/>
        </w:rPr>
        <w:t>测试</w:t>
      </w:r>
      <w:r>
        <w:rPr>
          <w:rFonts w:hint="eastAsia"/>
          <w:lang w:val="en-US" w:eastAsia="zh-CN"/>
        </w:rPr>
        <w:t>结果输出</w:t>
      </w:r>
    </w:p>
    <w:p w14:paraId="24474A17">
      <w:pPr>
        <w:keepNext/>
        <w:keepLines/>
        <w:pageBreakBefore w:val="0"/>
        <w:widowControl w:val="0"/>
        <w:numPr>
          <w:ilvl w:val="0"/>
          <w:numId w:val="0"/>
        </w:numPr>
        <w:kinsoku/>
        <w:wordWrap/>
        <w:overflowPunct/>
        <w:topLinePunct w:val="0"/>
        <w:autoSpaceDE/>
        <w:autoSpaceDN/>
        <w:bidi w:val="0"/>
        <w:adjustRightInd/>
        <w:snapToGrid/>
        <w:spacing w:line="416" w:lineRule="auto"/>
        <w:ind w:left="0" w:leftChars="0" w:firstLine="640" w:firstLineChars="200"/>
        <w:textAlignment w:val="auto"/>
        <w:outlineLvl w:val="9"/>
        <w:rPr>
          <w:rFonts w:hint="eastAsia" w:ascii="仿宋_GB2312" w:hAnsi="仿宋_GB2312" w:eastAsia="仿宋_GB2312" w:cs="仿宋_GB2312"/>
          <w:iCs/>
          <w:color w:val="000000"/>
          <w:kern w:val="2"/>
          <w:sz w:val="32"/>
          <w:szCs w:val="32"/>
          <w:lang w:val="en-US" w:eastAsia="zh-CN" w:bidi="ar-SA"/>
        </w:rPr>
      </w:pPr>
      <w:r>
        <w:rPr>
          <w:rFonts w:hint="eastAsia" w:ascii="仿宋_GB2312" w:hAnsi="仿宋_GB2312" w:eastAsia="仿宋_GB2312" w:cs="仿宋_GB2312"/>
          <w:iCs/>
          <w:color w:val="000000"/>
          <w:kern w:val="2"/>
          <w:sz w:val="32"/>
          <w:szCs w:val="32"/>
          <w:lang w:val="en-US" w:eastAsia="zh-CN" w:bidi="ar-SA"/>
        </w:rPr>
        <w:t>测试人员利用测试工具用例，结合测试原则，对现场API安全检测系统进行入网安评服务，并形成盖章版的《入网安全评估测试报告》，报告结果包括但不限于以下内容：</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901"/>
        <w:gridCol w:w="2078"/>
        <w:gridCol w:w="4549"/>
      </w:tblGrid>
      <w:tr w14:paraId="01EF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964" w:type="dxa"/>
            <w:tcBorders>
              <w:insideH w:val="single" w:sz="4" w:space="0"/>
              <w:insideV w:val="nil"/>
            </w:tcBorders>
            <w:shd w:val="clear" w:color="auto" w:fill="auto"/>
            <w:vAlign w:val="center"/>
          </w:tcPr>
          <w:p w14:paraId="3EE4B29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2B2D31"/>
                <w:kern w:val="0"/>
                <w:sz w:val="30"/>
                <w:szCs w:val="30"/>
              </w:rPr>
            </w:pPr>
            <w:r>
              <w:rPr>
                <w:rFonts w:hint="eastAsia" w:ascii="仿宋" w:hAnsi="仿宋" w:eastAsia="仿宋" w:cs="仿宋"/>
                <w:b/>
                <w:bCs/>
                <w:color w:val="2B2D31"/>
                <w:kern w:val="0"/>
                <w:sz w:val="30"/>
                <w:szCs w:val="30"/>
              </w:rPr>
              <w:t>安全域</w:t>
            </w:r>
          </w:p>
        </w:tc>
        <w:tc>
          <w:tcPr>
            <w:tcW w:w="2089" w:type="dxa"/>
            <w:tcBorders>
              <w:insideH w:val="single" w:sz="4" w:space="0"/>
              <w:insideV w:val="nil"/>
            </w:tcBorders>
            <w:shd w:val="clear" w:color="auto" w:fill="auto"/>
            <w:vAlign w:val="center"/>
          </w:tcPr>
          <w:p w14:paraId="66A3E92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2B2D31"/>
                <w:kern w:val="0"/>
                <w:sz w:val="30"/>
                <w:szCs w:val="30"/>
              </w:rPr>
            </w:pPr>
            <w:r>
              <w:rPr>
                <w:rFonts w:hint="eastAsia" w:ascii="仿宋" w:hAnsi="仿宋" w:eastAsia="仿宋" w:cs="仿宋"/>
                <w:b/>
                <w:bCs/>
                <w:color w:val="2B2D31"/>
                <w:kern w:val="0"/>
                <w:sz w:val="30"/>
                <w:szCs w:val="30"/>
              </w:rPr>
              <w:t>测试类别</w:t>
            </w:r>
          </w:p>
        </w:tc>
        <w:tc>
          <w:tcPr>
            <w:tcW w:w="4654" w:type="dxa"/>
            <w:tcBorders>
              <w:insideH w:val="single" w:sz="4" w:space="0"/>
              <w:insideV w:val="nil"/>
            </w:tcBorders>
            <w:shd w:val="clear" w:color="auto" w:fill="auto"/>
            <w:vAlign w:val="center"/>
          </w:tcPr>
          <w:p w14:paraId="3933592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2B2D31"/>
                <w:kern w:val="0"/>
                <w:sz w:val="30"/>
                <w:szCs w:val="30"/>
              </w:rPr>
            </w:pPr>
            <w:r>
              <w:rPr>
                <w:rFonts w:hint="eastAsia" w:ascii="仿宋" w:hAnsi="仿宋" w:eastAsia="仿宋" w:cs="仿宋"/>
                <w:b/>
                <w:bCs/>
                <w:color w:val="2B2D31"/>
                <w:kern w:val="0"/>
                <w:sz w:val="30"/>
                <w:szCs w:val="30"/>
              </w:rPr>
              <w:t>具体的安全测试项 / 漏洞名称</w:t>
            </w:r>
          </w:p>
        </w:tc>
      </w:tr>
      <w:tr w14:paraId="4229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964" w:type="dxa"/>
            <w:vMerge w:val="restart"/>
            <w:shd w:val="clear" w:color="auto" w:fill="auto"/>
            <w:vAlign w:val="center"/>
          </w:tcPr>
          <w:p w14:paraId="6CC5F1E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2B2D31"/>
                <w:kern w:val="0"/>
                <w:sz w:val="30"/>
                <w:szCs w:val="30"/>
              </w:rPr>
            </w:pPr>
            <w:r>
              <w:rPr>
                <w:rFonts w:hint="eastAsia" w:ascii="仿宋" w:hAnsi="仿宋" w:eastAsia="仿宋" w:cs="仿宋"/>
                <w:b/>
                <w:bCs/>
                <w:color w:val="2B2D31"/>
                <w:kern w:val="0"/>
                <w:sz w:val="30"/>
                <w:szCs w:val="30"/>
              </w:rPr>
              <w:t>1. 网络传输安全</w:t>
            </w:r>
          </w:p>
        </w:tc>
        <w:tc>
          <w:tcPr>
            <w:tcW w:w="2089" w:type="dxa"/>
            <w:shd w:val="clear" w:color="auto" w:fill="auto"/>
            <w:vAlign w:val="center"/>
          </w:tcPr>
          <w:p w14:paraId="00DD0FA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传输协议安全</w:t>
            </w:r>
          </w:p>
        </w:tc>
        <w:tc>
          <w:tcPr>
            <w:tcW w:w="4654" w:type="dxa"/>
            <w:shd w:val="clear" w:color="auto" w:fill="auto"/>
            <w:vAlign w:val="center"/>
          </w:tcPr>
          <w:p w14:paraId="3BAEF64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HTTP明文传输、不安全的协议使用 (如 Telnet, FTP)</w:t>
            </w:r>
          </w:p>
        </w:tc>
      </w:tr>
      <w:tr w14:paraId="23AA5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5AC38DE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1B28B1C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加密与配置</w:t>
            </w:r>
          </w:p>
        </w:tc>
        <w:tc>
          <w:tcPr>
            <w:tcW w:w="4654" w:type="dxa"/>
            <w:shd w:val="clear" w:color="auto" w:fill="auto"/>
            <w:vAlign w:val="center"/>
          </w:tcPr>
          <w:p w14:paraId="0338589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不安全的加密/SSL配置 (如使用弱加密套件、SSLv3、TLS1.0)</w:t>
            </w:r>
          </w:p>
        </w:tc>
      </w:tr>
      <w:tr w14:paraId="55927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586BD6E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3C1F5DB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参数传输安全</w:t>
            </w:r>
          </w:p>
        </w:tc>
        <w:tc>
          <w:tcPr>
            <w:tcW w:w="4654" w:type="dxa"/>
            <w:shd w:val="clear" w:color="auto" w:fill="auto"/>
            <w:vAlign w:val="center"/>
          </w:tcPr>
          <w:p w14:paraId="1A5BF9F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使用GET方法传输敏感信息 (如将密码、Token放入URL中)</w:t>
            </w:r>
          </w:p>
        </w:tc>
      </w:tr>
      <w:tr w14:paraId="21BFE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restart"/>
            <w:shd w:val="clear" w:color="auto" w:fill="auto"/>
            <w:vAlign w:val="center"/>
          </w:tcPr>
          <w:p w14:paraId="6F489FD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2B2D31"/>
                <w:kern w:val="0"/>
                <w:sz w:val="30"/>
                <w:szCs w:val="30"/>
              </w:rPr>
            </w:pPr>
            <w:r>
              <w:rPr>
                <w:rFonts w:hint="eastAsia" w:ascii="仿宋" w:hAnsi="仿宋" w:eastAsia="仿宋" w:cs="仿宋"/>
                <w:b/>
                <w:bCs/>
                <w:color w:val="2B2D31"/>
                <w:kern w:val="0"/>
                <w:sz w:val="30"/>
                <w:szCs w:val="30"/>
              </w:rPr>
              <w:t>2. Web应用安全</w:t>
            </w:r>
          </w:p>
        </w:tc>
        <w:tc>
          <w:tcPr>
            <w:tcW w:w="2089" w:type="dxa"/>
            <w:shd w:val="clear" w:color="auto" w:fill="auto"/>
            <w:vAlign w:val="center"/>
          </w:tcPr>
          <w:p w14:paraId="5027D34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注入类</w:t>
            </w:r>
          </w:p>
        </w:tc>
        <w:tc>
          <w:tcPr>
            <w:tcW w:w="4654" w:type="dxa"/>
            <w:shd w:val="clear" w:color="auto" w:fill="auto"/>
            <w:vAlign w:val="center"/>
          </w:tcPr>
          <w:p w14:paraId="22E0B65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SQL注入、命令执行 (RCE/OS注入)、代码执行、XML外部实体注入 (XXE)、CRLF注入</w:t>
            </w:r>
          </w:p>
        </w:tc>
      </w:tr>
      <w:tr w14:paraId="3ACD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964" w:type="dxa"/>
            <w:vMerge w:val="continue"/>
            <w:shd w:val="clear" w:color="auto" w:fill="auto"/>
            <w:vAlign w:val="center"/>
          </w:tcPr>
          <w:p w14:paraId="5AA30B0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3BEA584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跨站与伪造</w:t>
            </w:r>
          </w:p>
        </w:tc>
        <w:tc>
          <w:tcPr>
            <w:tcW w:w="4654" w:type="dxa"/>
            <w:shd w:val="clear" w:color="auto" w:fill="auto"/>
            <w:vAlign w:val="center"/>
          </w:tcPr>
          <w:p w14:paraId="284A05C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跨站脚本攻击 (XSS)、跨站请求伪造 (CSRF)、服务器端请求伪造 (SSRF)、JSON劫持</w:t>
            </w:r>
          </w:p>
        </w:tc>
      </w:tr>
      <w:tr w14:paraId="526BA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6A6C58B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5993DDE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文件操作类</w:t>
            </w:r>
          </w:p>
        </w:tc>
        <w:tc>
          <w:tcPr>
            <w:tcW w:w="4654" w:type="dxa"/>
            <w:shd w:val="clear" w:color="auto" w:fill="auto"/>
            <w:vAlign w:val="center"/>
          </w:tcPr>
          <w:p w14:paraId="18B427E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任意文件上传、任意文件下载/读取、本地/远程文件包含 (LFI/RFI)、任意文件探测/删除</w:t>
            </w:r>
          </w:p>
        </w:tc>
      </w:tr>
      <w:tr w14:paraId="5137B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07B14E3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381371B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访问与控制</w:t>
            </w:r>
          </w:p>
        </w:tc>
        <w:tc>
          <w:tcPr>
            <w:tcW w:w="4654" w:type="dxa"/>
            <w:shd w:val="clear" w:color="auto" w:fill="auto"/>
            <w:vAlign w:val="center"/>
          </w:tcPr>
          <w:p w14:paraId="5CFF825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任意目录遍历、URL重定向、CORS配置不当</w:t>
            </w:r>
          </w:p>
        </w:tc>
      </w:tr>
      <w:tr w14:paraId="5D24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6186401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7655E03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配置与头信息</w:t>
            </w:r>
          </w:p>
        </w:tc>
        <w:tc>
          <w:tcPr>
            <w:tcW w:w="4654" w:type="dxa"/>
            <w:shd w:val="clear" w:color="auto" w:fill="auto"/>
            <w:vAlign w:val="center"/>
          </w:tcPr>
          <w:p w14:paraId="57867AD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X-Frame-Options Header 未配置、Cookie未设置 HttpOnly / Secure 属性、X-Forwarded-For 伪造</w:t>
            </w:r>
          </w:p>
        </w:tc>
      </w:tr>
      <w:tr w14:paraId="668E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964" w:type="dxa"/>
            <w:vMerge w:val="restart"/>
            <w:shd w:val="clear" w:color="auto" w:fill="auto"/>
            <w:vAlign w:val="center"/>
          </w:tcPr>
          <w:p w14:paraId="51C41BB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2B2D31"/>
                <w:kern w:val="0"/>
                <w:sz w:val="30"/>
                <w:szCs w:val="30"/>
              </w:rPr>
            </w:pPr>
            <w:r>
              <w:rPr>
                <w:rFonts w:hint="eastAsia" w:ascii="仿宋" w:hAnsi="仿宋" w:eastAsia="仿宋" w:cs="仿宋"/>
                <w:b/>
                <w:bCs/>
                <w:color w:val="2B2D31"/>
                <w:kern w:val="0"/>
                <w:sz w:val="30"/>
                <w:szCs w:val="30"/>
              </w:rPr>
              <w:t>3. 业务逻辑安全</w:t>
            </w:r>
          </w:p>
        </w:tc>
        <w:tc>
          <w:tcPr>
            <w:tcW w:w="2089" w:type="dxa"/>
            <w:shd w:val="clear" w:color="auto" w:fill="auto"/>
            <w:vAlign w:val="center"/>
          </w:tcPr>
          <w:p w14:paraId="6B69600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认证机制缺陷</w:t>
            </w:r>
          </w:p>
        </w:tc>
        <w:tc>
          <w:tcPr>
            <w:tcW w:w="4654" w:type="dxa"/>
            <w:shd w:val="clear" w:color="auto" w:fill="auto"/>
            <w:vAlign w:val="center"/>
          </w:tcPr>
          <w:p w14:paraId="4496C19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用户名枚举、暴力猜解、弱口令、图形/短信验证码缺陷及绕过、短信/邮件炸弹</w:t>
            </w:r>
          </w:p>
        </w:tc>
      </w:tr>
      <w:tr w14:paraId="55B2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0842953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7D63236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会话管理缺陷</w:t>
            </w:r>
          </w:p>
        </w:tc>
        <w:tc>
          <w:tcPr>
            <w:tcW w:w="4654" w:type="dxa"/>
            <w:shd w:val="clear" w:color="auto" w:fill="auto"/>
            <w:vAlign w:val="center"/>
          </w:tcPr>
          <w:p w14:paraId="5F5186F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会话固定攻击 (Session Fixation)、Session时效设置不当</w:t>
            </w:r>
          </w:p>
        </w:tc>
      </w:tr>
      <w:tr w14:paraId="6499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4B55CDB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35C1949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越权访问</w:t>
            </w:r>
          </w:p>
        </w:tc>
        <w:tc>
          <w:tcPr>
            <w:tcW w:w="4654" w:type="dxa"/>
            <w:shd w:val="clear" w:color="auto" w:fill="auto"/>
            <w:vAlign w:val="center"/>
          </w:tcPr>
          <w:p w14:paraId="5E6F082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平行越权访问 (横向越权)、垂直越权访问 (纵向越权)、未授权访问（业务接口类）</w:t>
            </w:r>
          </w:p>
        </w:tc>
      </w:tr>
      <w:tr w14:paraId="089A5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7119749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789BF65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其他业务逻辑</w:t>
            </w:r>
          </w:p>
        </w:tc>
        <w:tc>
          <w:tcPr>
            <w:tcW w:w="4654" w:type="dxa"/>
            <w:shd w:val="clear" w:color="auto" w:fill="auto"/>
            <w:vAlign w:val="center"/>
          </w:tcPr>
          <w:p w14:paraId="1245535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交易逻辑漏洞（如价格修改、并发漏洞/条件竞争）、订单/参数篡改</w:t>
            </w:r>
          </w:p>
        </w:tc>
      </w:tr>
      <w:tr w14:paraId="0F188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restart"/>
            <w:shd w:val="clear" w:color="auto" w:fill="auto"/>
            <w:vAlign w:val="center"/>
          </w:tcPr>
          <w:p w14:paraId="254170B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2B2D31"/>
                <w:kern w:val="0"/>
                <w:sz w:val="30"/>
                <w:szCs w:val="30"/>
              </w:rPr>
            </w:pPr>
            <w:r>
              <w:rPr>
                <w:rFonts w:hint="eastAsia" w:ascii="仿宋" w:hAnsi="仿宋" w:eastAsia="仿宋" w:cs="仿宋"/>
                <w:b/>
                <w:bCs/>
                <w:color w:val="2B2D31"/>
                <w:kern w:val="0"/>
                <w:sz w:val="30"/>
                <w:szCs w:val="30"/>
              </w:rPr>
              <w:t>4. 中间件与组件安全</w:t>
            </w:r>
          </w:p>
        </w:tc>
        <w:tc>
          <w:tcPr>
            <w:tcW w:w="2089" w:type="dxa"/>
            <w:shd w:val="clear" w:color="auto" w:fill="auto"/>
            <w:vAlign w:val="center"/>
          </w:tcPr>
          <w:p w14:paraId="5A8E585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信息泄露</w:t>
            </w:r>
          </w:p>
        </w:tc>
        <w:tc>
          <w:tcPr>
            <w:tcW w:w="4654" w:type="dxa"/>
            <w:shd w:val="clear" w:color="auto" w:fill="auto"/>
            <w:vAlign w:val="center"/>
          </w:tcPr>
          <w:p w14:paraId="21DF504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.svn/.git源码泄露、DS_Store / .Map文件泄露、IIS短文件名泄露、Tomcat样例目录残留、Web绝对路径泄露</w:t>
            </w:r>
          </w:p>
        </w:tc>
      </w:tr>
      <w:tr w14:paraId="0A72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3AE2E46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2D61CC4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组件已知漏洞</w:t>
            </w:r>
            <w:r>
              <w:rPr>
                <w:rFonts w:hint="eastAsia" w:ascii="仿宋" w:hAnsi="仿宋" w:eastAsia="仿宋" w:cs="仿宋"/>
                <w:i/>
                <w:iCs/>
                <w:color w:val="2B2D31"/>
                <w:kern w:val="0"/>
                <w:sz w:val="30"/>
                <w:szCs w:val="30"/>
              </w:rPr>
              <w:t>(1-day/CVE)</w:t>
            </w:r>
          </w:p>
        </w:tc>
        <w:tc>
          <w:tcPr>
            <w:tcW w:w="4654" w:type="dxa"/>
            <w:shd w:val="clear" w:color="auto" w:fill="auto"/>
            <w:vAlign w:val="center"/>
          </w:tcPr>
          <w:p w14:paraId="1BE7108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Struts2系列漏洞、Spring系列漏洞（如Actuator未授权、heapdump泄露、RCE等）、反序列化漏洞（Java/PHP等）、文件解析漏洞（如IIS/Nginx）</w:t>
            </w:r>
          </w:p>
        </w:tc>
      </w:tr>
      <w:tr w14:paraId="6AB7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964" w:type="dxa"/>
            <w:vMerge w:val="continue"/>
            <w:shd w:val="clear" w:color="auto" w:fill="auto"/>
            <w:vAlign w:val="center"/>
          </w:tcPr>
          <w:p w14:paraId="65B0378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344FFD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管理控制台缺陷</w:t>
            </w:r>
          </w:p>
        </w:tc>
        <w:tc>
          <w:tcPr>
            <w:tcW w:w="4654" w:type="dxa"/>
            <w:shd w:val="clear" w:color="auto" w:fill="auto"/>
            <w:vAlign w:val="center"/>
          </w:tcPr>
          <w:p w14:paraId="7BBF088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WebLogic / JBoss / Tomcat / Jenkins / Nacos 控制台弱口令或未授权绕过、Druid / Swagger 未授权访问</w:t>
            </w:r>
          </w:p>
        </w:tc>
      </w:tr>
      <w:tr w14:paraId="6D46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964" w:type="dxa"/>
            <w:vMerge w:val="restart"/>
            <w:shd w:val="clear" w:color="auto" w:fill="auto"/>
            <w:vAlign w:val="center"/>
          </w:tcPr>
          <w:p w14:paraId="2CF8DE4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2B2D31"/>
                <w:kern w:val="0"/>
                <w:sz w:val="30"/>
                <w:szCs w:val="30"/>
              </w:rPr>
            </w:pPr>
            <w:r>
              <w:rPr>
                <w:rFonts w:hint="eastAsia" w:ascii="仿宋" w:hAnsi="仿宋" w:eastAsia="仿宋" w:cs="仿宋"/>
                <w:b/>
                <w:bCs/>
                <w:color w:val="2B2D31"/>
                <w:kern w:val="0"/>
                <w:sz w:val="30"/>
                <w:szCs w:val="30"/>
              </w:rPr>
              <w:t>5. 服务与主机安全</w:t>
            </w:r>
          </w:p>
        </w:tc>
        <w:tc>
          <w:tcPr>
            <w:tcW w:w="2089" w:type="dxa"/>
            <w:shd w:val="clear" w:color="auto" w:fill="auto"/>
            <w:vAlign w:val="center"/>
          </w:tcPr>
          <w:p w14:paraId="6273A28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数据库服务</w:t>
            </w:r>
          </w:p>
        </w:tc>
        <w:tc>
          <w:tcPr>
            <w:tcW w:w="4654" w:type="dxa"/>
            <w:shd w:val="clear" w:color="auto" w:fill="auto"/>
            <w:vAlign w:val="center"/>
          </w:tcPr>
          <w:p w14:paraId="092F0E5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数据库弱口令/空口令、数据库远程连接暴露、数据库未授权访问（如 Redis, MongoDB）、密码明文保存</w:t>
            </w:r>
          </w:p>
        </w:tc>
      </w:tr>
      <w:tr w14:paraId="4AE5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964" w:type="dxa"/>
            <w:vMerge w:val="continue"/>
            <w:shd w:val="clear" w:color="auto" w:fill="auto"/>
            <w:vAlign w:val="center"/>
          </w:tcPr>
          <w:p w14:paraId="422EB06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14320B4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系统与基础服务</w:t>
            </w:r>
          </w:p>
        </w:tc>
        <w:tc>
          <w:tcPr>
            <w:tcW w:w="4654" w:type="dxa"/>
            <w:shd w:val="clear" w:color="auto" w:fill="auto"/>
            <w:vAlign w:val="center"/>
          </w:tcPr>
          <w:p w14:paraId="5EE67A0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操作系统弱口令、远程控制端弱口令 (如RDP, SSH, VNC等)、Rsync未授权访问</w:t>
            </w:r>
          </w:p>
        </w:tc>
      </w:tr>
      <w:tr w14:paraId="16C56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58418D6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65DA0F0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网络服务配置</w:t>
            </w:r>
          </w:p>
        </w:tc>
        <w:tc>
          <w:tcPr>
            <w:tcW w:w="4654" w:type="dxa"/>
            <w:shd w:val="clear" w:color="auto" w:fill="auto"/>
            <w:vAlign w:val="center"/>
          </w:tcPr>
          <w:p w14:paraId="797EF68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DNS域传送漏洞</w:t>
            </w:r>
          </w:p>
        </w:tc>
      </w:tr>
      <w:tr w14:paraId="7CEB4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Merge w:val="continue"/>
            <w:shd w:val="clear" w:color="auto" w:fill="auto"/>
            <w:vAlign w:val="center"/>
          </w:tcPr>
          <w:p w14:paraId="2D217F1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30"/>
                <w:szCs w:val="30"/>
              </w:rPr>
            </w:pPr>
          </w:p>
        </w:tc>
        <w:tc>
          <w:tcPr>
            <w:tcW w:w="2089" w:type="dxa"/>
            <w:shd w:val="clear" w:color="auto" w:fill="auto"/>
            <w:vAlign w:val="center"/>
          </w:tcPr>
          <w:p w14:paraId="79162EE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b/>
                <w:bCs/>
                <w:color w:val="2B2D31"/>
                <w:kern w:val="0"/>
                <w:sz w:val="30"/>
                <w:szCs w:val="30"/>
              </w:rPr>
              <w:t>操作系统层面</w:t>
            </w:r>
          </w:p>
        </w:tc>
        <w:tc>
          <w:tcPr>
            <w:tcW w:w="4654" w:type="dxa"/>
            <w:shd w:val="clear" w:color="auto" w:fill="auto"/>
            <w:vAlign w:val="center"/>
          </w:tcPr>
          <w:p w14:paraId="631377E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2B2D31"/>
                <w:kern w:val="0"/>
                <w:sz w:val="30"/>
                <w:szCs w:val="30"/>
              </w:rPr>
            </w:pPr>
            <w:r>
              <w:rPr>
                <w:rFonts w:hint="eastAsia" w:ascii="仿宋" w:hAnsi="仿宋" w:eastAsia="仿宋" w:cs="仿宋"/>
                <w:color w:val="2B2D31"/>
                <w:kern w:val="0"/>
                <w:sz w:val="30"/>
                <w:szCs w:val="30"/>
              </w:rPr>
              <w:t>本地权限提升漏洞、已知高危系统漏洞 (如MS17-010永恒之蓝等)、操作系统权限分配不合理</w:t>
            </w:r>
          </w:p>
        </w:tc>
      </w:tr>
    </w:tbl>
    <w:p w14:paraId="13C98762">
      <w:pPr>
        <w:bidi w:val="0"/>
        <w:rPr>
          <w:rFonts w:hint="eastAsia"/>
        </w:rPr>
      </w:pPr>
    </w:p>
    <w:p w14:paraId="756B7FD1">
      <w:pPr>
        <w:bidi w:val="0"/>
        <w:rPr>
          <w:rFonts w:hint="eastAsia"/>
        </w:rPr>
      </w:pPr>
    </w:p>
    <w:p w14:paraId="493DA5DB">
      <w:pPr>
        <w:pStyle w:val="3"/>
        <w:spacing w:line="520" w:lineRule="exact"/>
        <w:rPr>
          <w:rFonts w:hint="eastAsia" w:ascii="楷体_GB2312" w:hAnsi="楷体_GB2312" w:eastAsia="楷体_GB2312" w:cs="楷体_GB2312"/>
          <w:szCs w:val="32"/>
        </w:rPr>
      </w:pPr>
      <w:r>
        <w:rPr>
          <w:rFonts w:hint="eastAsia" w:ascii="楷体_GB2312" w:hAnsi="楷体_GB2312" w:eastAsia="楷体_GB2312" w:cs="楷体_GB2312"/>
          <w:szCs w:val="32"/>
        </w:rPr>
        <w:t>项目参与人员要求</w:t>
      </w:r>
    </w:p>
    <w:p w14:paraId="5BBBB072">
      <w:pPr>
        <w:pStyle w:val="19"/>
        <w:snapToGrid w:val="0"/>
        <w:spacing w:line="520" w:lineRule="exact"/>
        <w:ind w:firstLine="640"/>
        <w:rPr>
          <w:rFonts w:hint="eastAsia" w:ascii="仿宋_GB2312" w:hAnsi="仿宋_GB2312" w:eastAsia="仿宋_GB2312" w:cs="仿宋_GB2312"/>
          <w:iCs/>
          <w:color w:val="000000"/>
          <w:sz w:val="32"/>
          <w:szCs w:val="32"/>
          <w:lang w:eastAsia="zh-CN"/>
        </w:rPr>
      </w:pPr>
      <w:r>
        <w:rPr>
          <w:rFonts w:hint="eastAsia" w:ascii="仿宋_GB2312" w:hAnsi="仿宋_GB2312" w:eastAsia="仿宋_GB2312" w:cs="仿宋_GB2312"/>
          <w:iCs/>
          <w:color w:val="000000"/>
          <w:sz w:val="32"/>
          <w:szCs w:val="32"/>
        </w:rPr>
        <w:t>（1）项目团队人员至少配备</w:t>
      </w:r>
      <w:r>
        <w:rPr>
          <w:rFonts w:hint="eastAsia" w:ascii="仿宋_GB2312" w:hAnsi="仿宋_GB2312" w:eastAsia="仿宋_GB2312" w:cs="仿宋_GB2312"/>
          <w:iCs/>
          <w:color w:val="000000"/>
          <w:sz w:val="32"/>
          <w:szCs w:val="32"/>
          <w:lang w:val="en-US" w:eastAsia="zh-CN"/>
        </w:rPr>
        <w:t>2</w:t>
      </w:r>
      <w:r>
        <w:rPr>
          <w:rFonts w:hint="eastAsia" w:ascii="仿宋_GB2312" w:hAnsi="仿宋_GB2312" w:eastAsia="仿宋_GB2312" w:cs="仿宋_GB2312"/>
          <w:iCs/>
          <w:color w:val="000000"/>
          <w:sz w:val="32"/>
          <w:szCs w:val="32"/>
        </w:rPr>
        <w:t>人，且项目负责人具有3年及以上安全服务项目经验</w:t>
      </w:r>
      <w:r>
        <w:rPr>
          <w:rFonts w:hint="eastAsia" w:ascii="仿宋_GB2312" w:hAnsi="仿宋_GB2312" w:eastAsia="仿宋_GB2312" w:cs="仿宋_GB2312"/>
          <w:iCs/>
          <w:color w:val="000000"/>
          <w:sz w:val="32"/>
          <w:szCs w:val="32"/>
          <w:lang w:eastAsia="zh-CN"/>
        </w:rPr>
        <w:t>，</w:t>
      </w:r>
      <w:r>
        <w:rPr>
          <w:rFonts w:hint="eastAsia" w:ascii="仿宋_GB2312" w:hAnsi="仿宋_GB2312" w:eastAsia="仿宋_GB2312" w:cs="仿宋_GB2312"/>
          <w:iCs/>
          <w:color w:val="000000"/>
          <w:sz w:val="32"/>
          <w:szCs w:val="32"/>
          <w:lang w:val="en-US" w:eastAsia="zh-CN"/>
        </w:rPr>
        <w:t>且承诺通过甲方组织的安全规范考试</w:t>
      </w:r>
      <w:r>
        <w:rPr>
          <w:rFonts w:hint="eastAsia" w:ascii="仿宋_GB2312" w:hAnsi="仿宋_GB2312" w:eastAsia="仿宋_GB2312" w:cs="仿宋_GB2312"/>
          <w:iCs/>
          <w:color w:val="000000"/>
          <w:sz w:val="32"/>
          <w:szCs w:val="32"/>
        </w:rPr>
        <w:t>。</w:t>
      </w:r>
      <w:bookmarkStart w:id="55" w:name="_GoBack"/>
      <w:bookmarkEnd w:id="55"/>
    </w:p>
    <w:p w14:paraId="6044529F">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w:t>
      </w:r>
      <w:r>
        <w:rPr>
          <w:rFonts w:ascii="仿宋_GB2312" w:hAnsi="仿宋_GB2312" w:eastAsia="仿宋_GB2312" w:cs="仿宋_GB2312"/>
          <w:iCs/>
          <w:color w:val="000000"/>
          <w:sz w:val="32"/>
          <w:szCs w:val="32"/>
        </w:rPr>
        <w:t>2</w:t>
      </w:r>
      <w:r>
        <w:rPr>
          <w:rFonts w:hint="eastAsia" w:ascii="仿宋_GB2312" w:hAnsi="仿宋_GB2312" w:eastAsia="仿宋_GB2312" w:cs="仿宋_GB2312"/>
          <w:iCs/>
          <w:color w:val="000000"/>
          <w:sz w:val="32"/>
          <w:szCs w:val="32"/>
        </w:rPr>
        <w:t>）成交供应商须根据本项目要求，提供项目组组成方案，包括项目成员数量、资质、组织。</w:t>
      </w:r>
    </w:p>
    <w:p w14:paraId="38229905">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w:t>
      </w:r>
      <w:r>
        <w:rPr>
          <w:rFonts w:ascii="仿宋_GB2312" w:hAnsi="仿宋_GB2312" w:eastAsia="仿宋_GB2312" w:cs="仿宋_GB2312"/>
          <w:iCs/>
          <w:color w:val="000000"/>
          <w:sz w:val="32"/>
          <w:szCs w:val="32"/>
        </w:rPr>
        <w:t>3</w:t>
      </w:r>
      <w:r>
        <w:rPr>
          <w:rFonts w:hint="eastAsia" w:ascii="仿宋_GB2312" w:hAnsi="仿宋_GB2312" w:eastAsia="仿宋_GB2312" w:cs="仿宋_GB2312"/>
          <w:iCs/>
          <w:color w:val="000000"/>
          <w:sz w:val="32"/>
          <w:szCs w:val="32"/>
        </w:rPr>
        <w:t>）项目组应在本项目合同签订后5个自然日内入场工作，具体以甲方要求为准。</w:t>
      </w:r>
    </w:p>
    <w:p w14:paraId="225526F1">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w:t>
      </w:r>
      <w:r>
        <w:rPr>
          <w:rFonts w:ascii="仿宋_GB2312" w:hAnsi="仿宋_GB2312" w:eastAsia="仿宋_GB2312" w:cs="仿宋_GB2312"/>
          <w:iCs/>
          <w:color w:val="000000"/>
          <w:sz w:val="32"/>
          <w:szCs w:val="32"/>
        </w:rPr>
        <w:t>4</w:t>
      </w:r>
      <w:r>
        <w:rPr>
          <w:rFonts w:hint="eastAsia" w:ascii="仿宋_GB2312" w:hAnsi="仿宋_GB2312" w:eastAsia="仿宋_GB2312" w:cs="仿宋_GB2312"/>
          <w:iCs/>
          <w:color w:val="000000"/>
          <w:sz w:val="32"/>
          <w:szCs w:val="32"/>
        </w:rPr>
        <w:t>）成交供应商成员更换必须以书面形式向项目业主方提出申请，通过审批后方可更换。</w:t>
      </w:r>
    </w:p>
    <w:p w14:paraId="37C3A206">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w:t>
      </w:r>
      <w:r>
        <w:rPr>
          <w:rFonts w:ascii="仿宋_GB2312" w:hAnsi="仿宋_GB2312" w:eastAsia="仿宋_GB2312" w:cs="仿宋_GB2312"/>
          <w:iCs/>
          <w:color w:val="000000"/>
          <w:sz w:val="32"/>
          <w:szCs w:val="32"/>
        </w:rPr>
        <w:t>5</w:t>
      </w:r>
      <w:r>
        <w:rPr>
          <w:rFonts w:hint="eastAsia" w:ascii="仿宋_GB2312" w:hAnsi="仿宋_GB2312" w:eastAsia="仿宋_GB2312" w:cs="仿宋_GB2312"/>
          <w:iCs/>
          <w:color w:val="000000"/>
          <w:sz w:val="32"/>
          <w:szCs w:val="32"/>
        </w:rPr>
        <w:t>）项目组成员必须遵守项目业主方现场工作要求及纪律规定。</w:t>
      </w:r>
    </w:p>
    <w:p w14:paraId="672B9C0A">
      <w:pPr>
        <w:pStyle w:val="3"/>
        <w:tabs>
          <w:tab w:val="left" w:pos="709"/>
          <w:tab w:val="clear" w:pos="567"/>
        </w:tabs>
        <w:spacing w:line="520" w:lineRule="exact"/>
        <w:rPr>
          <w:rFonts w:hint="eastAsia" w:eastAsia="宋体"/>
          <w:szCs w:val="32"/>
        </w:rPr>
      </w:pPr>
      <w:r>
        <w:rPr>
          <w:rFonts w:hint="eastAsia" w:ascii="仿宋" w:hAnsi="仿宋" w:eastAsia="仿宋" w:cs="仿宋"/>
          <w:szCs w:val="32"/>
        </w:rPr>
        <w:t>项目质量要求</w:t>
      </w:r>
    </w:p>
    <w:p w14:paraId="0F0E2000">
      <w:pPr>
        <w:pStyle w:val="19"/>
        <w:snapToGrid w:val="0"/>
        <w:spacing w:line="520" w:lineRule="exact"/>
        <w:ind w:firstLine="640"/>
        <w:rPr>
          <w:rFonts w:hint="eastAsia" w:ascii="仿宋_GB2312" w:hAnsi="仿宋_GB2312" w:eastAsia="仿宋_GB2312" w:cs="仿宋_GB2312"/>
          <w:iCs/>
          <w:color w:val="000000"/>
          <w:sz w:val="32"/>
          <w:szCs w:val="32"/>
        </w:rPr>
      </w:pPr>
      <w:bookmarkStart w:id="20" w:name="_Toc57276551"/>
      <w:bookmarkEnd w:id="20"/>
      <w:bookmarkStart w:id="21" w:name="_Toc57276552"/>
      <w:bookmarkEnd w:id="21"/>
      <w:bookmarkStart w:id="22" w:name="_Toc5194"/>
      <w:bookmarkStart w:id="23" w:name="_Toc493761308"/>
      <w:bookmarkStart w:id="24" w:name="_Toc74069010"/>
      <w:bookmarkStart w:id="25" w:name="_Toc387253515"/>
      <w:bookmarkStart w:id="26" w:name="_Toc712957604"/>
      <w:bookmarkStart w:id="27" w:name="_Toc1725667719"/>
      <w:r>
        <w:rPr>
          <w:rFonts w:hint="eastAsia" w:ascii="仿宋_GB2312" w:hAnsi="仿宋_GB2312" w:eastAsia="仿宋_GB2312" w:cs="仿宋_GB2312"/>
          <w:iCs/>
          <w:color w:val="000000"/>
          <w:sz w:val="32"/>
          <w:szCs w:val="32"/>
        </w:rPr>
        <w:t>乙方在项目实施、验收的各个阶段，均应符合</w:t>
      </w:r>
      <w:r>
        <w:rPr>
          <w:rFonts w:hint="eastAsia" w:ascii="仿宋_GB2312" w:hAnsi="仿宋_GB2312" w:eastAsia="仿宋_GB2312" w:cs="仿宋_GB2312"/>
          <w:iCs/>
          <w:color w:val="000000"/>
          <w:sz w:val="32"/>
          <w:szCs w:val="32"/>
          <w:lang w:val="en-US" w:eastAsia="zh-CN"/>
        </w:rPr>
        <w:t>南方</w:t>
      </w:r>
      <w:r>
        <w:rPr>
          <w:rFonts w:hint="eastAsia" w:ascii="仿宋_GB2312" w:hAnsi="仿宋_GB2312" w:eastAsia="仿宋_GB2312" w:cs="仿宋_GB2312"/>
          <w:iCs/>
          <w:color w:val="000000"/>
          <w:sz w:val="32"/>
          <w:szCs w:val="32"/>
        </w:rPr>
        <w:t>电网入网安全测评的相关标准规范要求。</w:t>
      </w:r>
    </w:p>
    <w:bookmarkEnd w:id="22"/>
    <w:bookmarkEnd w:id="23"/>
    <w:bookmarkEnd w:id="24"/>
    <w:bookmarkEnd w:id="25"/>
    <w:bookmarkEnd w:id="26"/>
    <w:bookmarkEnd w:id="27"/>
    <w:p w14:paraId="2BEE56D9">
      <w:pPr>
        <w:pStyle w:val="3"/>
        <w:tabs>
          <w:tab w:val="left" w:pos="709"/>
          <w:tab w:val="clear" w:pos="567"/>
        </w:tabs>
        <w:spacing w:line="520" w:lineRule="exact"/>
        <w:rPr>
          <w:rFonts w:hint="eastAsia" w:ascii="仿宋" w:hAnsi="仿宋" w:eastAsia="仿宋" w:cs="仿宋"/>
          <w:szCs w:val="32"/>
        </w:rPr>
      </w:pPr>
      <w:r>
        <w:rPr>
          <w:rFonts w:hint="eastAsia" w:ascii="仿宋" w:hAnsi="仿宋" w:eastAsia="仿宋" w:cs="仿宋"/>
          <w:szCs w:val="32"/>
        </w:rPr>
        <w:t>项目验收要求</w:t>
      </w:r>
    </w:p>
    <w:p w14:paraId="71869B2B">
      <w:pPr>
        <w:pStyle w:val="19"/>
        <w:snapToGrid w:val="0"/>
        <w:spacing w:line="520" w:lineRule="exact"/>
        <w:ind w:firstLine="640"/>
        <w:rPr>
          <w:rFonts w:hint="eastAsia" w:ascii="仿宋_GB2312" w:hAnsi="仿宋_GB2312" w:eastAsia="仿宋_GB2312" w:cs="仿宋_GB2312"/>
          <w:iCs/>
          <w:color w:val="000000"/>
          <w:sz w:val="32"/>
          <w:szCs w:val="32"/>
        </w:rPr>
      </w:pPr>
      <w:bookmarkStart w:id="28" w:name="_Toc1530700498"/>
      <w:bookmarkEnd w:id="28"/>
      <w:bookmarkStart w:id="29" w:name="_Toc1867183815"/>
      <w:bookmarkEnd w:id="29"/>
      <w:bookmarkStart w:id="30" w:name="_Toc74069011"/>
      <w:bookmarkEnd w:id="30"/>
      <w:r>
        <w:rPr>
          <w:rFonts w:hint="eastAsia" w:ascii="仿宋_GB2312" w:hAnsi="仿宋_GB2312" w:eastAsia="仿宋_GB2312" w:cs="仿宋_GB2312"/>
          <w:iCs/>
          <w:color w:val="000000"/>
          <w:sz w:val="32"/>
          <w:szCs w:val="32"/>
        </w:rPr>
        <w:t>依据</w:t>
      </w:r>
      <w:r>
        <w:rPr>
          <w:rFonts w:hint="eastAsia" w:ascii="仿宋_GB2312" w:hAnsi="仿宋_GB2312" w:eastAsia="仿宋_GB2312" w:cs="仿宋_GB2312"/>
          <w:iCs/>
          <w:color w:val="000000"/>
          <w:sz w:val="32"/>
          <w:szCs w:val="32"/>
          <w:lang w:val="en-US" w:eastAsia="zh-CN"/>
        </w:rPr>
        <w:t>南方</w:t>
      </w:r>
      <w:r>
        <w:rPr>
          <w:rFonts w:hint="eastAsia" w:ascii="仿宋_GB2312" w:hAnsi="仿宋_GB2312" w:eastAsia="仿宋_GB2312" w:cs="仿宋_GB2312"/>
          <w:iCs/>
          <w:color w:val="000000"/>
          <w:sz w:val="32"/>
          <w:szCs w:val="32"/>
        </w:rPr>
        <w:t>电网入网安全测评的相关技术要求，在技术服务期限内，出具符合</w:t>
      </w:r>
      <w:r>
        <w:rPr>
          <w:rFonts w:hint="eastAsia" w:ascii="仿宋_GB2312" w:hAnsi="仿宋_GB2312" w:eastAsia="仿宋_GB2312" w:cs="仿宋_GB2312"/>
          <w:iCs/>
          <w:color w:val="000000"/>
          <w:sz w:val="32"/>
          <w:szCs w:val="32"/>
          <w:lang w:val="en-US" w:eastAsia="zh-CN"/>
        </w:rPr>
        <w:t>南方</w:t>
      </w:r>
      <w:r>
        <w:rPr>
          <w:rFonts w:hint="eastAsia" w:ascii="仿宋_GB2312" w:hAnsi="仿宋_GB2312" w:eastAsia="仿宋_GB2312" w:cs="仿宋_GB2312"/>
          <w:iCs/>
          <w:color w:val="000000"/>
          <w:sz w:val="32"/>
          <w:szCs w:val="32"/>
        </w:rPr>
        <w:t>电网入网标准的安全评估测试报告以及其他所需材料。</w:t>
      </w:r>
    </w:p>
    <w:p w14:paraId="53FBC6BE">
      <w:pPr>
        <w:pStyle w:val="2"/>
        <w:spacing w:before="0" w:after="0" w:line="560" w:lineRule="exact"/>
        <w:ind w:left="1054"/>
        <w:rPr>
          <w:rFonts w:hint="eastAsia" w:ascii="黑体" w:hAnsi="黑体" w:cs="黑体"/>
          <w:szCs w:val="32"/>
        </w:rPr>
      </w:pPr>
      <w:r>
        <w:rPr>
          <w:rFonts w:hint="eastAsia" w:ascii="黑体" w:hAnsi="黑体" w:cs="黑体"/>
          <w:szCs w:val="32"/>
        </w:rPr>
        <w:t>项目风险控制</w:t>
      </w:r>
    </w:p>
    <w:p w14:paraId="7D044641">
      <w:pPr>
        <w:pStyle w:val="19"/>
        <w:snapToGrid w:val="0"/>
        <w:spacing w:line="520" w:lineRule="exact"/>
        <w:ind w:firstLine="640"/>
        <w:rPr>
          <w:rFonts w:hint="eastAsia" w:ascii="仿宋_GB2312" w:hAnsi="仿宋_GB2312" w:eastAsia="仿宋_GB2312" w:cs="仿宋_GB2312"/>
          <w:iCs/>
          <w:color w:val="000000"/>
          <w:sz w:val="32"/>
          <w:szCs w:val="32"/>
        </w:rPr>
      </w:pPr>
      <w:bookmarkStart w:id="31" w:name="_Toc283283386"/>
      <w:bookmarkStart w:id="32" w:name="_Toc283296988"/>
      <w:bookmarkStart w:id="33" w:name="_Toc242846511"/>
      <w:bookmarkStart w:id="34" w:name="_Toc185851841"/>
      <w:bookmarkStart w:id="35" w:name="_Toc197794670"/>
      <w:bookmarkStart w:id="36" w:name="_Toc347469308"/>
      <w:bookmarkStart w:id="37" w:name="_Toc280811446"/>
      <w:r>
        <w:rPr>
          <w:rFonts w:hint="eastAsia" w:ascii="仿宋_GB2312" w:hAnsi="仿宋_GB2312" w:eastAsia="仿宋_GB2312" w:cs="仿宋_GB2312"/>
          <w:iCs/>
          <w:color w:val="000000"/>
          <w:sz w:val="32"/>
          <w:szCs w:val="32"/>
        </w:rPr>
        <w:t>乙方项目组成员须按照甲方安全管理规定对其信息安全做好保护工作，并按照用户安全管理规定实施项目，与甲方签订保密协议。</w:t>
      </w:r>
    </w:p>
    <w:p w14:paraId="280826A6">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乙方项目经理负责项目的安全管理工作。对于项目中接触到甲方的秘密信息和项目过程中生成的文档，严格参照《保密协议》进行管理。在项目实施过程中，对甲方的秘密信息和项目文档加密保存和传输，绝不扩散。在项目结束后，将秘密信息和项目文档返还甲方或者予以删除，并经过甲方确认和检查。乙方严格禁止项目组成员私自留存项目文档。</w:t>
      </w:r>
    </w:p>
    <w:bookmarkEnd w:id="31"/>
    <w:bookmarkEnd w:id="32"/>
    <w:bookmarkEnd w:id="33"/>
    <w:bookmarkEnd w:id="34"/>
    <w:bookmarkEnd w:id="35"/>
    <w:bookmarkEnd w:id="36"/>
    <w:bookmarkEnd w:id="37"/>
    <w:p w14:paraId="5BBF6BAB">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在项目实施过程中，要以确保甲方信息系统的安全运行为第一原则，不得以任何擅自行为危害甲方信息系统的安全运行。</w:t>
      </w:r>
    </w:p>
    <w:p w14:paraId="59927641">
      <w:pPr>
        <w:pStyle w:val="2"/>
        <w:spacing w:before="0" w:after="0" w:line="560" w:lineRule="exact"/>
        <w:ind w:left="1054"/>
        <w:rPr>
          <w:rFonts w:hint="eastAsia" w:ascii="黑体" w:hAnsi="黑体" w:cs="黑体"/>
          <w:szCs w:val="32"/>
        </w:rPr>
      </w:pPr>
      <w:bookmarkStart w:id="38" w:name="_Toc888927219"/>
      <w:bookmarkEnd w:id="38"/>
      <w:bookmarkStart w:id="39" w:name="_Toc283296990"/>
      <w:bookmarkEnd w:id="39"/>
      <w:bookmarkStart w:id="40" w:name="_Toc10868"/>
      <w:bookmarkEnd w:id="40"/>
      <w:bookmarkStart w:id="41" w:name="_Toc2104700964"/>
      <w:bookmarkEnd w:id="41"/>
      <w:bookmarkStart w:id="42" w:name="_Toc1926856181"/>
      <w:bookmarkEnd w:id="42"/>
      <w:bookmarkStart w:id="43" w:name="_Toc357673697"/>
      <w:bookmarkEnd w:id="43"/>
      <w:bookmarkStart w:id="44" w:name="_Toc347469310"/>
      <w:bookmarkEnd w:id="44"/>
      <w:bookmarkStart w:id="45" w:name="_Toc185851843"/>
      <w:bookmarkEnd w:id="45"/>
      <w:bookmarkStart w:id="46" w:name="_Toc197794672"/>
      <w:bookmarkEnd w:id="46"/>
      <w:bookmarkStart w:id="47" w:name="_Toc74069012"/>
      <w:bookmarkEnd w:id="47"/>
      <w:bookmarkStart w:id="48" w:name="_Toc283283388"/>
      <w:bookmarkEnd w:id="48"/>
      <w:bookmarkStart w:id="49" w:name="_Toc280811448"/>
      <w:bookmarkEnd w:id="49"/>
      <w:bookmarkStart w:id="50" w:name="_Toc909483396"/>
      <w:bookmarkEnd w:id="50"/>
      <w:bookmarkStart w:id="51" w:name="_Toc1776662473"/>
      <w:bookmarkEnd w:id="51"/>
      <w:bookmarkStart w:id="52" w:name="_Toc402118879"/>
      <w:bookmarkEnd w:id="52"/>
      <w:bookmarkStart w:id="53" w:name="_Toc579845094"/>
      <w:bookmarkEnd w:id="53"/>
      <w:bookmarkStart w:id="54" w:name="_Toc242846513"/>
      <w:bookmarkEnd w:id="54"/>
      <w:r>
        <w:rPr>
          <w:rFonts w:hint="eastAsia" w:ascii="黑体" w:hAnsi="黑体" w:cs="黑体"/>
          <w:szCs w:val="32"/>
        </w:rPr>
        <w:t>保密控制</w:t>
      </w:r>
    </w:p>
    <w:p w14:paraId="62CF9479">
      <w:pPr>
        <w:pStyle w:val="19"/>
        <w:snapToGrid w:val="0"/>
        <w:spacing w:line="520" w:lineRule="exact"/>
        <w:ind w:firstLine="640"/>
        <w:rPr>
          <w:rFonts w:hint="eastAsia" w:ascii="仿宋_GB2312" w:hAnsi="仿宋_GB2312" w:eastAsia="仿宋_GB2312" w:cs="仿宋_GB2312"/>
          <w:iCs/>
          <w:color w:val="000000"/>
          <w:sz w:val="32"/>
          <w:szCs w:val="32"/>
        </w:rPr>
      </w:pPr>
      <w:r>
        <w:rPr>
          <w:rFonts w:hint="eastAsia" w:ascii="仿宋_GB2312" w:hAnsi="仿宋_GB2312" w:eastAsia="仿宋_GB2312" w:cs="仿宋_GB2312"/>
          <w:iCs/>
          <w:color w:val="000000"/>
          <w:sz w:val="32"/>
          <w:szCs w:val="32"/>
        </w:rPr>
        <w:t>项目实施方应与招标方签订保密协议，对项目实施过程中的数据和结果数据严格保密，未经授权不得泄露给任何第三方单位和个人，不得利用此数据侵害招标方的权益，否则招标方有权追究乙方的责任。</w:t>
      </w:r>
    </w:p>
    <w:sectPr>
      <w:headerReference r:id="rId5"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C2F03">
    <w:pPr>
      <w:pStyle w:val="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noFill/>
                      </a:ln>
                    </wps:spPr>
                    <wps:txbx>
                      <w:txbxContent>
                        <w:p w14:paraId="58B2B8CD">
                          <w:pPr>
                            <w:pStyle w:val="8"/>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cifdr9MAAAAF&#10;AQAADwAAAGRycy9kb3ducmV2LnhtbE2PzU7DMBCE75V4B2uRuFTUSQ4QpXF6oOLChdKWiqMbb5MI&#10;ex3FTv+engUhwWW1o1nNflMuzs6KIw6h86QgnSUgkGpvOmoUbDfP9zmIEDUZbT2hggsGWFQ3k1IX&#10;xp/oDY/r2AgOoVBoBW2MfSFlqFt0Osx8j8TewQ9OR5ZDI82gTxzurMyS5EE63RF/aHWPTy3Wn+vR&#10;KVheXu2Yrl5C90HLK013u83je6bU3W2azEFEPMe/Y/jGZ3SomGnvRzJBWAVcJP5M9rI8Z7n/XWRV&#10;yv/01RdQSwMEFAAAAAgAh07iQFORVHbhAQAAxAMAAA4AAABkcnMvZTJvRG9jLnhtbK1TwY7TMBC9&#10;I/EPlu80aZGgqpqugGoREgKkhQ9wHaexZHssj9ukfAD8AScu3PmufseOnaQLu5c97CUZe8Zv3nse&#10;r696a9hRBdTgKj6flZwpJ6HWbl/xb1+vXyw5wyhcLQw4VfGTQn61ef5s3fmVWkALplaBEYjDVecr&#10;3sboV0WBslVW4Ay8cpRsIFgRaRn2RR1ER+jWFIuyfFV0EGofQCpE2t0OST4ihscAQtNoqbYgD1a5&#10;OKAGZUQkSdhqj3yT2TaNkvFz06CKzFSclMb8pSYU79K32KzFah+Eb7UcKYjHULinyQrtqOkFaiui&#10;YIegH0BZLQMgNHEmwRaDkOwIqZiX97y5aYVXWQtZjf5iOj4drPx0/BKYriv+kjMnLF34+dfP8++/&#10;5z8/2DzZ03lcUdWNp7rYv4WehmbaR9pMqvsm2PQnPYzyZO7pYq7qI5Pp0HKxXJaUkpSbFoRf3B33&#10;AeN7BZaloOKBbi+bKo4fMQ6lU0nq5uBaG5Nv0DjWEeriNTX4L0XoxlGTpGJgm6LY7/pR2g7qEykL&#10;MIwGPQwKWgjfOetoLCru6BVwZj44cj1N0BSEKdhNgXCSDlY8cjaE72KetEQI/ZtDJL5ZRqIw9B2Z&#10;0eVmI8ZBTNPz7zpX3T2+zS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J92v0wAAAAUBAAAPAAAA&#10;AAAAAAEAIAAAACIAAABkcnMvZG93bnJldi54bWxQSwECFAAUAAAACACHTuJAU5FUduEBAADEAwAA&#10;DgAAAAAAAAABACAAAAAiAQAAZHJzL2Uyb0RvYy54bWxQSwUGAAAAAAYABgBZAQAAdQUAAAAA&#10;">
              <v:fill on="f" focussize="0,0"/>
              <v:stroke on="f" weight="1pt"/>
              <v:imagedata o:title=""/>
              <o:lock v:ext="edit" aspectratio="f"/>
              <v:textbox inset="0mm,0mm,0mm,0mm" style="mso-fit-shape-to-text:t;">
                <w:txbxContent>
                  <w:p w14:paraId="58B2B8CD">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18664">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7757E">
    <w:pPr>
      <w:pStyle w:val="9"/>
    </w:pPr>
    <w:r>
      <w:rPr>
        <w:rFonts w:hint="eastAsia"/>
      </w:rPr>
      <w:t>2026年南网数字集团信通公司南网云建设项目API安全检测系统入网安评服务-技术规范书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A4C705"/>
    <w:multiLevelType w:val="singleLevel"/>
    <w:tmpl w:val="14A4C705"/>
    <w:lvl w:ilvl="0" w:tentative="0">
      <w:start w:val="1"/>
      <w:numFmt w:val="decimal"/>
      <w:lvlText w:val="(%1)"/>
      <w:lvlJc w:val="left"/>
      <w:pPr>
        <w:ind w:left="425" w:hanging="425"/>
      </w:pPr>
      <w:rPr>
        <w:rFonts w:hint="default"/>
      </w:rPr>
    </w:lvl>
  </w:abstractNum>
  <w:abstractNum w:abstractNumId="1">
    <w:nsid w:val="7509F231"/>
    <w:multiLevelType w:val="singleLevel"/>
    <w:tmpl w:val="7509F231"/>
    <w:lvl w:ilvl="0" w:tentative="0">
      <w:start w:val="1"/>
      <w:numFmt w:val="bullet"/>
      <w:lvlText w:val=""/>
      <w:lvlJc w:val="left"/>
      <w:pPr>
        <w:ind w:left="420" w:hanging="420"/>
      </w:pPr>
      <w:rPr>
        <w:rFonts w:hint="default" w:ascii="Wingdings" w:hAnsi="Wingdings"/>
      </w:rPr>
    </w:lvl>
  </w:abstractNum>
  <w:abstractNum w:abstractNumId="2">
    <w:nsid w:val="756D29A0"/>
    <w:multiLevelType w:val="multilevel"/>
    <w:tmpl w:val="756D29A0"/>
    <w:lvl w:ilvl="0" w:tentative="0">
      <w:start w:val="1"/>
      <w:numFmt w:val="decimal"/>
      <w:pStyle w:val="2"/>
      <w:lvlText w:val="%1."/>
      <w:lvlJc w:val="left"/>
      <w:pPr>
        <w:tabs>
          <w:tab w:val="left" w:pos="425"/>
        </w:tabs>
        <w:ind w:left="1055" w:hanging="425"/>
      </w:pPr>
      <w:rPr>
        <w:rFonts w:hint="default" w:ascii="黑体" w:hAnsi="黑体" w:eastAsia="黑体" w:cs="黑体"/>
        <w:b/>
        <w:bCs/>
        <w:i w:val="0"/>
        <w:spacing w:val="-12"/>
        <w:sz w:val="32"/>
        <w:szCs w:val="48"/>
      </w:rPr>
    </w:lvl>
    <w:lvl w:ilvl="1" w:tentative="0">
      <w:start w:val="1"/>
      <w:numFmt w:val="decimal"/>
      <w:pStyle w:val="3"/>
      <w:lvlText w:val="%1.%2."/>
      <w:lvlJc w:val="left"/>
      <w:pPr>
        <w:tabs>
          <w:tab w:val="left" w:pos="567"/>
        </w:tabs>
        <w:ind w:left="1197" w:hanging="567"/>
      </w:pPr>
      <w:rPr>
        <w:rFonts w:hint="default" w:ascii="楷体_GB2312" w:hAnsi="楷体_GB2312" w:eastAsia="楷体_GB2312" w:cs="楷体_GB2312"/>
        <w:sz w:val="32"/>
        <w:szCs w:val="28"/>
      </w:rPr>
    </w:lvl>
    <w:lvl w:ilvl="2" w:tentative="0">
      <w:start w:val="1"/>
      <w:numFmt w:val="decimal"/>
      <w:pStyle w:val="4"/>
      <w:lvlText w:val="%1.%2.%3."/>
      <w:lvlJc w:val="left"/>
      <w:pPr>
        <w:tabs>
          <w:tab w:val="left" w:pos="709"/>
        </w:tabs>
        <w:ind w:left="1339" w:hanging="709"/>
      </w:pPr>
      <w:rPr>
        <w:rFonts w:hint="default" w:ascii="仿宋_GB2312" w:hAnsi="仿宋_GB2312" w:eastAsia="仿宋_GB2312" w:cs="仿宋_GB2312"/>
        <w:sz w:val="32"/>
        <w:szCs w:val="21"/>
      </w:rPr>
    </w:lvl>
    <w:lvl w:ilvl="3" w:tentative="0">
      <w:start w:val="1"/>
      <w:numFmt w:val="decimal"/>
      <w:lvlText w:val="%1.%2.%3.%4."/>
      <w:lvlJc w:val="left"/>
      <w:pPr>
        <w:tabs>
          <w:tab w:val="left" w:pos="851"/>
        </w:tabs>
        <w:ind w:left="1481" w:hanging="851"/>
      </w:pPr>
      <w:rPr>
        <w:rFonts w:hint="eastAsia"/>
        <w:sz w:val="24"/>
        <w:szCs w:val="24"/>
      </w:rPr>
    </w:lvl>
    <w:lvl w:ilvl="4" w:tentative="0">
      <w:start w:val="1"/>
      <w:numFmt w:val="decimal"/>
      <w:lvlText w:val="%1.%2.%3.%4.%5."/>
      <w:lvlJc w:val="left"/>
      <w:pPr>
        <w:tabs>
          <w:tab w:val="left" w:pos="992"/>
        </w:tabs>
        <w:ind w:left="1622" w:hanging="992"/>
      </w:pPr>
      <w:rPr>
        <w:rFonts w:hint="eastAsia"/>
      </w:rPr>
    </w:lvl>
    <w:lvl w:ilvl="5" w:tentative="0">
      <w:start w:val="1"/>
      <w:numFmt w:val="decimal"/>
      <w:lvlText w:val="%1.%2.%3.%4.%5.%6."/>
      <w:lvlJc w:val="left"/>
      <w:pPr>
        <w:tabs>
          <w:tab w:val="left" w:pos="1134"/>
        </w:tabs>
        <w:ind w:left="1764" w:hanging="1134"/>
      </w:pPr>
      <w:rPr>
        <w:rFonts w:hint="eastAsia"/>
      </w:rPr>
    </w:lvl>
    <w:lvl w:ilvl="6" w:tentative="0">
      <w:start w:val="1"/>
      <w:numFmt w:val="decimal"/>
      <w:lvlText w:val="%1.%2.%3.%4.%5.%6.%7."/>
      <w:lvlJc w:val="left"/>
      <w:pPr>
        <w:tabs>
          <w:tab w:val="left" w:pos="1276"/>
        </w:tabs>
        <w:ind w:left="1906" w:hanging="1276"/>
      </w:pPr>
      <w:rPr>
        <w:rFonts w:hint="eastAsia"/>
      </w:rPr>
    </w:lvl>
    <w:lvl w:ilvl="7" w:tentative="0">
      <w:start w:val="1"/>
      <w:numFmt w:val="decimal"/>
      <w:lvlText w:val="%1.%2.%3.%4.%5.%6.%7.%8."/>
      <w:lvlJc w:val="left"/>
      <w:pPr>
        <w:tabs>
          <w:tab w:val="left" w:pos="1418"/>
        </w:tabs>
        <w:ind w:left="2048" w:hanging="1418"/>
      </w:pPr>
      <w:rPr>
        <w:rFonts w:hint="eastAsia"/>
      </w:rPr>
    </w:lvl>
    <w:lvl w:ilvl="8" w:tentative="0">
      <w:start w:val="1"/>
      <w:numFmt w:val="decimal"/>
      <w:lvlText w:val="%1.%2.%3.%4.%5.%6.%7.%8.%9."/>
      <w:lvlJc w:val="left"/>
      <w:pPr>
        <w:tabs>
          <w:tab w:val="left" w:pos="1559"/>
        </w:tabs>
        <w:ind w:left="2189" w:hanging="1559"/>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doNotDisplayPageBoundaries w:val="1"/>
  <w:embedSystemFonts/>
  <w:bordersDoNotSurroundHeader w:val="1"/>
  <w:bordersDoNotSurroundFooter w:val="1"/>
  <w:documentProtection w:enforcement="0"/>
  <w:defaultTabStop w:val="420"/>
  <w:drawingGridVerticalSpacing w:val="156"/>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886D4E"/>
    <w:rsid w:val="000E4B11"/>
    <w:rsid w:val="00332FC1"/>
    <w:rsid w:val="007D56D2"/>
    <w:rsid w:val="00806B32"/>
    <w:rsid w:val="008E23EA"/>
    <w:rsid w:val="00921C4F"/>
    <w:rsid w:val="009B1F5A"/>
    <w:rsid w:val="00A00975"/>
    <w:rsid w:val="00A55FA4"/>
    <w:rsid w:val="00B40332"/>
    <w:rsid w:val="00C528D4"/>
    <w:rsid w:val="00E71151"/>
    <w:rsid w:val="00FE7876"/>
    <w:rsid w:val="017B5688"/>
    <w:rsid w:val="03AB26E4"/>
    <w:rsid w:val="04071455"/>
    <w:rsid w:val="04544B29"/>
    <w:rsid w:val="04620439"/>
    <w:rsid w:val="04956ECC"/>
    <w:rsid w:val="055131C5"/>
    <w:rsid w:val="05F1526E"/>
    <w:rsid w:val="06913487"/>
    <w:rsid w:val="0A030319"/>
    <w:rsid w:val="0B46428A"/>
    <w:rsid w:val="0B8C258E"/>
    <w:rsid w:val="0BDEF784"/>
    <w:rsid w:val="0F487622"/>
    <w:rsid w:val="0FB64BA4"/>
    <w:rsid w:val="12413A23"/>
    <w:rsid w:val="12495049"/>
    <w:rsid w:val="124D2729"/>
    <w:rsid w:val="13964DCD"/>
    <w:rsid w:val="142C636E"/>
    <w:rsid w:val="151E03AD"/>
    <w:rsid w:val="156C55BC"/>
    <w:rsid w:val="16113A6D"/>
    <w:rsid w:val="161404C8"/>
    <w:rsid w:val="164719BE"/>
    <w:rsid w:val="18A60868"/>
    <w:rsid w:val="1C9C6787"/>
    <w:rsid w:val="1DF83E35"/>
    <w:rsid w:val="1E1176E2"/>
    <w:rsid w:val="1E935967"/>
    <w:rsid w:val="23C30A9D"/>
    <w:rsid w:val="26FBBCA5"/>
    <w:rsid w:val="27003DB6"/>
    <w:rsid w:val="27202D3F"/>
    <w:rsid w:val="276D6B53"/>
    <w:rsid w:val="28F6144A"/>
    <w:rsid w:val="2B2A7653"/>
    <w:rsid w:val="2B702ACF"/>
    <w:rsid w:val="2BDE3F9A"/>
    <w:rsid w:val="2D0E2B10"/>
    <w:rsid w:val="2EBB042F"/>
    <w:rsid w:val="2FB8241F"/>
    <w:rsid w:val="2FDFAECD"/>
    <w:rsid w:val="305D3B4B"/>
    <w:rsid w:val="31C363A2"/>
    <w:rsid w:val="334B6436"/>
    <w:rsid w:val="33AB0337"/>
    <w:rsid w:val="348C54AF"/>
    <w:rsid w:val="36980606"/>
    <w:rsid w:val="36B32480"/>
    <w:rsid w:val="36EA63AA"/>
    <w:rsid w:val="37DA7AB9"/>
    <w:rsid w:val="38123949"/>
    <w:rsid w:val="38BBC6BE"/>
    <w:rsid w:val="39B33DA9"/>
    <w:rsid w:val="3A5B3E37"/>
    <w:rsid w:val="3ACE78EA"/>
    <w:rsid w:val="3B283915"/>
    <w:rsid w:val="3BAA72EC"/>
    <w:rsid w:val="3D330927"/>
    <w:rsid w:val="3D8E3A72"/>
    <w:rsid w:val="3DEB2D34"/>
    <w:rsid w:val="3DEFE375"/>
    <w:rsid w:val="3E734A16"/>
    <w:rsid w:val="3EBF4CE4"/>
    <w:rsid w:val="3FFC1167"/>
    <w:rsid w:val="405A50A5"/>
    <w:rsid w:val="40E47808"/>
    <w:rsid w:val="41B15FCC"/>
    <w:rsid w:val="446C618F"/>
    <w:rsid w:val="44A1052F"/>
    <w:rsid w:val="47E32C09"/>
    <w:rsid w:val="4A6D4A0F"/>
    <w:rsid w:val="4C431ECB"/>
    <w:rsid w:val="4D072EF9"/>
    <w:rsid w:val="4ED96B17"/>
    <w:rsid w:val="4EE6DB1D"/>
    <w:rsid w:val="4FCD667C"/>
    <w:rsid w:val="50AF7B2F"/>
    <w:rsid w:val="5123020E"/>
    <w:rsid w:val="529070F6"/>
    <w:rsid w:val="576DAC64"/>
    <w:rsid w:val="57DD2798"/>
    <w:rsid w:val="59507D05"/>
    <w:rsid w:val="59A57D21"/>
    <w:rsid w:val="5BA839DF"/>
    <w:rsid w:val="5BF07652"/>
    <w:rsid w:val="5BF55FED"/>
    <w:rsid w:val="5CDF39EC"/>
    <w:rsid w:val="5DED65D4"/>
    <w:rsid w:val="5E6A35CD"/>
    <w:rsid w:val="5EFD59CF"/>
    <w:rsid w:val="5EFF4F40"/>
    <w:rsid w:val="5F886D4E"/>
    <w:rsid w:val="5FCD6066"/>
    <w:rsid w:val="60DA694A"/>
    <w:rsid w:val="6181470B"/>
    <w:rsid w:val="61AC2B03"/>
    <w:rsid w:val="637A47CB"/>
    <w:rsid w:val="64231154"/>
    <w:rsid w:val="64C76D65"/>
    <w:rsid w:val="67DFB0D4"/>
    <w:rsid w:val="69821E2D"/>
    <w:rsid w:val="69E77EE2"/>
    <w:rsid w:val="6C5C5A57"/>
    <w:rsid w:val="6CAF118B"/>
    <w:rsid w:val="6E2A53A1"/>
    <w:rsid w:val="6F577017"/>
    <w:rsid w:val="6FB1429E"/>
    <w:rsid w:val="6FD3742F"/>
    <w:rsid w:val="71510119"/>
    <w:rsid w:val="71BC1721"/>
    <w:rsid w:val="72284F30"/>
    <w:rsid w:val="736073AD"/>
    <w:rsid w:val="73FEA5C5"/>
    <w:rsid w:val="75DFC37D"/>
    <w:rsid w:val="76AE4A27"/>
    <w:rsid w:val="78F42B79"/>
    <w:rsid w:val="795BBD46"/>
    <w:rsid w:val="79AE4579"/>
    <w:rsid w:val="79F07A78"/>
    <w:rsid w:val="79F10830"/>
    <w:rsid w:val="7A643C15"/>
    <w:rsid w:val="7ABF5711"/>
    <w:rsid w:val="7ADF348C"/>
    <w:rsid w:val="7C66829D"/>
    <w:rsid w:val="7E040C0B"/>
    <w:rsid w:val="7F72ED44"/>
    <w:rsid w:val="7F775DD1"/>
    <w:rsid w:val="7FBCCC38"/>
    <w:rsid w:val="7FD717CD"/>
    <w:rsid w:val="7FFE4F45"/>
    <w:rsid w:val="97FABCDE"/>
    <w:rsid w:val="9BFF2D24"/>
    <w:rsid w:val="AFD96719"/>
    <w:rsid w:val="BDF3A73D"/>
    <w:rsid w:val="BDFFE7C3"/>
    <w:rsid w:val="BFEAC16C"/>
    <w:rsid w:val="DA3E283D"/>
    <w:rsid w:val="DFAFB039"/>
    <w:rsid w:val="DFFF3AC7"/>
    <w:rsid w:val="ECEF5AA4"/>
    <w:rsid w:val="EDDFDE08"/>
    <w:rsid w:val="F65E8EA8"/>
    <w:rsid w:val="F65FEE77"/>
    <w:rsid w:val="F773CFCC"/>
    <w:rsid w:val="F7DF2FB4"/>
    <w:rsid w:val="F9DD748C"/>
    <w:rsid w:val="FBE5C773"/>
    <w:rsid w:val="FF49D3FD"/>
    <w:rsid w:val="FF6B9094"/>
    <w:rsid w:val="FFAA0680"/>
    <w:rsid w:val="FFFF0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qFormat="1" w:unhideWhenUsed="0" w:uiPriority="0"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3">
    <w:name w:val="heading 2"/>
    <w:basedOn w:val="1"/>
    <w:qFormat/>
    <w:uiPriority w:val="9"/>
    <w:pPr>
      <w:keepNext/>
      <w:keepLines/>
      <w:numPr>
        <w:ilvl w:val="1"/>
        <w:numId w:val="1"/>
      </w:numPr>
      <w:spacing w:line="360" w:lineRule="auto"/>
      <w:jc w:val="left"/>
      <w:outlineLvl w:val="1"/>
    </w:pPr>
    <w:rPr>
      <w:rFonts w:ascii="仿宋_GB2312" w:hAnsi="仿宋_GB2312" w:eastAsia="仿宋_GB2312"/>
      <w:b/>
      <w:bCs/>
      <w:sz w:val="32"/>
      <w:szCs w:val="28"/>
    </w:rPr>
  </w:style>
  <w:style w:type="paragraph" w:styleId="4">
    <w:name w:val="heading 3"/>
    <w:basedOn w:val="1"/>
    <w:qFormat/>
    <w:uiPriority w:val="0"/>
    <w:pPr>
      <w:keepNext/>
      <w:keepLines/>
      <w:numPr>
        <w:ilvl w:val="2"/>
        <w:numId w:val="1"/>
      </w:numPr>
      <w:spacing w:line="415" w:lineRule="auto"/>
      <w:outlineLvl w:val="2"/>
    </w:pPr>
    <w:rPr>
      <w:rFonts w:ascii="仿宋" w:hAnsi="仿宋" w:eastAsia="仿宋_GB2312"/>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1"/>
    <w:qFormat/>
    <w:uiPriority w:val="99"/>
    <w:pPr>
      <w:jc w:val="left"/>
    </w:pPr>
  </w:style>
  <w:style w:type="paragraph" w:styleId="6">
    <w:name w:val="Body Text"/>
    <w:basedOn w:val="7"/>
    <w:qFormat/>
    <w:uiPriority w:val="0"/>
    <w:pPr>
      <w:spacing w:after="120"/>
      <w:ind w:firstLine="200" w:firstLineChars="200"/>
    </w:pPr>
    <w:rPr>
      <w:sz w:val="24"/>
    </w:rPr>
  </w:style>
  <w:style w:type="paragraph" w:styleId="7">
    <w:name w:val="Title"/>
    <w:basedOn w:val="1"/>
    <w:qFormat/>
    <w:uiPriority w:val="0"/>
    <w:pPr>
      <w:spacing w:before="240" w:after="60"/>
      <w:jc w:val="center"/>
      <w:outlineLvl w:val="0"/>
    </w:pPr>
    <w:rPr>
      <w:rFonts w:ascii="Arial" w:hAnsi="Arial"/>
      <w:b/>
      <w:sz w:val="32"/>
    </w:r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qFormat/>
    <w:uiPriority w:val="0"/>
    <w:pPr>
      <w:spacing w:after="120" w:line="480" w:lineRule="exact"/>
      <w:ind w:left="420" w:leftChars="200" w:firstLine="200" w:firstLineChars="200"/>
    </w:pPr>
    <w:rPr>
      <w:sz w:val="16"/>
      <w:szCs w:val="16"/>
    </w:rPr>
  </w:style>
  <w:style w:type="paragraph" w:styleId="11">
    <w:name w:val="annotation subject"/>
    <w:basedOn w:val="5"/>
    <w:next w:val="5"/>
    <w:link w:val="22"/>
    <w:qFormat/>
    <w:uiPriority w:val="99"/>
    <w:rPr>
      <w:b/>
      <w:bCs/>
    </w:rPr>
  </w:style>
  <w:style w:type="paragraph" w:styleId="12">
    <w:name w:val="Body Text First Indent"/>
    <w:basedOn w:val="6"/>
    <w:qFormat/>
    <w:uiPriority w:val="0"/>
    <w:pPr>
      <w:adjustRightInd w:val="0"/>
      <w:spacing w:before="0" w:line="312" w:lineRule="atLeast"/>
      <w:ind w:firstLine="420" w:firstLineChars="100"/>
    </w:pPr>
    <w:rPr>
      <w:kern w:val="0"/>
      <w:sz w:val="21"/>
    </w:rPr>
  </w:style>
  <w:style w:type="table" w:styleId="14">
    <w:name w:val="Table Grid"/>
    <w:basedOn w:val="13"/>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annotation reference"/>
    <w:basedOn w:val="15"/>
    <w:qFormat/>
    <w:uiPriority w:val="99"/>
    <w:rPr>
      <w:sz w:val="21"/>
      <w:szCs w:val="21"/>
    </w:rPr>
  </w:style>
  <w:style w:type="paragraph" w:customStyle="1" w:styleId="17">
    <w:name w:val="1正文"/>
    <w:basedOn w:val="1"/>
    <w:qFormat/>
    <w:uiPriority w:val="0"/>
    <w:pPr>
      <w:spacing w:line="360" w:lineRule="auto"/>
      <w:ind w:left="100" w:leftChars="100" w:right="100" w:rightChars="100" w:firstLine="480" w:firstLineChars="200"/>
    </w:pPr>
    <w:rPr>
      <w:sz w:val="24"/>
    </w:rPr>
  </w:style>
  <w:style w:type="paragraph" w:customStyle="1" w:styleId="18">
    <w:name w:val="GEDI正文样式"/>
    <w:basedOn w:val="1"/>
    <w:qFormat/>
    <w:uiPriority w:val="0"/>
    <w:pPr>
      <w:adjustRightInd w:val="0"/>
      <w:snapToGrid w:val="0"/>
      <w:spacing w:line="480" w:lineRule="atLeast"/>
      <w:ind w:firstLine="480" w:firstLineChars="200"/>
    </w:pPr>
    <w:rPr>
      <w:sz w:val="24"/>
    </w:rPr>
  </w:style>
  <w:style w:type="paragraph" w:styleId="19">
    <w:name w:val="List Paragraph"/>
    <w:basedOn w:val="1"/>
    <w:qFormat/>
    <w:uiPriority w:val="34"/>
    <w:pPr>
      <w:ind w:firstLine="420" w:firstLineChars="200"/>
    </w:pPr>
  </w:style>
  <w:style w:type="paragraph" w:customStyle="1" w:styleId="20">
    <w:name w:val="国网标准正文"/>
    <w:basedOn w:val="1"/>
    <w:semiHidden/>
    <w:qFormat/>
    <w:uiPriority w:val="0"/>
    <w:pPr>
      <w:tabs>
        <w:tab w:val="left" w:pos="2700"/>
      </w:tabs>
      <w:adjustRightInd w:val="0"/>
      <w:snapToGrid w:val="0"/>
      <w:spacing w:line="312" w:lineRule="exact"/>
      <w:ind w:firstLine="420" w:firstLineChars="200"/>
    </w:pPr>
    <w:rPr>
      <w:rFonts w:ascii="宋体" w:hAnsi="宋体"/>
      <w:szCs w:val="28"/>
    </w:rPr>
  </w:style>
  <w:style w:type="character" w:customStyle="1" w:styleId="21">
    <w:name w:val="批注文字 字符"/>
    <w:basedOn w:val="15"/>
    <w:link w:val="5"/>
    <w:qFormat/>
    <w:uiPriority w:val="99"/>
    <w:rPr>
      <w:kern w:val="2"/>
      <w:sz w:val="21"/>
      <w:szCs w:val="24"/>
    </w:rPr>
  </w:style>
  <w:style w:type="character" w:customStyle="1" w:styleId="22">
    <w:name w:val="批注主题 字符"/>
    <w:basedOn w:val="21"/>
    <w:link w:val="11"/>
    <w:qFormat/>
    <w:uiPriority w:val="99"/>
    <w:rPr>
      <w:b/>
      <w:bCs/>
      <w:kern w:val="2"/>
      <w:sz w:val="21"/>
      <w:szCs w:val="24"/>
    </w:rPr>
  </w:style>
  <w:style w:type="table" w:customStyle="1" w:styleId="23">
    <w:name w:val="Grid Table 4 Accent 3"/>
    <w:basedOn w:val="13"/>
    <w:qFormat/>
    <w:uiPriority w:val="4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3776</Words>
  <Characters>4377</Characters>
  <Lines>13</Lines>
  <Paragraphs>3</Paragraphs>
  <TotalTime>0</TotalTime>
  <ScaleCrop>false</ScaleCrop>
  <LinksUpToDate>false</LinksUpToDate>
  <CharactersWithSpaces>4444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2025-08-06T01:21:00Z</dcterms:created>
  <dc:creator>nongcq</dc:creator>
  <cp:lastModifiedBy>yerik</cp:lastModifiedBy>
  <dcterms:modified xsi:type="dcterms:W3CDTF">2026-05-06T02:16:02Z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B30A3E1DA9AF415A8816EE6691EB183F_13</vt:lpwstr>
  </property>
  <property fmtid="{D5CDD505-2E9C-101B-9397-08002B2CF9AE}" pid="4" name="KSOTemplateDocerSaveRecord">
    <vt:lpwstr>eyJoZGlkIjoiZTllNzFlZDRhZGQ3ZDFhNGE5OTBmMzhmMmEyZjk1OTYiLCJ1c2VySWQiOiIxMTM2NjYxODI2In0=</vt:lpwstr>
  </property>
</Properties>
</file>