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spacing w:after="0" w:line="360" w:lineRule="auto"/>
        <w:jc w:val="both"/>
        <w:rPr>
          <w:rFonts w:hint="eastAsia" w:ascii="黑体" w:hAnsi="宋体" w:eastAsia="黑体"/>
          <w:b/>
          <w:bCs/>
          <w:kern w:val="2"/>
          <w:sz w:val="52"/>
          <w:szCs w:val="52"/>
          <w:highlight w:val="none"/>
          <w:lang w:eastAsia="zh-CN"/>
        </w:rPr>
      </w:pPr>
      <w:r>
        <w:rPr>
          <w:rFonts w:hint="eastAsia" w:ascii="微软雅黑" w:hAnsi="微软雅黑" w:eastAsia="微软雅黑"/>
          <w:b/>
          <w:sz w:val="52"/>
        </w:rPr>
        <w:t>2026年信通公司天河局配网自动化终端系统及通信设备维护项目</w:t>
      </w:r>
      <w:r>
        <w:rPr>
          <w:rFonts w:hint="eastAsia" w:ascii="微软雅黑" w:hAnsi="微软雅黑" w:eastAsia="微软雅黑"/>
          <w:b/>
          <w:sz w:val="52"/>
          <w:lang w:val="en-US" w:eastAsia="zh-CN"/>
        </w:rPr>
        <w:t xml:space="preserve"> </w:t>
      </w:r>
      <w:r>
        <w:rPr>
          <w:rFonts w:hint="eastAsia" w:ascii="微软雅黑" w:hAnsi="微软雅黑" w:eastAsia="微软雅黑"/>
          <w:b/>
          <w:sz w:val="52"/>
        </w:rPr>
        <w:t>微机保护装置采购项目（零星采购）</w:t>
      </w:r>
      <w:r>
        <w:rPr>
          <w:rFonts w:hint="eastAsia" w:ascii="微软雅黑" w:hAnsi="微软雅黑" w:eastAsia="微软雅黑"/>
          <w:b/>
          <w:sz w:val="52"/>
          <w:lang w:val="en-US" w:eastAsia="zh-CN"/>
        </w:rPr>
        <w:t xml:space="preserve">              </w:t>
      </w:r>
      <w:r>
        <w:rPr>
          <w:rFonts w:hint="eastAsia" w:ascii="黑体" w:hAnsi="宋体" w:eastAsia="黑体"/>
          <w:b/>
          <w:bCs/>
          <w:kern w:val="2"/>
          <w:sz w:val="52"/>
          <w:szCs w:val="52"/>
          <w:highlight w:val="none"/>
          <w:lang w:val="en-US" w:eastAsia="zh-CN"/>
        </w:rPr>
        <w:t>微机综合保护装置等采购</w:t>
      </w:r>
      <w:r>
        <w:rPr>
          <w:rFonts w:hint="eastAsia" w:ascii="黑体" w:hAnsi="宋体" w:eastAsia="黑体"/>
          <w:b/>
          <w:bCs/>
          <w:kern w:val="2"/>
          <w:sz w:val="52"/>
          <w:szCs w:val="52"/>
          <w:highlight w:val="none"/>
          <w:lang w:eastAsia="zh-CN"/>
        </w:rPr>
        <w:t>技术规范书</w:t>
      </w:r>
    </w:p>
    <w:p>
      <w:pPr>
        <w:pStyle w:val="6"/>
      </w:pPr>
      <w:bookmarkStart w:id="11" w:name="_GoBack"/>
      <w:bookmarkEnd w:id="11"/>
    </w:p>
    <w:p>
      <w:pPr>
        <w:spacing w:before="624" w:beforeLines="200" w:line="0" w:lineRule="atLeast"/>
        <w:ind w:firstLine="1807" w:firstLineChars="500"/>
        <w:jc w:val="both"/>
        <w:rPr>
          <w:rFonts w:hint="eastAsia" w:hAnsi="Times New Roman"/>
          <w:b/>
          <w:sz w:val="36"/>
          <w:szCs w:val="20"/>
          <w:lang w:val="en-US" w:eastAsia="zh-CN"/>
        </w:rPr>
      </w:pPr>
      <w:r>
        <w:rPr>
          <w:rFonts w:hint="eastAsia" w:hAnsi="Times New Roman"/>
          <w:b/>
          <w:sz w:val="36"/>
          <w:szCs w:val="20"/>
          <w:lang w:val="en-US" w:eastAsia="zh-CN"/>
        </w:rPr>
        <w:t xml:space="preserve">  </w:t>
      </w:r>
    </w:p>
    <w:p>
      <w:pPr>
        <w:spacing w:before="624" w:beforeLines="200" w:line="0" w:lineRule="atLeast"/>
        <w:ind w:firstLine="1807" w:firstLineChars="500"/>
        <w:jc w:val="both"/>
        <w:rPr>
          <w:rFonts w:hint="eastAsia" w:hAnsi="Times New Roman"/>
          <w:b/>
          <w:sz w:val="36"/>
          <w:szCs w:val="20"/>
          <w:lang w:val="en-US" w:eastAsia="zh-CN"/>
        </w:rPr>
      </w:pPr>
    </w:p>
    <w:p>
      <w:pPr>
        <w:spacing w:before="624" w:beforeLines="200" w:line="0" w:lineRule="atLeast"/>
        <w:ind w:firstLine="1807" w:firstLineChars="500"/>
        <w:jc w:val="both"/>
        <w:rPr>
          <w:rFonts w:hint="eastAsia" w:hAnsi="Times New Roman"/>
          <w:b/>
          <w:sz w:val="36"/>
          <w:szCs w:val="20"/>
          <w:lang w:val="en-US" w:eastAsia="zh-CN"/>
        </w:rPr>
      </w:pPr>
    </w:p>
    <w:p>
      <w:pPr>
        <w:spacing w:before="624" w:beforeLines="200" w:line="0" w:lineRule="atLeast"/>
        <w:jc w:val="both"/>
        <w:rPr>
          <w:rFonts w:hint="eastAsia" w:hAnsi="Times New Roman"/>
          <w:b/>
          <w:sz w:val="36"/>
          <w:szCs w:val="20"/>
          <w:lang w:val="en-US" w:eastAsia="zh-CN"/>
        </w:rPr>
      </w:pPr>
    </w:p>
    <w:p>
      <w:pPr>
        <w:ind w:firstLine="1807" w:firstLineChars="500"/>
        <w:jc w:val="both"/>
        <w:outlineLvl w:val="9"/>
        <w:rPr>
          <w:rFonts w:hint="eastAsia" w:ascii="黑体" w:hAnsi="黑体" w:eastAsia="黑体" w:cs="黑体"/>
          <w:b/>
          <w:bCs w:val="0"/>
          <w:kern w:val="0"/>
          <w:sz w:val="36"/>
          <w:szCs w:val="20"/>
          <w:highlight w:val="none"/>
          <w:lang w:val="en-US" w:eastAsia="zh-CN" w:bidi="ar-SA"/>
        </w:rPr>
      </w:pPr>
    </w:p>
    <w:p>
      <w:pPr>
        <w:spacing w:line="360" w:lineRule="auto"/>
        <w:jc w:val="center"/>
        <w:rPr>
          <w:rFonts w:ascii="宋体" w:hAnsi="宋体"/>
          <w:b/>
          <w:sz w:val="36"/>
          <w:szCs w:val="36"/>
          <w:highlight w:val="none"/>
        </w:rPr>
      </w:pPr>
    </w:p>
    <w:p>
      <w:pPr>
        <w:pStyle w:val="6"/>
      </w:pPr>
    </w:p>
    <w:p>
      <w:pPr>
        <w:pStyle w:val="7"/>
      </w:pPr>
    </w:p>
    <w:p/>
    <w:p>
      <w:pPr>
        <w:widowControl w:val="0"/>
        <w:spacing w:after="0" w:line="240" w:lineRule="auto"/>
        <w:jc w:val="center"/>
        <w:rPr>
          <w:rFonts w:hint="eastAsia" w:ascii="黑体" w:hAnsi="黑体" w:eastAsia="黑体" w:cs="黑体"/>
          <w:b/>
          <w:kern w:val="2"/>
          <w:sz w:val="36"/>
          <w:szCs w:val="36"/>
          <w:highlight w:val="none"/>
          <w:lang w:eastAsia="zh-CN"/>
        </w:rPr>
      </w:pPr>
      <w:r>
        <w:rPr>
          <w:rFonts w:hint="eastAsia" w:ascii="黑体" w:hAnsi="黑体" w:eastAsia="黑体" w:cs="黑体"/>
          <w:b/>
          <w:kern w:val="2"/>
          <w:sz w:val="36"/>
          <w:szCs w:val="36"/>
          <w:highlight w:val="none"/>
          <w:lang w:eastAsia="zh-CN"/>
        </w:rPr>
        <w:t>南方电网数字电网集团信息通信科技有限公司</w:t>
      </w:r>
    </w:p>
    <w:p>
      <w:pPr>
        <w:widowControl w:val="0"/>
        <w:spacing w:after="0" w:line="240" w:lineRule="auto"/>
        <w:jc w:val="center"/>
        <w:rPr>
          <w:rFonts w:hint="eastAsia" w:ascii="黑体" w:hAnsi="黑体" w:eastAsia="黑体" w:cs="黑体"/>
          <w:b/>
          <w:kern w:val="2"/>
          <w:sz w:val="36"/>
          <w:szCs w:val="36"/>
          <w:highlight w:val="none"/>
          <w:lang w:eastAsia="zh-CN"/>
        </w:rPr>
      </w:pPr>
      <w:r>
        <w:rPr>
          <w:rFonts w:hint="eastAsia" w:ascii="黑体" w:hAnsi="黑体" w:eastAsia="黑体" w:cs="黑体"/>
          <w:b/>
          <w:kern w:val="2"/>
          <w:sz w:val="36"/>
          <w:szCs w:val="36"/>
          <w:highlight w:val="none"/>
          <w:lang w:eastAsia="zh-CN"/>
        </w:rPr>
        <w:t>202</w:t>
      </w:r>
      <w:r>
        <w:rPr>
          <w:rFonts w:hint="eastAsia" w:ascii="黑体" w:hAnsi="黑体" w:eastAsia="黑体" w:cs="黑体"/>
          <w:b/>
          <w:kern w:val="2"/>
          <w:sz w:val="36"/>
          <w:szCs w:val="36"/>
          <w:highlight w:val="none"/>
          <w:lang w:val="en-US" w:eastAsia="zh-CN"/>
        </w:rPr>
        <w:t>6</w:t>
      </w:r>
      <w:r>
        <w:rPr>
          <w:rFonts w:hint="eastAsia" w:ascii="黑体" w:hAnsi="黑体" w:eastAsia="黑体" w:cs="黑体"/>
          <w:b/>
          <w:kern w:val="2"/>
          <w:sz w:val="36"/>
          <w:szCs w:val="36"/>
          <w:highlight w:val="none"/>
          <w:lang w:eastAsia="zh-CN"/>
        </w:rPr>
        <w:t>年</w:t>
      </w:r>
      <w:r>
        <w:rPr>
          <w:rFonts w:hint="eastAsia" w:ascii="黑体" w:hAnsi="黑体" w:eastAsia="黑体" w:cs="黑体"/>
          <w:b/>
          <w:kern w:val="2"/>
          <w:sz w:val="36"/>
          <w:szCs w:val="36"/>
          <w:highlight w:val="none"/>
          <w:lang w:val="en-US" w:eastAsia="zh-CN"/>
        </w:rPr>
        <w:t>5</w:t>
      </w:r>
      <w:r>
        <w:rPr>
          <w:rFonts w:hint="eastAsia" w:ascii="黑体" w:hAnsi="黑体" w:eastAsia="黑体" w:cs="黑体"/>
          <w:b/>
          <w:kern w:val="2"/>
          <w:sz w:val="36"/>
          <w:szCs w:val="36"/>
          <w:highlight w:val="none"/>
          <w:lang w:eastAsia="zh-CN"/>
        </w:rPr>
        <w:t>月</w:t>
      </w:r>
    </w:p>
    <w:p>
      <w:pPr>
        <w:pStyle w:val="34"/>
        <w:tabs>
          <w:tab w:val="right" w:leader="dot" w:pos="8505"/>
        </w:tabs>
        <w:jc w:val="center"/>
        <w:rPr>
          <w:rFonts w:ascii="宋体" w:hAnsi="宋体" w:eastAsia="宋体" w:cs="Times New Roman"/>
          <w:kern w:val="2"/>
          <w:sz w:val="21"/>
          <w:szCs w:val="20"/>
          <w:lang w:val="en-US" w:eastAsia="zh-CN" w:bidi="ar-SA"/>
        </w:rPr>
      </w:pPr>
    </w:p>
    <w:p>
      <w:pPr>
        <w:pStyle w:val="34"/>
        <w:tabs>
          <w:tab w:val="right" w:leader="dot" w:pos="8505"/>
        </w:tabs>
        <w:jc w:val="center"/>
        <w:rPr>
          <w:rFonts w:ascii="宋体" w:hAnsi="宋体" w:eastAsia="宋体" w:cs="Times New Roman"/>
          <w:kern w:val="2"/>
          <w:sz w:val="21"/>
          <w:szCs w:val="20"/>
          <w:lang w:val="en-US" w:eastAsia="zh-CN" w:bidi="ar-SA"/>
        </w:rPr>
      </w:pPr>
    </w:p>
    <w:p>
      <w:pPr>
        <w:pStyle w:val="34"/>
        <w:tabs>
          <w:tab w:val="right" w:leader="dot" w:pos="8505"/>
        </w:tabs>
        <w:jc w:val="center"/>
        <w:rPr>
          <w:rFonts w:ascii="宋体" w:hAnsi="宋体" w:eastAsia="宋体" w:cs="Times New Roman"/>
          <w:kern w:val="2"/>
          <w:sz w:val="21"/>
          <w:szCs w:val="20"/>
          <w:lang w:val="en-US" w:eastAsia="zh-CN" w:bidi="ar-SA"/>
        </w:rPr>
      </w:pPr>
    </w:p>
    <w:sdt>
      <w:sdtPr>
        <w:rPr>
          <w:rFonts w:ascii="宋体" w:hAnsi="宋体" w:eastAsia="宋体" w:cs="Times New Roman"/>
          <w:kern w:val="2"/>
          <w:sz w:val="21"/>
          <w:szCs w:val="20"/>
          <w:lang w:val="en-US" w:eastAsia="zh-CN" w:bidi="ar-SA"/>
        </w:rPr>
        <w:id w:val="147479948"/>
        <w15:color w:val="DBDBDB"/>
        <w:docPartObj>
          <w:docPartGallery w:val="Table of Contents"/>
          <w:docPartUnique/>
        </w:docPartObj>
      </w:sdtPr>
      <w:sdtEndPr>
        <w:rPr>
          <w:rFonts w:hint="eastAsia" w:ascii="Times New Roman" w:hAnsi="Times New Roman" w:eastAsia="宋体" w:cs="Times New Roman"/>
          <w:b/>
          <w:bCs/>
          <w:kern w:val="44"/>
          <w:sz w:val="44"/>
          <w:szCs w:val="44"/>
          <w:lang w:val="en-US" w:eastAsia="zh-CN" w:bidi="ar-SA"/>
        </w:rPr>
      </w:sdtEndPr>
      <w:sdtContent>
        <w:p>
          <w:pPr>
            <w:pStyle w:val="34"/>
            <w:tabs>
              <w:tab w:val="right" w:leader="dot" w:pos="8505"/>
            </w:tabs>
            <w:jc w:val="center"/>
            <w:rPr>
              <w:rFonts w:hint="eastAsia" w:eastAsia="等线"/>
              <w:b/>
              <w:bCs/>
              <w:sz w:val="32"/>
              <w:szCs w:val="32"/>
              <w:lang w:val="en-US" w:eastAsia="zh-CN"/>
            </w:rPr>
          </w:pPr>
          <w:r>
            <w:rPr>
              <w:rFonts w:hint="eastAsia"/>
              <w:b/>
              <w:bCs/>
              <w:sz w:val="32"/>
              <w:szCs w:val="32"/>
              <w:lang w:val="en-US" w:eastAsia="zh-CN"/>
            </w:rPr>
            <w:t>目录</w:t>
          </w:r>
        </w:p>
        <w:p>
          <w:pPr>
            <w:pStyle w:val="34"/>
            <w:tabs>
              <w:tab w:val="right" w:leader="dot" w:pos="8505"/>
            </w:tabs>
            <w:rPr>
              <w:b/>
            </w:rPr>
          </w:pP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TOC \o "1-2" \h \u </w:instrText>
          </w:r>
          <w:r>
            <w:rPr>
              <w:rFonts w:hint="eastAsia"/>
            </w:rPr>
            <w:fldChar w:fldCharType="separate"/>
          </w:r>
          <w:r>
            <w:rPr>
              <w:rFonts w:hint="eastAsia"/>
              <w:b/>
            </w:rPr>
            <w:fldChar w:fldCharType="begin"/>
          </w:r>
          <w:r>
            <w:rPr>
              <w:rFonts w:hint="eastAsia"/>
              <w:b/>
            </w:rPr>
            <w:instrText xml:space="preserve"> HYPERLINK \l _Toc26893 </w:instrText>
          </w:r>
          <w:r>
            <w:rPr>
              <w:rFonts w:hint="eastAsia"/>
              <w:b/>
            </w:rPr>
            <w:fldChar w:fldCharType="separate"/>
          </w:r>
          <w:r>
            <w:rPr>
              <w:rFonts w:hint="eastAsia"/>
              <w:b/>
            </w:rPr>
            <w:t>第一章 总则</w:t>
          </w:r>
          <w:r>
            <w:rPr>
              <w:b/>
            </w:rPr>
            <w:tab/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PAGEREF _Toc26893 \h </w:instrText>
          </w:r>
          <w:r>
            <w:rPr>
              <w:b/>
            </w:rPr>
            <w:fldChar w:fldCharType="separate"/>
          </w:r>
          <w:r>
            <w:rPr>
              <w:b/>
            </w:rPr>
            <w:t>- 3 -</w:t>
          </w:r>
          <w:r>
            <w:rPr>
              <w:b/>
            </w:rPr>
            <w:fldChar w:fldCharType="end"/>
          </w:r>
          <w:r>
            <w:rPr>
              <w:rFonts w:hint="eastAsia"/>
              <w:b/>
            </w:rPr>
            <w:fldChar w:fldCharType="end"/>
          </w:r>
        </w:p>
        <w:p>
          <w:pPr>
            <w:pStyle w:val="35"/>
            <w:tabs>
              <w:tab w:val="right" w:leader="dot" w:pos="8505"/>
            </w:tabs>
          </w:pP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HYPERLINK \l _Toc9460 </w:instrText>
          </w:r>
          <w:r>
            <w:rPr>
              <w:rFonts w:hint="eastAsia"/>
            </w:rPr>
            <w:fldChar w:fldCharType="separate"/>
          </w:r>
          <w:r>
            <w:rPr>
              <w:rFonts w:hint="default"/>
            </w:rPr>
            <w:t xml:space="preserve">一、 </w:t>
          </w:r>
          <w:r>
            <w:rPr>
              <w:rFonts w:hint="eastAsia"/>
            </w:rPr>
            <w:t>范围</w:t>
          </w:r>
          <w:r>
            <w:tab/>
          </w:r>
          <w:r>
            <w:fldChar w:fldCharType="begin"/>
          </w:r>
          <w:r>
            <w:instrText xml:space="preserve"> PAGEREF _Toc9460 \h </w:instrText>
          </w:r>
          <w:r>
            <w:fldChar w:fldCharType="separate"/>
          </w:r>
          <w:r>
            <w:t>- 3 -</w:t>
          </w:r>
          <w:r>
            <w:fldChar w:fldCharType="end"/>
          </w:r>
          <w:r>
            <w:rPr>
              <w:rFonts w:hint="eastAsia"/>
            </w:rPr>
            <w:fldChar w:fldCharType="end"/>
          </w:r>
        </w:p>
        <w:p>
          <w:pPr>
            <w:pStyle w:val="35"/>
            <w:tabs>
              <w:tab w:val="right" w:leader="dot" w:pos="8505"/>
            </w:tabs>
          </w:pP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HYPERLINK \l _Toc5839 </w:instrText>
          </w:r>
          <w:r>
            <w:rPr>
              <w:rFonts w:hint="eastAsia"/>
            </w:rPr>
            <w:fldChar w:fldCharType="separate"/>
          </w:r>
          <w:r>
            <w:rPr>
              <w:rFonts w:hint="default"/>
            </w:rPr>
            <w:t xml:space="preserve">二、 </w:t>
          </w:r>
          <w:r>
            <w:rPr>
              <w:rFonts w:hint="eastAsia"/>
            </w:rPr>
            <w:t>引用标准</w:t>
          </w:r>
          <w:r>
            <w:tab/>
          </w:r>
          <w:r>
            <w:fldChar w:fldCharType="begin"/>
          </w:r>
          <w:r>
            <w:instrText xml:space="preserve"> PAGEREF _Toc5839 \h </w:instrText>
          </w:r>
          <w:r>
            <w:fldChar w:fldCharType="separate"/>
          </w:r>
          <w:r>
            <w:t>- 3 -</w:t>
          </w:r>
          <w:r>
            <w:fldChar w:fldCharType="end"/>
          </w:r>
          <w:r>
            <w:rPr>
              <w:rFonts w:hint="eastAsia"/>
            </w:rPr>
            <w:fldChar w:fldCharType="end"/>
          </w:r>
        </w:p>
        <w:p>
          <w:pPr>
            <w:pStyle w:val="34"/>
            <w:tabs>
              <w:tab w:val="right" w:leader="dot" w:pos="8505"/>
            </w:tabs>
            <w:rPr>
              <w:b/>
            </w:rPr>
          </w:pPr>
          <w:r>
            <w:rPr>
              <w:rFonts w:hint="eastAsia"/>
              <w:b/>
            </w:rPr>
            <w:fldChar w:fldCharType="begin"/>
          </w:r>
          <w:r>
            <w:rPr>
              <w:rFonts w:hint="eastAsia"/>
              <w:b/>
            </w:rPr>
            <w:instrText xml:space="preserve"> HYPERLINK \l _Toc24314 </w:instrText>
          </w:r>
          <w:r>
            <w:rPr>
              <w:rFonts w:hint="eastAsia"/>
              <w:b/>
            </w:rPr>
            <w:fldChar w:fldCharType="separate"/>
          </w:r>
          <w:r>
            <w:rPr>
              <w:rFonts w:hint="eastAsia"/>
              <w:b/>
            </w:rPr>
            <w:t>第</w:t>
          </w:r>
          <w:r>
            <w:rPr>
              <w:rFonts w:hint="eastAsia"/>
              <w:b/>
              <w:lang w:val="en-US" w:eastAsia="zh-CN"/>
            </w:rPr>
            <w:t>二</w:t>
          </w:r>
          <w:r>
            <w:rPr>
              <w:rFonts w:hint="eastAsia"/>
              <w:b/>
            </w:rPr>
            <w:t>章 微机综合保护装置技术要求</w:t>
          </w:r>
          <w:r>
            <w:rPr>
              <w:b/>
            </w:rPr>
            <w:tab/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PAGEREF _Toc24314 \h </w:instrText>
          </w:r>
          <w:r>
            <w:rPr>
              <w:b/>
            </w:rPr>
            <w:fldChar w:fldCharType="separate"/>
          </w:r>
          <w:r>
            <w:rPr>
              <w:b/>
            </w:rPr>
            <w:t>- 4 -</w:t>
          </w:r>
          <w:r>
            <w:rPr>
              <w:b/>
            </w:rPr>
            <w:fldChar w:fldCharType="end"/>
          </w:r>
          <w:r>
            <w:rPr>
              <w:rFonts w:hint="eastAsia"/>
              <w:b/>
            </w:rPr>
            <w:fldChar w:fldCharType="end"/>
          </w:r>
        </w:p>
        <w:p>
          <w:pPr>
            <w:pStyle w:val="35"/>
            <w:tabs>
              <w:tab w:val="right" w:leader="dot" w:pos="8505"/>
            </w:tabs>
          </w:pP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HYPERLINK \l _Toc16882 </w:instrText>
          </w:r>
          <w:r>
            <w:rPr>
              <w:rFonts w:hint="eastAsia"/>
            </w:rPr>
            <w:fldChar w:fldCharType="separate"/>
          </w:r>
          <w:r>
            <w:rPr>
              <w:rFonts w:hint="default"/>
            </w:rPr>
            <w:t xml:space="preserve">一、 </w:t>
          </w:r>
          <w:r>
            <w:rPr>
              <w:rFonts w:hint="eastAsia"/>
              <w:lang w:val="en-US" w:eastAsia="zh-CN"/>
            </w:rPr>
            <w:t>CSR010</w:t>
          </w:r>
          <w:r>
            <w:tab/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PAGEREF _Toc24314 \h </w:instrText>
          </w:r>
          <w:r>
            <w:rPr>
              <w:b/>
            </w:rPr>
            <w:fldChar w:fldCharType="separate"/>
          </w:r>
          <w:r>
            <w:rPr>
              <w:b/>
            </w:rPr>
            <w:t xml:space="preserve">- </w:t>
          </w:r>
          <w:r>
            <w:rPr>
              <w:rFonts w:hint="eastAsia"/>
              <w:b/>
              <w:lang w:val="en-US" w:eastAsia="zh-CN"/>
            </w:rPr>
            <w:t>5</w:t>
          </w:r>
          <w:r>
            <w:rPr>
              <w:b/>
            </w:rPr>
            <w:t xml:space="preserve"> -</w:t>
          </w:r>
          <w:r>
            <w:rPr>
              <w:b/>
            </w:rPr>
            <w:fldChar w:fldCharType="end"/>
          </w:r>
          <w:r>
            <w:rPr>
              <w:rFonts w:hint="eastAsia"/>
            </w:rPr>
            <w:fldChar w:fldCharType="end"/>
          </w:r>
        </w:p>
        <w:p>
          <w:pPr>
            <w:pStyle w:val="35"/>
            <w:tabs>
              <w:tab w:val="right" w:leader="dot" w:pos="8505"/>
            </w:tabs>
          </w:pP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HYPERLINK \l _Toc26771 </w:instrText>
          </w:r>
          <w:r>
            <w:rPr>
              <w:rFonts w:hint="eastAsia"/>
            </w:rPr>
            <w:fldChar w:fldCharType="separate"/>
          </w:r>
          <w:r>
            <w:rPr>
              <w:rFonts w:hint="default"/>
            </w:rPr>
            <w:t xml:space="preserve">二、 </w:t>
          </w:r>
          <w:r>
            <w:rPr>
              <w:rFonts w:hint="eastAsia"/>
            </w:rPr>
            <w:t>ST260E</w:t>
          </w:r>
          <w:r>
            <w:tab/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PAGEREF _Toc24314 \h </w:instrText>
          </w:r>
          <w:r>
            <w:rPr>
              <w:b/>
            </w:rPr>
            <w:fldChar w:fldCharType="separate"/>
          </w:r>
          <w:r>
            <w:rPr>
              <w:b/>
            </w:rPr>
            <w:t xml:space="preserve">- </w:t>
          </w:r>
          <w:r>
            <w:rPr>
              <w:rFonts w:hint="eastAsia"/>
              <w:b/>
              <w:lang w:val="en-US" w:eastAsia="zh-CN"/>
            </w:rPr>
            <w:t>7</w:t>
          </w:r>
          <w:r>
            <w:rPr>
              <w:b/>
            </w:rPr>
            <w:t xml:space="preserve"> -</w:t>
          </w:r>
          <w:r>
            <w:rPr>
              <w:b/>
            </w:rPr>
            <w:fldChar w:fldCharType="end"/>
          </w:r>
          <w:r>
            <w:rPr>
              <w:rFonts w:hint="eastAsia"/>
            </w:rPr>
            <w:fldChar w:fldCharType="end"/>
          </w:r>
        </w:p>
        <w:p>
          <w:pPr>
            <w:pStyle w:val="35"/>
            <w:tabs>
              <w:tab w:val="right" w:leader="dot" w:pos="8505"/>
            </w:tabs>
          </w:pP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HYPERLINK \l _Toc16453 </w:instrText>
          </w:r>
          <w:r>
            <w:rPr>
              <w:rFonts w:hint="eastAsia"/>
            </w:rPr>
            <w:fldChar w:fldCharType="separate"/>
          </w:r>
          <w:r>
            <w:rPr>
              <w:rFonts w:hint="default"/>
            </w:rPr>
            <w:t xml:space="preserve">三、 </w:t>
          </w:r>
          <w:r>
            <w:rPr>
              <w:rFonts w:hint="eastAsia"/>
            </w:rPr>
            <w:t>TSP600</w:t>
          </w:r>
          <w:r>
            <w:tab/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PAGEREF _Toc24314 \h </w:instrText>
          </w:r>
          <w:r>
            <w:rPr>
              <w:b/>
            </w:rPr>
            <w:fldChar w:fldCharType="separate"/>
          </w:r>
          <w:r>
            <w:rPr>
              <w:b/>
            </w:rPr>
            <w:t xml:space="preserve">- </w:t>
          </w:r>
          <w:r>
            <w:rPr>
              <w:rFonts w:hint="eastAsia"/>
              <w:b/>
              <w:lang w:val="en-US" w:eastAsia="zh-CN"/>
            </w:rPr>
            <w:t>9</w:t>
          </w:r>
          <w:r>
            <w:rPr>
              <w:b/>
            </w:rPr>
            <w:t xml:space="preserve"> -</w:t>
          </w:r>
          <w:r>
            <w:rPr>
              <w:b/>
            </w:rPr>
            <w:fldChar w:fldCharType="end"/>
          </w:r>
          <w:r>
            <w:rPr>
              <w:rFonts w:hint="eastAsia"/>
            </w:rPr>
            <w:fldChar w:fldCharType="end"/>
          </w:r>
        </w:p>
        <w:p>
          <w:pPr>
            <w:pStyle w:val="35"/>
            <w:tabs>
              <w:tab w:val="right" w:leader="dot" w:pos="8505"/>
            </w:tabs>
            <w:rPr>
              <w:rFonts w:hint="eastAsia"/>
            </w:rPr>
          </w:pP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HYPERLINK \l _Toc26591 </w:instrText>
          </w:r>
          <w:r>
            <w:rPr>
              <w:rFonts w:hint="eastAsia"/>
            </w:rPr>
            <w:fldChar w:fldCharType="separate"/>
          </w:r>
          <w:r>
            <w:rPr>
              <w:rFonts w:hint="default"/>
              <w:lang w:eastAsia="zh-CN"/>
            </w:rPr>
            <w:t xml:space="preserve">四、 </w:t>
          </w:r>
          <w:r>
            <w:rPr>
              <w:rFonts w:hint="eastAsia"/>
              <w:lang w:eastAsia="zh-CN"/>
            </w:rPr>
            <w:t>MP180E</w:t>
          </w:r>
          <w:r>
            <w:tab/>
          </w:r>
          <w:r>
            <w:fldChar w:fldCharType="begin"/>
          </w:r>
          <w:r>
            <w:instrText xml:space="preserve"> PAGEREF _Toc26591 \h </w:instrText>
          </w:r>
          <w:r>
            <w:fldChar w:fldCharType="separate"/>
          </w:r>
          <w:r>
            <w:t>- 1</w:t>
          </w:r>
          <w:r>
            <w:rPr>
              <w:rFonts w:hint="eastAsia"/>
              <w:lang w:val="en-US" w:eastAsia="zh-CN"/>
            </w:rPr>
            <w:t>0</w:t>
          </w:r>
          <w:r>
            <w:t xml:space="preserve"> -</w:t>
          </w:r>
          <w:r>
            <w:fldChar w:fldCharType="end"/>
          </w:r>
          <w:r>
            <w:rPr>
              <w:rFonts w:hint="eastAsia"/>
            </w:rPr>
            <w:fldChar w:fldCharType="end"/>
          </w:r>
        </w:p>
        <w:p>
          <w:pPr>
            <w:pStyle w:val="35"/>
            <w:tabs>
              <w:tab w:val="right" w:leader="dot" w:pos="8505"/>
            </w:tabs>
            <w:rPr>
              <w:rFonts w:hint="eastAsia"/>
            </w:rPr>
          </w:pP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HYPERLINK \l _Toc28851 </w:instrText>
          </w:r>
          <w:r>
            <w:rPr>
              <w:rFonts w:hint="eastAsia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五、 </w:t>
          </w:r>
          <w:r>
            <w:rPr>
              <w:rFonts w:hint="eastAsia"/>
              <w:lang w:val="en-US" w:eastAsia="zh-CN"/>
            </w:rPr>
            <w:t>供货期要求</w:t>
          </w:r>
          <w:r>
            <w:tab/>
          </w:r>
          <w:r>
            <w:fldChar w:fldCharType="begin"/>
          </w:r>
          <w:r>
            <w:instrText xml:space="preserve"> PAGEREF _Toc28851 \h </w:instrText>
          </w:r>
          <w:r>
            <w:fldChar w:fldCharType="separate"/>
          </w:r>
          <w:r>
            <w:t>- 12 -</w:t>
          </w:r>
          <w:r>
            <w:fldChar w:fldCharType="end"/>
          </w:r>
          <w:r>
            <w:rPr>
              <w:rFonts w:hint="eastAsia"/>
            </w:rPr>
            <w:fldChar w:fldCharType="end"/>
          </w:r>
        </w:p>
        <w:p>
          <w:pPr>
            <w:pStyle w:val="35"/>
            <w:tabs>
              <w:tab w:val="right" w:leader="dot" w:pos="8505"/>
            </w:tabs>
          </w:pP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HYPERLINK \l _Toc28851 </w:instrText>
          </w:r>
          <w:r>
            <w:rPr>
              <w:rFonts w:hint="eastAsia"/>
            </w:rPr>
            <w:fldChar w:fldCharType="separate"/>
          </w:r>
          <w:r>
            <w:rPr>
              <w:rFonts w:hint="eastAsia"/>
              <w:lang w:val="en-US" w:eastAsia="zh-CN"/>
            </w:rPr>
            <w:t>六</w:t>
          </w:r>
          <w:r>
            <w:rPr>
              <w:rFonts w:hint="default"/>
              <w:lang w:val="en-US" w:eastAsia="zh-CN"/>
            </w:rPr>
            <w:t xml:space="preserve">、 </w:t>
          </w:r>
          <w:r>
            <w:rPr>
              <w:rFonts w:hint="eastAsia"/>
              <w:lang w:val="en-US" w:eastAsia="zh-CN"/>
            </w:rPr>
            <w:t>质保期要求</w:t>
          </w:r>
          <w:r>
            <w:tab/>
          </w:r>
          <w:r>
            <w:fldChar w:fldCharType="begin"/>
          </w:r>
          <w:r>
            <w:instrText xml:space="preserve"> PAGEREF _Toc28851 \h </w:instrText>
          </w:r>
          <w:r>
            <w:fldChar w:fldCharType="separate"/>
          </w:r>
          <w:r>
            <w:t>- 12 -</w:t>
          </w:r>
          <w:r>
            <w:fldChar w:fldCharType="end"/>
          </w:r>
          <w:r>
            <w:rPr>
              <w:rFonts w:hint="eastAsia"/>
            </w:rPr>
            <w:fldChar w:fldCharType="end"/>
          </w:r>
        </w:p>
        <w:p>
          <w:pPr>
            <w:pStyle w:val="34"/>
            <w:tabs>
              <w:tab w:val="right" w:leader="dot" w:pos="8505"/>
            </w:tabs>
            <w:rPr>
              <w:b/>
            </w:rPr>
          </w:pPr>
          <w:r>
            <w:rPr>
              <w:rFonts w:hint="eastAsia"/>
              <w:b/>
            </w:rPr>
            <w:fldChar w:fldCharType="begin"/>
          </w:r>
          <w:r>
            <w:rPr>
              <w:rFonts w:hint="eastAsia"/>
              <w:b/>
            </w:rPr>
            <w:instrText xml:space="preserve"> HYPERLINK \l _Toc29760 </w:instrText>
          </w:r>
          <w:r>
            <w:rPr>
              <w:rFonts w:hint="eastAsia"/>
              <w:b/>
            </w:rPr>
            <w:fldChar w:fldCharType="separate"/>
          </w:r>
          <w:r>
            <w:rPr>
              <w:rFonts w:hint="eastAsia"/>
              <w:b/>
            </w:rPr>
            <w:t>第</w:t>
          </w:r>
          <w:r>
            <w:rPr>
              <w:rFonts w:hint="eastAsia"/>
              <w:b/>
              <w:lang w:val="en-US" w:eastAsia="zh-CN"/>
            </w:rPr>
            <w:t>三</w:t>
          </w:r>
          <w:r>
            <w:rPr>
              <w:rFonts w:hint="eastAsia"/>
              <w:b/>
            </w:rPr>
            <w:t>章 检验</w:t>
          </w:r>
          <w:r>
            <w:rPr>
              <w:b/>
            </w:rPr>
            <w:tab/>
          </w:r>
          <w:r>
            <w:rPr>
              <w:rFonts w:hint="eastAsia"/>
              <w:b/>
              <w:lang w:val="en-US" w:eastAsia="zh-CN"/>
            </w:rPr>
            <w:t>..</w: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PAGEREF _Toc29760 \h </w:instrText>
          </w:r>
          <w:r>
            <w:rPr>
              <w:b/>
            </w:rPr>
            <w:fldChar w:fldCharType="separate"/>
          </w:r>
          <w:r>
            <w:rPr>
              <w:b/>
            </w:rPr>
            <w:t>- 12 -</w:t>
          </w:r>
          <w:r>
            <w:rPr>
              <w:b/>
            </w:rPr>
            <w:fldChar w:fldCharType="end"/>
          </w:r>
          <w:r>
            <w:rPr>
              <w:rFonts w:hint="eastAsia"/>
              <w:b/>
            </w:rPr>
            <w:fldChar w:fldCharType="end"/>
          </w:r>
        </w:p>
        <w:p>
          <w:pPr>
            <w:pStyle w:val="35"/>
            <w:tabs>
              <w:tab w:val="right" w:leader="dot" w:pos="8505"/>
            </w:tabs>
          </w:pP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HYPERLINK \l _Toc30896 </w:instrText>
          </w:r>
          <w:r>
            <w:rPr>
              <w:rFonts w:hint="eastAsia"/>
            </w:rPr>
            <w:fldChar w:fldCharType="separate"/>
          </w:r>
          <w:r>
            <w:rPr>
              <w:rFonts w:hint="default"/>
            </w:rPr>
            <w:t xml:space="preserve">一、 </w:t>
          </w:r>
          <w:r>
            <w:rPr>
              <w:rFonts w:hint="eastAsia"/>
            </w:rPr>
            <w:t>微机综合保护装置检验</w:t>
          </w:r>
          <w:r>
            <w:tab/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PAGEREF _Toc29760 \h </w:instrText>
          </w:r>
          <w:r>
            <w:rPr>
              <w:b/>
            </w:rPr>
            <w:fldChar w:fldCharType="separate"/>
          </w:r>
          <w:r>
            <w:rPr>
              <w:b/>
            </w:rPr>
            <w:t>- 1</w:t>
          </w:r>
          <w:r>
            <w:rPr>
              <w:rFonts w:hint="eastAsia"/>
              <w:b/>
              <w:lang w:val="en-US" w:eastAsia="zh-CN"/>
            </w:rPr>
            <w:t>3</w:t>
          </w:r>
          <w:r>
            <w:rPr>
              <w:b/>
            </w:rPr>
            <w:t xml:space="preserve"> -</w:t>
          </w:r>
          <w:r>
            <w:rPr>
              <w:b/>
            </w:rPr>
            <w:fldChar w:fldCharType="end"/>
          </w:r>
          <w:r>
            <w:rPr>
              <w:rFonts w:hint="eastAsia"/>
            </w:rPr>
            <w:fldChar w:fldCharType="end"/>
          </w:r>
        </w:p>
        <w:p>
          <w:pPr>
            <w:pStyle w:val="34"/>
            <w:tabs>
              <w:tab w:val="right" w:leader="dot" w:pos="8505"/>
            </w:tabs>
            <w:rPr>
              <w:b/>
            </w:rPr>
          </w:pPr>
          <w:r>
            <w:rPr>
              <w:rFonts w:hint="eastAsia"/>
              <w:b/>
            </w:rPr>
            <w:fldChar w:fldCharType="begin"/>
          </w:r>
          <w:r>
            <w:rPr>
              <w:rFonts w:hint="eastAsia"/>
              <w:b/>
            </w:rPr>
            <w:instrText xml:space="preserve"> HYPERLINK \l _Toc17368 </w:instrText>
          </w:r>
          <w:r>
            <w:rPr>
              <w:rFonts w:hint="eastAsia"/>
              <w:b/>
            </w:rPr>
            <w:fldChar w:fldCharType="separate"/>
          </w:r>
          <w:r>
            <w:rPr>
              <w:rFonts w:hint="eastAsia"/>
              <w:b/>
            </w:rPr>
            <w:t>第</w:t>
          </w:r>
          <w:r>
            <w:rPr>
              <w:rFonts w:hint="eastAsia"/>
              <w:b/>
              <w:lang w:val="en-US" w:eastAsia="zh-CN"/>
            </w:rPr>
            <w:t>四</w:t>
          </w:r>
          <w:r>
            <w:rPr>
              <w:rFonts w:hint="eastAsia"/>
              <w:b/>
            </w:rPr>
            <w:t>章 验收与运输</w:t>
          </w:r>
          <w:r>
            <w:rPr>
              <w:b/>
            </w:rPr>
            <w:tab/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PAGEREF _Toc17368 \h </w:instrText>
          </w:r>
          <w:r>
            <w:rPr>
              <w:b/>
            </w:rPr>
            <w:fldChar w:fldCharType="separate"/>
          </w:r>
          <w:r>
            <w:rPr>
              <w:b/>
            </w:rPr>
            <w:t>- 14 -</w:t>
          </w:r>
          <w:r>
            <w:rPr>
              <w:b/>
            </w:rPr>
            <w:fldChar w:fldCharType="end"/>
          </w:r>
          <w:r>
            <w:rPr>
              <w:rFonts w:hint="eastAsia"/>
              <w:b/>
            </w:rPr>
            <w:fldChar w:fldCharType="end"/>
          </w:r>
        </w:p>
        <w:p>
          <w:pPr>
            <w:pStyle w:val="35"/>
            <w:tabs>
              <w:tab w:val="right" w:leader="dot" w:pos="8505"/>
            </w:tabs>
          </w:pP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HYPERLINK \l _Toc5507 </w:instrText>
          </w:r>
          <w:r>
            <w:rPr>
              <w:rFonts w:hint="eastAsia"/>
            </w:rPr>
            <w:fldChar w:fldCharType="separate"/>
          </w:r>
          <w:r>
            <w:rPr>
              <w:rFonts w:hint="default"/>
            </w:rPr>
            <w:t xml:space="preserve">一、 </w:t>
          </w:r>
          <w:r>
            <w:rPr>
              <w:rFonts w:hint="eastAsia"/>
            </w:rPr>
            <w:t>验收</w:t>
          </w:r>
          <w:r>
            <w:tab/>
          </w:r>
          <w:r>
            <w:fldChar w:fldCharType="begin"/>
          </w:r>
          <w:r>
            <w:instrText xml:space="preserve"> PAGEREF _Toc5507 \h </w:instrText>
          </w:r>
          <w:r>
            <w:fldChar w:fldCharType="separate"/>
          </w:r>
          <w:r>
            <w:t>- 14 -</w:t>
          </w:r>
          <w:r>
            <w:fldChar w:fldCharType="end"/>
          </w:r>
          <w:r>
            <w:rPr>
              <w:rFonts w:hint="eastAsia"/>
            </w:rPr>
            <w:fldChar w:fldCharType="end"/>
          </w:r>
        </w:p>
        <w:p>
          <w:pPr>
            <w:pStyle w:val="35"/>
            <w:tabs>
              <w:tab w:val="right" w:leader="dot" w:pos="8505"/>
            </w:tabs>
          </w:pP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HYPERLINK \l _Toc21369 </w:instrText>
          </w:r>
          <w:r>
            <w:rPr>
              <w:rFonts w:hint="eastAsia"/>
            </w:rPr>
            <w:fldChar w:fldCharType="separate"/>
          </w:r>
          <w:r>
            <w:rPr>
              <w:rFonts w:hint="eastAsia"/>
            </w:rPr>
            <w:t>二、</w:t>
          </w:r>
          <w:r>
            <w:rPr>
              <w:rFonts w:hint="eastAsia"/>
              <w:lang w:val="en-US" w:eastAsia="zh-CN"/>
            </w:rPr>
            <w:t xml:space="preserve"> </w:t>
          </w:r>
          <w:r>
            <w:rPr>
              <w:rFonts w:hint="eastAsia"/>
            </w:rPr>
            <w:t>标志、运输</w:t>
          </w:r>
          <w:r>
            <w:tab/>
          </w:r>
          <w:r>
            <w:fldChar w:fldCharType="begin"/>
          </w:r>
          <w:r>
            <w:instrText xml:space="preserve"> PAGEREF _Toc21369 \h </w:instrText>
          </w:r>
          <w:r>
            <w:fldChar w:fldCharType="separate"/>
          </w:r>
          <w:r>
            <w:t>- 14 -</w:t>
          </w:r>
          <w:r>
            <w:fldChar w:fldCharType="end"/>
          </w:r>
          <w:r>
            <w:rPr>
              <w:rFonts w:hint="eastAsia"/>
            </w:rPr>
            <w:fldChar w:fldCharType="end"/>
          </w:r>
        </w:p>
        <w:p>
          <w:pPr>
            <w:pStyle w:val="34"/>
            <w:tabs>
              <w:tab w:val="right" w:leader="dot" w:pos="8505"/>
            </w:tabs>
            <w:rPr>
              <w:b/>
            </w:rPr>
          </w:pPr>
          <w:r>
            <w:rPr>
              <w:rFonts w:hint="eastAsia"/>
              <w:b/>
            </w:rPr>
            <w:fldChar w:fldCharType="begin"/>
          </w:r>
          <w:r>
            <w:rPr>
              <w:rFonts w:hint="eastAsia"/>
              <w:b/>
            </w:rPr>
            <w:instrText xml:space="preserve"> HYPERLINK \l _Toc2661 </w:instrText>
          </w:r>
          <w:r>
            <w:rPr>
              <w:rFonts w:hint="eastAsia"/>
              <w:b/>
            </w:rPr>
            <w:fldChar w:fldCharType="separate"/>
          </w:r>
          <w:r>
            <w:rPr>
              <w:rFonts w:hint="eastAsia"/>
              <w:b/>
            </w:rPr>
            <w:t>第</w:t>
          </w:r>
          <w:r>
            <w:rPr>
              <w:rFonts w:hint="eastAsia"/>
              <w:b/>
              <w:lang w:val="en-US" w:eastAsia="zh-CN"/>
            </w:rPr>
            <w:t>五</w:t>
          </w:r>
          <w:r>
            <w:rPr>
              <w:rFonts w:hint="eastAsia"/>
              <w:b/>
            </w:rPr>
            <w:t>章 售后服务</w:t>
          </w:r>
          <w:r>
            <w:rPr>
              <w:b/>
            </w:rPr>
            <w:tab/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PAGEREF _Toc2661 \h </w:instrText>
          </w:r>
          <w:r>
            <w:rPr>
              <w:b/>
            </w:rPr>
            <w:fldChar w:fldCharType="separate"/>
          </w:r>
          <w:r>
            <w:rPr>
              <w:b/>
            </w:rPr>
            <w:t>- 14 -</w:t>
          </w:r>
          <w:r>
            <w:rPr>
              <w:b/>
            </w:rPr>
            <w:fldChar w:fldCharType="end"/>
          </w:r>
          <w:r>
            <w:rPr>
              <w:rFonts w:hint="eastAsia"/>
              <w:b/>
            </w:rPr>
            <w:fldChar w:fldCharType="end"/>
          </w:r>
        </w:p>
        <w:p>
          <w:pPr>
            <w:pStyle w:val="2"/>
            <w:bidi w:val="0"/>
            <w:jc w:val="center"/>
            <w:outlineLvl w:val="9"/>
            <w:rPr>
              <w:rFonts w:hint="eastAsia"/>
            </w:rPr>
          </w:pPr>
          <w:r>
            <w:rPr>
              <w:rFonts w:hint="eastAsia"/>
              <w:b/>
            </w:rPr>
            <w:fldChar w:fldCharType="end"/>
          </w:r>
        </w:p>
      </w:sdtContent>
    </w:sdt>
    <w:p>
      <w:pPr>
        <w:rPr>
          <w:rFonts w:hint="eastAsia"/>
        </w:rPr>
      </w:pPr>
      <w:bookmarkStart w:id="0" w:name="_Toc26893"/>
      <w:r>
        <w:rPr>
          <w:rFonts w:hint="eastAsia"/>
        </w:rPr>
        <w:br w:type="page"/>
      </w:r>
    </w:p>
    <w:p>
      <w:pPr>
        <w:pStyle w:val="2"/>
        <w:bidi w:val="0"/>
        <w:jc w:val="center"/>
      </w:pPr>
      <w:r>
        <w:rPr>
          <w:rFonts w:hint="eastAsia"/>
        </w:rPr>
        <w:t>第一章 总则</w:t>
      </w:r>
      <w:bookmarkEnd w:id="0"/>
    </w:p>
    <w:p>
      <w:pPr>
        <w:pStyle w:val="3"/>
        <w:numPr>
          <w:ilvl w:val="0"/>
          <w:numId w:val="2"/>
        </w:numPr>
        <w:bidi w:val="0"/>
      </w:pPr>
      <w:bookmarkStart w:id="1" w:name="_Toc9460"/>
      <w:r>
        <w:rPr>
          <w:rFonts w:hint="eastAsia"/>
        </w:rPr>
        <w:t>范围</w:t>
      </w:r>
      <w:bookmarkEnd w:id="1"/>
    </w:p>
    <w:p>
      <w:pPr>
        <w:autoSpaceDE w:val="0"/>
        <w:autoSpaceDN w:val="0"/>
        <w:adjustRightInd w:val="0"/>
        <w:spacing w:line="360" w:lineRule="auto"/>
        <w:ind w:firstLine="539" w:firstLineChars="257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本规范规定了微机综合保护装置的分类、结构及型号、技术要求、检验与厂验、质量体系、技术文件等工程技术要求，还描述了微机综合保护装置的技术参数要求。</w:t>
      </w:r>
    </w:p>
    <w:p>
      <w:pPr>
        <w:autoSpaceDE w:val="0"/>
        <w:autoSpaceDN w:val="0"/>
        <w:adjustRightInd w:val="0"/>
        <w:spacing w:line="360" w:lineRule="auto"/>
        <w:ind w:firstLine="539" w:firstLineChars="257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本规范适用于通信工程建设的设计、施工、监理、器材采购、参选文件和验收使用。</w:t>
      </w:r>
    </w:p>
    <w:p>
      <w:pPr>
        <w:autoSpaceDE w:val="0"/>
        <w:autoSpaceDN w:val="0"/>
        <w:adjustRightInd w:val="0"/>
        <w:spacing w:line="360" w:lineRule="auto"/>
        <w:ind w:firstLine="539" w:firstLineChars="257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本规范适用于室内、外通信光、管道系统，包括长途网、本地网、城域网、驻地网和专用网等建设。</w:t>
      </w:r>
    </w:p>
    <w:p>
      <w:pPr>
        <w:pStyle w:val="3"/>
        <w:numPr>
          <w:ilvl w:val="0"/>
          <w:numId w:val="2"/>
        </w:numPr>
        <w:bidi w:val="0"/>
      </w:pPr>
      <w:bookmarkStart w:id="2" w:name="_Toc5839"/>
      <w:r>
        <w:rPr>
          <w:rFonts w:hint="eastAsia"/>
        </w:rPr>
        <w:t>引用标准</w:t>
      </w:r>
      <w:bookmarkEnd w:id="2"/>
    </w:p>
    <w:p>
      <w:pPr>
        <w:autoSpaceDE w:val="0"/>
        <w:autoSpaceDN w:val="0"/>
        <w:adjustRightInd w:val="0"/>
        <w:spacing w:line="360" w:lineRule="auto"/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下列标准所规定的条文，通过在本规范中引用而构成为本规范的条文。</w:t>
      </w:r>
    </w:p>
    <w:p>
      <w:pPr>
        <w:autoSpaceDE w:val="0"/>
        <w:autoSpaceDN w:val="0"/>
        <w:adjustRightInd w:val="0"/>
        <w:spacing w:line="360" w:lineRule="auto"/>
        <w:ind w:firstLine="539" w:firstLineChars="257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GB/T15145-2001《微机线路保护装置通用技术条件》</w:t>
      </w:r>
    </w:p>
    <w:p>
      <w:pPr>
        <w:autoSpaceDE w:val="0"/>
        <w:autoSpaceDN w:val="0"/>
        <w:adjustRightInd w:val="0"/>
        <w:spacing w:line="360" w:lineRule="auto"/>
        <w:ind w:firstLine="539" w:firstLineChars="257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GB6162-85 《静态继电器及保护装置的电气干扰试验》</w:t>
      </w:r>
    </w:p>
    <w:p>
      <w:pPr>
        <w:autoSpaceDE w:val="0"/>
        <w:autoSpaceDN w:val="0"/>
        <w:adjustRightInd w:val="0"/>
        <w:spacing w:line="360" w:lineRule="auto"/>
        <w:ind w:firstLine="539" w:firstLineChars="257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GB7261-87 《继电器及继电保护装置基本试验方法》</w:t>
      </w:r>
    </w:p>
    <w:p>
      <w:pPr>
        <w:autoSpaceDE w:val="0"/>
        <w:autoSpaceDN w:val="0"/>
        <w:adjustRightInd w:val="0"/>
        <w:spacing w:line="360" w:lineRule="auto"/>
        <w:ind w:firstLine="539" w:firstLineChars="257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GB2887-89 《计算机站场地技术条件》</w:t>
      </w:r>
    </w:p>
    <w:p>
      <w:pPr>
        <w:autoSpaceDE w:val="0"/>
        <w:autoSpaceDN w:val="0"/>
        <w:adjustRightInd w:val="0"/>
        <w:spacing w:line="360" w:lineRule="auto"/>
        <w:ind w:firstLine="539" w:firstLineChars="257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GB 14258-93 《继电保护和安全自动化装置技术规程》</w:t>
      </w:r>
    </w:p>
    <w:p>
      <w:pPr>
        <w:autoSpaceDE w:val="0"/>
        <w:autoSpaceDN w:val="0"/>
        <w:adjustRightInd w:val="0"/>
        <w:spacing w:line="360" w:lineRule="auto"/>
        <w:ind w:firstLine="539" w:firstLineChars="257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GB 50062-92 《电力装置的继电保护和自动化装置设计规范》</w:t>
      </w:r>
    </w:p>
    <w:p>
      <w:pPr>
        <w:autoSpaceDE w:val="0"/>
        <w:autoSpaceDN w:val="0"/>
        <w:adjustRightInd w:val="0"/>
        <w:spacing w:line="360" w:lineRule="auto"/>
        <w:ind w:firstLine="539" w:firstLineChars="257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DL/T 527-2002 《静态继电保护装置逆变电源技术》</w:t>
      </w:r>
    </w:p>
    <w:p>
      <w:pPr>
        <w:autoSpaceDE w:val="0"/>
        <w:autoSpaceDN w:val="0"/>
        <w:adjustRightInd w:val="0"/>
        <w:spacing w:line="360" w:lineRule="auto"/>
        <w:ind w:firstLine="539" w:firstLineChars="257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IE870-5-103 《继电保护信息接口标准》</w:t>
      </w:r>
    </w:p>
    <w:p>
      <w:pPr>
        <w:autoSpaceDE w:val="0"/>
        <w:autoSpaceDN w:val="0"/>
        <w:adjustRightInd w:val="0"/>
        <w:spacing w:line="360" w:lineRule="auto"/>
        <w:ind w:firstLine="539" w:firstLineChars="257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GB /T15145-94 《微机线路保护装置通用技术条件》</w:t>
      </w:r>
    </w:p>
    <w:p>
      <w:pPr>
        <w:autoSpaceDE w:val="0"/>
        <w:autoSpaceDN w:val="0"/>
        <w:adjustRightInd w:val="0"/>
        <w:spacing w:line="360" w:lineRule="auto"/>
        <w:ind w:firstLine="539" w:firstLineChars="257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GB/T16435.1-1996《远动设备及系统和接口（电气特征）》</w:t>
      </w:r>
    </w:p>
    <w:p>
      <w:pPr>
        <w:autoSpaceDE w:val="0"/>
        <w:autoSpaceDN w:val="0"/>
        <w:adjustRightInd w:val="0"/>
        <w:spacing w:line="360" w:lineRule="auto"/>
        <w:ind w:firstLine="539" w:firstLineChars="257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GB /T17626.2 《静电放电抗扰度试验》</w:t>
      </w:r>
    </w:p>
    <w:p>
      <w:pPr>
        <w:autoSpaceDE w:val="0"/>
        <w:autoSpaceDN w:val="0"/>
        <w:adjustRightInd w:val="0"/>
        <w:spacing w:line="360" w:lineRule="auto"/>
        <w:ind w:firstLine="539" w:firstLineChars="257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GB /T17626.3 《射频电磁场辐射抗扰度试验》</w:t>
      </w:r>
    </w:p>
    <w:p>
      <w:pPr>
        <w:autoSpaceDE w:val="0"/>
        <w:autoSpaceDN w:val="0"/>
        <w:adjustRightInd w:val="0"/>
        <w:spacing w:line="360" w:lineRule="auto"/>
        <w:ind w:firstLine="539" w:firstLineChars="257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GB/T17626.4 《电快速瞬变脉冲群抗扰度试验》</w:t>
      </w:r>
    </w:p>
    <w:p>
      <w:pPr>
        <w:autoSpaceDE w:val="0"/>
        <w:autoSpaceDN w:val="0"/>
        <w:adjustRightInd w:val="0"/>
        <w:spacing w:line="360" w:lineRule="auto"/>
        <w:ind w:firstLine="539" w:firstLineChars="257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GB/T17626.5 《浪涌冲击抗扰度试验》</w:t>
      </w:r>
    </w:p>
    <w:p>
      <w:pPr>
        <w:autoSpaceDE w:val="0"/>
        <w:autoSpaceDN w:val="0"/>
        <w:adjustRightInd w:val="0"/>
        <w:spacing w:line="360" w:lineRule="auto"/>
        <w:ind w:firstLine="539" w:firstLineChars="257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GB /T17626.6 《射频场感应的传导骚扰抗扰度试验》</w:t>
      </w:r>
    </w:p>
    <w:p>
      <w:pPr>
        <w:autoSpaceDE w:val="0"/>
        <w:autoSpaceDN w:val="0"/>
        <w:adjustRightInd w:val="0"/>
        <w:spacing w:line="360" w:lineRule="auto"/>
        <w:ind w:firstLine="539" w:firstLineChars="257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GB/T17626.8 《工频磁场抗扰度试验》</w:t>
      </w:r>
    </w:p>
    <w:p>
      <w:pPr>
        <w:autoSpaceDE w:val="0"/>
        <w:autoSpaceDN w:val="0"/>
        <w:adjustRightInd w:val="0"/>
        <w:spacing w:line="360" w:lineRule="auto"/>
        <w:ind w:firstLine="539" w:firstLineChars="257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GB /T17626-1998《电磁兼容试验和测量技术》</w:t>
      </w:r>
    </w:p>
    <w:p>
      <w:pPr>
        <w:autoSpaceDE w:val="0"/>
        <w:autoSpaceDN w:val="0"/>
        <w:adjustRightInd w:val="0"/>
        <w:spacing w:line="360" w:lineRule="auto"/>
        <w:ind w:firstLine="539" w:firstLineChars="257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GB/T14537-1993 《量度继电器和保护装置的冲击与碰撞试验》</w:t>
      </w:r>
    </w:p>
    <w:p>
      <w:pPr>
        <w:pStyle w:val="2"/>
        <w:bidi w:val="0"/>
        <w:rPr>
          <w:rFonts w:hint="eastAsia"/>
        </w:rPr>
      </w:pPr>
      <w:bookmarkStart w:id="3" w:name="_Toc24314"/>
      <w:r>
        <w:rPr>
          <w:rFonts w:hint="eastAsia"/>
        </w:rPr>
        <w:t>第</w:t>
      </w:r>
      <w:r>
        <w:rPr>
          <w:rFonts w:hint="eastAsia"/>
          <w:lang w:val="en-US" w:eastAsia="zh-CN"/>
        </w:rPr>
        <w:t>二</w:t>
      </w:r>
      <w:r>
        <w:rPr>
          <w:rFonts w:hint="eastAsia"/>
        </w:rPr>
        <w:t>章 微机综合保护装置</w:t>
      </w:r>
      <w:r>
        <w:rPr>
          <w:rFonts w:hint="eastAsia"/>
          <w:lang w:val="en-US" w:eastAsia="zh-CN"/>
        </w:rPr>
        <w:t>等</w:t>
      </w:r>
      <w:r>
        <w:rPr>
          <w:rFonts w:hint="eastAsia"/>
        </w:rPr>
        <w:t>技术要求</w:t>
      </w:r>
      <w:bookmarkEnd w:id="3"/>
    </w:p>
    <w:p>
      <w:pPr>
        <w:rPr>
          <w:rFonts w:hint="default" w:ascii="Arial" w:hAnsi="Arial" w:eastAsia="黑体" w:cs="Times New Roman"/>
          <w:b/>
          <w:kern w:val="2"/>
          <w:sz w:val="28"/>
          <w:szCs w:val="20"/>
          <w:lang w:val="en-US" w:eastAsia="zh-CN" w:bidi="ar-SA"/>
        </w:rPr>
      </w:pPr>
      <w:r>
        <w:rPr>
          <w:rFonts w:hint="eastAsia" w:ascii="Arial" w:hAnsi="Arial" w:eastAsia="黑体" w:cs="Times New Roman"/>
          <w:b/>
          <w:kern w:val="2"/>
          <w:sz w:val="28"/>
          <w:szCs w:val="20"/>
          <w:lang w:val="en-US" w:eastAsia="zh-CN" w:bidi="ar-SA"/>
        </w:rPr>
        <w:t>一、CSR010技术要求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CSR010</w:t>
      </w:r>
    </w:p>
    <w:p>
      <w:pPr>
        <w:pStyle w:val="4"/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567" w:leftChars="0" w:hanging="567" w:firstLineChars="0"/>
        <w:textAlignment w:val="auto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工作环境条件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工作温度 -20°C~70°C存储温度 -40°C~ 85°C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相对湿度：5%~95%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大气压力：70 KPa~110KPa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海拔高度：不大于 3500m</w:t>
      </w:r>
    </w:p>
    <w:p>
      <w:pPr>
        <w:pStyle w:val="4"/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567" w:leftChars="0" w:hanging="567" w:firstLineChars="0"/>
        <w:textAlignment w:val="auto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电气技术参数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 xml:space="preserve">交流电流： 5A/1A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工作频率： 50Hz/60Hz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leftChars="0" w:firstLine="0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工作电源： DC48V，±20% 测试用电源自供电，由相电流互感器取电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过载能力：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 xml:space="preserve">电流回路 长期运行------2In、10s--------------10In、1s---------------20In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功率消耗：外部电源供电时平均功率不大于 2W自供电时不大于 1VA（装置启动功率不大于 0.2VA）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整定范围：相间电流： 0.10A ~ 99.99A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零序电流：0.01A ~ 5.99A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整定误差：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电流整定值误差： &lt; 3%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零序电流整定值误差： &lt; 0.5%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时间整定值误差： &lt; 40 mS 或 ±1%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反时限时间整定值误差：&lt; 40mS或±2%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开入回路：电压由装置内部提供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开出接点：触电输出点寿命 50000 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通讯接口：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通讯接口 1--RS-232，面板调试通讯接口，为可选配置</w:t>
      </w:r>
    </w:p>
    <w:p>
      <w:p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通讯接口 2--RS-485，背后端子总线接口，为可选配置</w:t>
      </w:r>
    </w:p>
    <w:p>
      <w:pPr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1.3满足自主可控要求</w:t>
      </w:r>
    </w:p>
    <w:p>
      <w:p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该设备涉及的主要芯片产品（处理器、DRAM、AD/DA、Flash）需要满足自主可控要求。</w:t>
      </w:r>
    </w:p>
    <w:p>
      <w:pPr>
        <w:rPr>
          <w:rFonts w:hint="eastAsia" w:ascii="Arial" w:hAnsi="Arial" w:eastAsia="黑体" w:cs="Times New Roman"/>
          <w:b/>
          <w:kern w:val="2"/>
          <w:sz w:val="28"/>
          <w:szCs w:val="20"/>
          <w:lang w:val="en-US" w:eastAsia="zh-CN" w:bidi="ar-SA"/>
        </w:rPr>
      </w:pPr>
    </w:p>
    <w:p>
      <w:pPr>
        <w:rPr>
          <w:rFonts w:hint="eastAsia" w:ascii="Arial" w:hAnsi="Arial" w:eastAsia="黑体" w:cs="Times New Roman"/>
          <w:b/>
          <w:kern w:val="2"/>
          <w:sz w:val="28"/>
          <w:szCs w:val="20"/>
          <w:lang w:val="en-US" w:eastAsia="zh-CN" w:bidi="ar-SA"/>
        </w:rPr>
      </w:pPr>
      <w:r>
        <w:rPr>
          <w:rFonts w:hint="eastAsia" w:ascii="Arial" w:hAnsi="Arial" w:eastAsia="黑体" w:cs="Times New Roman"/>
          <w:b/>
          <w:kern w:val="2"/>
          <w:sz w:val="28"/>
          <w:szCs w:val="20"/>
          <w:lang w:val="en-US" w:eastAsia="zh-CN" w:bidi="ar-SA"/>
        </w:rPr>
        <w:t>二、GRT-Z100技术要求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textAlignment w:val="auto"/>
        <w:rPr>
          <w:rFonts w:hint="eastAsia" w:ascii="宋体" w:hAnsi="宋体" w:cs="宋体"/>
          <w:b/>
          <w:bCs/>
          <w:color w:val="auto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1"/>
          <w:szCs w:val="21"/>
          <w:lang w:val="en-US" w:eastAsia="zh-CN"/>
        </w:rPr>
        <w:t>2</w:t>
      </w: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lang w:val="en-US" w:eastAsia="zh-CN"/>
        </w:rPr>
        <w:t>.GRT-Z100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auto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2.1  概述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GRT-Z100 自供电微机保护装置（以下简称保护装置）是专门针对于环网柜系统应用而设计，是一个可由 CT 自供电的保护继电器，该保护装置带反时限和定时限保护特性，具备三段组合式过流和接地故障保护功能，特别为带有断路器和极小额定输出电流的配电盘使用。可应用于母线、线路、配电变压器等保护场合。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2.2  特点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保护装置和专用的CT 及低能量跳闸线圈 组成了一个联合保护系统。保护装置结构紧凑，密封机箱，体积轻巧简单但性能可靠安全，抗干扰性能好，是免维护产品，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u 可以选择自供电功能（由电流互感器供电），免除因安装直流屏或 UPS  而带来的额外负担，同时也提供辅助电源工作接口。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u 整机采用极低功耗设计技术，保证保护功能在任何条件下可靠快速启动。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u 采用多层电路板设计，强弱电分开，抗干扰性能强，大大的提高了装置的运行可靠性。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u 分析功能丰富，包括保护动作事件记录，故障记录，开关动作事件记录，装置上电及停电时刻记录等。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u 装置具备完善的动静态自检功能，在线监视装置各部分工作状况，保证了装置的工作可靠性。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u 装置结构简单小巧，安装方便灵活，适合环网柜、充气柜的紧凑安装条件。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u 与专用自供电电流互感器配套使用，在一次侧通过小负荷电流时，系统即启动工作。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u 内置自动充放电管理控制的锂电池，为装置在无任何电源时提供大容量的后备工作时长。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2.3  环境条件：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2.3.1正常工作的大气条件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a)环境温度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装置运行环境温度      －10oC～+55oC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装置储存运输环境温度   －25oC～+70oC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b)相对湿度：5%~95%（相对湿度为 90%时，环境温度不低于 25℃, 装置内无凝结及冰形成）；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c)大气压力：86 kPa ~110kPa。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2.3.2 周围环境要求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a) 装置不承受太阳辐射、雨和水的冲洗，适应室内的有气候防护的环境；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b) 使用地点不得有爆炸危险的介质，周围不含有腐蚀金属和破坏绝缘的气体及导电介质；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c) 周围不允许有较严重的霉菌存在。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2.4 电气技术参数：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2.4.1额定数据: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辅助电源：AC86-264V/DC100-370V，或DC24-48V  频率：50Hz/60Hz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CT 自供电：由专用自供电电流互感器取电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2.4.2 功率消耗：     外部电源供电时平均功率不大于 3W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自供电时单相平均视在功率不大于 1.5VA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 xml:space="preserve">2.4.3  过载能力：     电流回路  长期运行---------2In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ind w:firstLine="3360" w:firstLineChars="1600"/>
        <w:jc w:val="left"/>
        <w:textAlignment w:val="auto"/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10s--------------10In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ind w:firstLine="3360" w:firstLineChars="1600"/>
        <w:jc w:val="left"/>
        <w:textAlignment w:val="auto"/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1s---------------40In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2.4.4 保护测量元件特性量的准确度：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电流定值误差：不大于±3%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激励量大于 1.2 倍定值时瞬时动作段动作时间不大于 40ms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小于 1s 的时间定值误差不大于 15ms，其它不大于 1.5%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返回系数不小于 0.9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2.4.5 开入回路：有源开入量（需提供 AC220V 电压，电流消耗〈5mA）或无源开入量，订货说明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2.4.6 开出接点：跳闸输出 DC24V 时长 80mS 脉冲；告警触点可连续通过 DC220V ，5A 电流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2.5满足自主可控要求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Arial" w:hAnsi="Arial" w:eastAsia="黑体" w:cs="Times New Roman"/>
          <w:b/>
          <w:kern w:val="2"/>
          <w:sz w:val="28"/>
          <w:szCs w:val="20"/>
          <w:lang w:val="en-US" w:eastAsia="zh-CN" w:bidi="ar-SA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该设备涉及的主要芯片产品（处理器、DRAM、AD/DA、Flash）需要满足自主可控要求。</w:t>
      </w:r>
      <w:r>
        <w:rPr>
          <w:rFonts w:hint="eastAsia" w:ascii="Arial" w:hAnsi="Arial" w:eastAsia="黑体" w:cs="Times New Roman"/>
          <w:b/>
          <w:kern w:val="2"/>
          <w:sz w:val="28"/>
          <w:szCs w:val="20"/>
          <w:lang w:val="en-US" w:eastAsia="zh-CN" w:bidi="ar-SA"/>
        </w:rPr>
        <w:br w:type="page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textAlignment w:val="auto"/>
        <w:rPr>
          <w:rFonts w:hint="default" w:ascii="Arial" w:hAnsi="Arial" w:eastAsia="黑体" w:cs="Times New Roman"/>
          <w:b/>
          <w:kern w:val="2"/>
          <w:sz w:val="28"/>
          <w:szCs w:val="20"/>
          <w:lang w:val="en-US" w:eastAsia="zh-CN" w:bidi="ar-SA"/>
        </w:rPr>
      </w:pPr>
      <w:r>
        <w:rPr>
          <w:rFonts w:hint="eastAsia" w:ascii="Arial" w:hAnsi="Arial" w:eastAsia="黑体" w:cs="Times New Roman"/>
          <w:b/>
          <w:kern w:val="2"/>
          <w:sz w:val="28"/>
          <w:szCs w:val="20"/>
          <w:lang w:val="en-US" w:eastAsia="zh-CN" w:bidi="ar-SA"/>
        </w:rPr>
        <w:t>三、MP180E技术要求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lang w:val="en-US" w:eastAsia="zh-CN"/>
        </w:rPr>
        <w:t>.MP180E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cs="宋体"/>
          <w:color w:val="auto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.1. 环境条件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● 工作环境温度：-20℃∽+50℃，24 小时内平均温度不超过+45℃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● 工作环境湿度：月平均最大相对湿度为 93%以下，机壳表面无凝露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● 工作环境： 没有导致金属或绝缘损坏的腐蚀性气体及较严重的尘埃和霉菌，无火灾、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爆炸危险的物质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● 储存、运输极限环境温度：-25℃∽+75℃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 xml:space="preserve">.2装置电源：20V~265V AC/DC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.3跳闸电压：48V DC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 xml:space="preserve">.4额定电流：5A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.5零序电流：5A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cs="宋体"/>
          <w:color w:val="auto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.6功率消耗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● 直流回路：不大于 5W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● 交流电压回路：不大于 0.5VA/相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● 交流电流回路：不大于 0.5VA/相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cs="宋体"/>
          <w:color w:val="auto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.7工作范围与精度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● A、B、C 相保护电流： 0.5A-100A，±3%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● A、B、C 相测量电流： 0.05A-6A，±0.5%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cs="宋体"/>
          <w:color w:val="auto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.8输出接点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● 出口接点容量：16A，250VAC/30VDC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● 信号接点容量：5A，250VAC/30VDC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● 工作寿命：动作 100,000 次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cs="宋体"/>
          <w:color w:val="auto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.9绝缘电阻、介质强度和冲击电压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● 绝缘电阻：≥50MΩ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● 介质强度：2KV，50HZ，1min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● 冲击电压：5KV，(1.2/50)µs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cs="宋体"/>
          <w:color w:val="auto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.10振动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符合 IEC60255-21-1 中 3.2.1、3.2.2 的有关规定。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cs="宋体"/>
          <w:color w:val="auto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.11冲击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符合 GB/T14537-1993 中 4.2.1、4.2.2 的有关规定。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cs="宋体"/>
          <w:color w:val="auto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.12碰撞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符合 GB/T14537-1993 中 4.3 的有关规定。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cs="宋体"/>
          <w:color w:val="auto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.13抗干扰性能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●辐射电磁场抗扰度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满足 GB/T15153.1-1998 中 3 级的要求。装置能承受工作频带以外 10V/m 强度的射频辐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射电磁场的骚扰不发生错误动作和损坏，并能正常工作。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●电快速瞬变脉冲群抗扰度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满足 GB/T15153.1-1998 中 4 级的要求。装置能承受电源回路 4kV,工频量及信号回路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2kV 传导性电快速瞬变脉冲群的骚扰而不发生错误动作和损坏，并能正常工作。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●振荡波抗扰度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满足 GB/T15153.1-1998 中 4 级的要求。在装置的信号输入回路和交流电源回路，施加共模电压 2.5kV、差模电压 1.25kV 的抗震荡波干扰，装置能正常工作。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●浪涌抗扰度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满足 GB/T15153.1-1998 中 4 级的要求。装置电源回路施加共摸对地 4kV、差模 2kV 浪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涌干扰电压和 1.2/50μs 波形情况下，装置能正常工作。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●静电放电抗扰度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满足 GB/T15153.1-1998 中 4 级的要求。装置承受加在其外壳和人员操作部分上的 8kV直接静电放电以及邻近设备的间接静电放电能正常工作，不发生错误动作和损坏，各项指标正常。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●工频磁场和阻尼振荡磁场抗扰度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满足 GB/T15153.1-1998 中 4 级的要求。装置在 100A/m 工频磁场和 100A/m 阻尼振荡磁场条件下能正常工作，各项性能指标正常。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●射频传导骚扰抗扰度及射频电磁场辐射抗扰度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装置在正常工作条件下，能承受频率为 150KHz-80MHz、电平为 10V射频传导骚扰，频率为 80MHz-1GHz 及 1.4GHz-2.7GHz、场强为 10V/m 的射频电磁场辐射而不发生错误动作和损坏。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●电压暂降和短时中断</w:t>
      </w:r>
    </w:p>
    <w:p>
      <w:pP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满足 GB/T15153.1-1998 中 2 级的要求。在无后备电源时，电源电压ΔU 为 100%，电压中断为 50ms 的条件下，装置能正常工作，不发生死机、错误动作或损坏，电源电压恢复后存储数据无变化，工作正常。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3.14满足自主可控要求</w:t>
      </w:r>
    </w:p>
    <w:p>
      <w:pPr>
        <w:rPr>
          <w:rFonts w:hint="eastAsia" w:ascii="Arial" w:hAnsi="Arial" w:eastAsia="黑体" w:cs="Times New Roman"/>
          <w:b/>
          <w:kern w:val="2"/>
          <w:sz w:val="28"/>
          <w:szCs w:val="20"/>
          <w:lang w:val="en-US" w:eastAsia="zh-CN" w:bidi="ar-SA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该设备涉及的主要芯片产品（处理器、DRAM、AD/DA、Flash）需要满足自主可控要求。</w:t>
      </w:r>
      <w:r>
        <w:rPr>
          <w:rFonts w:hint="eastAsia" w:ascii="Arial" w:hAnsi="Arial" w:eastAsia="黑体" w:cs="Times New Roman"/>
          <w:b/>
          <w:kern w:val="2"/>
          <w:sz w:val="28"/>
          <w:szCs w:val="20"/>
          <w:lang w:val="en-US" w:eastAsia="zh-CN" w:bidi="ar-SA"/>
        </w:rPr>
        <w:br w:type="page"/>
      </w:r>
    </w:p>
    <w:p>
      <w:pPr>
        <w:rPr>
          <w:rFonts w:hint="eastAsia" w:ascii="Arial" w:hAnsi="Arial" w:eastAsia="黑体" w:cs="Times New Roman"/>
          <w:b/>
          <w:kern w:val="2"/>
          <w:sz w:val="28"/>
          <w:szCs w:val="20"/>
          <w:lang w:val="en-US" w:eastAsia="zh-CN" w:bidi="ar-SA"/>
        </w:rPr>
      </w:pPr>
      <w:r>
        <w:rPr>
          <w:rFonts w:hint="eastAsia" w:ascii="Arial" w:hAnsi="Arial" w:eastAsia="黑体" w:cs="Times New Roman"/>
          <w:b/>
          <w:kern w:val="2"/>
          <w:sz w:val="28"/>
          <w:szCs w:val="20"/>
          <w:lang w:val="en-US" w:eastAsia="zh-CN" w:bidi="ar-SA"/>
        </w:rPr>
        <w:t>四、ST260E技术要求</w:t>
      </w:r>
    </w:p>
    <w:p>
      <w:pPr>
        <w:pStyle w:val="4"/>
        <w:keepNext w:val="0"/>
        <w:keepLines w:val="0"/>
        <w:pageBreakBefore w:val="0"/>
        <w:widowControl w:val="0"/>
        <w:numPr>
          <w:ilvl w:val="2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Chars="0"/>
        <w:textAlignment w:val="auto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4.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ST260E</w:t>
      </w:r>
    </w:p>
    <w:p>
      <w:pPr>
        <w:pStyle w:val="4"/>
        <w:keepNext w:val="0"/>
        <w:keepLines w:val="0"/>
        <w:pageBreakBefore w:val="0"/>
        <w:widowControl w:val="0"/>
        <w:numPr>
          <w:ilvl w:val="2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Chars="0"/>
        <w:textAlignment w:val="auto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1"/>
          <w:szCs w:val="21"/>
          <w:lang w:val="en-US" w:eastAsia="zh-CN"/>
        </w:rPr>
        <w:t>4.1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工作环境条件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工作温度 -20°C - 60°C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存储温度 -40°C - 85°C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相对湿度： 5% - 95%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大气压力： 70 KPa - 110KPa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海拔高度： 不大于 3500m</w:t>
      </w:r>
    </w:p>
    <w:p>
      <w:pPr>
        <w:pStyle w:val="4"/>
        <w:keepNext w:val="0"/>
        <w:keepLines w:val="0"/>
        <w:pageBreakBefore w:val="0"/>
        <w:widowControl w:val="0"/>
        <w:numPr>
          <w:ilvl w:val="2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Chars="0"/>
        <w:textAlignment w:val="auto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1"/>
          <w:szCs w:val="21"/>
          <w:lang w:val="en-US" w:eastAsia="zh-CN"/>
        </w:rPr>
        <w:t>4.2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电气技术参数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额定数据: 交流电流： 5A/1A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频率： 50Hz/60Hz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装置电源: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辅助电源：48V 220V 可选自供电，由相电流互感器取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过载能力：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电流回路长期运行------2In、10s--------------10In、1s---------------40In 功率消耗：外部电源供电时平均功率不大于 2W自供电时不大于 1VA（装置启动功率不大于0.2VA）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定值最大整定范围：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相间电流 0~100A 级差 0.01A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零序电流 0~10A 级差 0.001A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保护动作误差：时间 0~600S 级差 0.01S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电流不超过± 3%或± 0.02In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动作时间：在 1.2 倍定值下所有保护固有动作时间不大于40ms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延时时间：不超过± 1% 或± 40ms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开入回路：电压类型可定制，电流消耗 2mA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开出接点：触点可连续通过 DC220V，5A 电流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4.3满足自主可控要求</w:t>
      </w:r>
    </w:p>
    <w:p>
      <w:p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该设备涉及的主要芯片产品（处理器、DRAM、AD/DA、Flash）需要满足自主可控要求。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Arial" w:hAnsi="Arial" w:eastAsia="黑体" w:cs="Times New Roman"/>
          <w:b/>
          <w:kern w:val="2"/>
          <w:sz w:val="28"/>
          <w:szCs w:val="20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Arial" w:hAnsi="Arial" w:eastAsia="黑体" w:cs="Times New Roman"/>
          <w:b/>
          <w:kern w:val="2"/>
          <w:sz w:val="28"/>
          <w:szCs w:val="20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Arial" w:hAnsi="Arial" w:eastAsia="黑体" w:cs="Times New Roman"/>
          <w:b/>
          <w:kern w:val="2"/>
          <w:sz w:val="28"/>
          <w:szCs w:val="20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default" w:ascii="Arial" w:hAnsi="Arial" w:eastAsia="黑体" w:cs="Times New Roman"/>
          <w:b/>
          <w:kern w:val="2"/>
          <w:sz w:val="28"/>
          <w:szCs w:val="20"/>
          <w:lang w:val="en-US" w:eastAsia="zh-CN" w:bidi="ar-SA"/>
        </w:rPr>
      </w:pPr>
      <w:r>
        <w:rPr>
          <w:rFonts w:hint="eastAsia" w:ascii="Arial" w:hAnsi="Arial" w:eastAsia="黑体" w:cs="Times New Roman"/>
          <w:b/>
          <w:kern w:val="2"/>
          <w:sz w:val="28"/>
          <w:szCs w:val="20"/>
          <w:lang w:val="en-US" w:eastAsia="zh-CN" w:bidi="ar-SA"/>
        </w:rPr>
        <w:t>五、ZHP320技术要求</w:t>
      </w:r>
    </w:p>
    <w:p>
      <w:pPr>
        <w:pStyle w:val="4"/>
        <w:keepNext w:val="0"/>
        <w:keepLines w:val="0"/>
        <w:pageBreakBefore w:val="0"/>
        <w:widowControl w:val="0"/>
        <w:numPr>
          <w:ilvl w:val="2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Chars="0"/>
        <w:textAlignment w:val="auto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5.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ZHP320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5.1应用范围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ZHP320自供电智能保护装置是专门针对于环网柜系统应用而开发，可以</w:t>
      </w:r>
      <w:r>
        <w:rPr>
          <w:rFonts w:hint="eastAsia" w:ascii="宋体" w:hAnsi="宋体" w:cs="宋体"/>
          <w:sz w:val="21"/>
          <w:szCs w:val="21"/>
          <w:lang w:val="en-US" w:eastAsia="zh-CN"/>
        </w:rPr>
        <w:t>在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断路器或熔断器柜中使用。具有多种动作特性曲线的相过流保护、零序过流保护及外部接点直接跳闸功能，可应用于母线、线路、配电变压器等保护场合。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.</w:t>
      </w:r>
      <w:r>
        <w:rPr>
          <w:rFonts w:hint="eastAsia" w:ascii="宋体" w:hAnsi="宋体" w:cs="宋体"/>
          <w:sz w:val="21"/>
          <w:szCs w:val="21"/>
          <w:lang w:val="en-US" w:eastAsia="zh-CN"/>
        </w:rPr>
        <w:t>2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电气技术参数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额定数据:</w:t>
      </w:r>
      <w:r>
        <w:rPr>
          <w:rFonts w:hint="eastAsia" w:ascii="宋体" w:hAnsi="宋体" w:cs="宋体"/>
          <w:sz w:val="21"/>
          <w:szCs w:val="21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交流电流:5A/1A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 xml:space="preserve">            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频率:50Hz/60Hz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装置电源: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辅助电源:48V220V可选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自供电，由相电流互感器取电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(特别说明:可定制16V~250V 超宽输入范围电源模块)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过载能力: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default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电流回路</w:t>
      </w:r>
      <w:r>
        <w:rPr>
          <w:rFonts w:hint="eastAsia" w:ascii="宋体" w:hAnsi="宋体" w:cs="宋体"/>
          <w:sz w:val="21"/>
          <w:szCs w:val="21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长期运行------2</w:t>
      </w:r>
      <w:r>
        <w:rPr>
          <w:rFonts w:hint="eastAsia" w:ascii="宋体" w:hAnsi="宋体" w:cs="宋体"/>
          <w:sz w:val="21"/>
          <w:szCs w:val="21"/>
          <w:lang w:val="en-US" w:eastAsia="zh-CN"/>
        </w:rPr>
        <w:t>In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1050" w:firstLineChars="500"/>
        <w:textAlignment w:val="auto"/>
        <w:rPr>
          <w:rFonts w:hint="default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10S-----------10</w:t>
      </w:r>
      <w:r>
        <w:rPr>
          <w:rFonts w:hint="eastAsia" w:ascii="宋体" w:hAnsi="宋体" w:cs="宋体"/>
          <w:sz w:val="21"/>
          <w:szCs w:val="21"/>
          <w:lang w:val="en-US" w:eastAsia="zh-CN"/>
        </w:rPr>
        <w:t>In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1050" w:firstLineChars="50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>1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S-------------40</w:t>
      </w:r>
      <w:r>
        <w:rPr>
          <w:rFonts w:hint="eastAsia" w:ascii="宋体" w:hAnsi="宋体" w:cs="宋体"/>
          <w:sz w:val="21"/>
          <w:szCs w:val="21"/>
          <w:lang w:val="en-US" w:eastAsia="zh-CN"/>
        </w:rPr>
        <w:t>In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功率消耗: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外部电源供电时平均功率不大于2W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自供电时不大于1VA(装置启动功率不大于0.2VA)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定值最大整定范围: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相间电流</w:t>
      </w:r>
      <w:r>
        <w:rPr>
          <w:rFonts w:hint="eastAsia" w:ascii="宋体" w:hAnsi="宋体" w:cs="宋体"/>
          <w:sz w:val="21"/>
          <w:szCs w:val="21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0-100A</w:t>
      </w:r>
      <w:r>
        <w:rPr>
          <w:rFonts w:hint="eastAsia" w:ascii="宋体" w:hAnsi="宋体" w:cs="宋体"/>
          <w:sz w:val="21"/>
          <w:szCs w:val="21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级差0.01A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零序电流</w:t>
      </w:r>
      <w:r>
        <w:rPr>
          <w:rFonts w:hint="eastAsia" w:ascii="宋体" w:hAnsi="宋体" w:cs="宋体"/>
          <w:sz w:val="21"/>
          <w:szCs w:val="21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0-10A</w:t>
      </w:r>
      <w:r>
        <w:rPr>
          <w:rFonts w:hint="eastAsia" w:ascii="宋体" w:hAnsi="宋体" w:cs="宋体"/>
          <w:sz w:val="21"/>
          <w:szCs w:val="21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级差0.001A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时间</w:t>
      </w:r>
      <w:r>
        <w:rPr>
          <w:rFonts w:hint="eastAsia" w:ascii="宋体" w:hAnsi="宋体" w:cs="宋体"/>
          <w:sz w:val="21"/>
          <w:szCs w:val="21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0~600S</w:t>
      </w:r>
      <w:r>
        <w:rPr>
          <w:rFonts w:hint="eastAsia" w:ascii="宋体" w:hAnsi="宋体" w:cs="宋体"/>
          <w:sz w:val="21"/>
          <w:szCs w:val="21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级差0.01S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5.3满足自主可控要求</w:t>
      </w:r>
    </w:p>
    <w:p>
      <w:p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该设备涉及的主要芯片产品（处理器、DRAM、AD/DA、Flash）需要满足自主可控要求。</w:t>
      </w:r>
    </w:p>
    <w:p>
      <w:pPr>
        <w:rPr>
          <w:rFonts w:hint="eastAsia" w:ascii="Arial" w:hAnsi="Arial" w:eastAsia="黑体" w:cs="Times New Roman"/>
          <w:b/>
          <w:kern w:val="2"/>
          <w:sz w:val="28"/>
          <w:szCs w:val="20"/>
          <w:lang w:val="en-US" w:eastAsia="zh-CN" w:bidi="ar-SA"/>
        </w:rPr>
      </w:pPr>
      <w:r>
        <w:rPr>
          <w:rFonts w:hint="eastAsia" w:ascii="Arial" w:hAnsi="Arial" w:eastAsia="黑体" w:cs="Times New Roman"/>
          <w:b/>
          <w:kern w:val="2"/>
          <w:sz w:val="28"/>
          <w:szCs w:val="20"/>
          <w:lang w:val="en-US" w:eastAsia="zh-CN" w:bidi="ar-SA"/>
        </w:rPr>
        <w:br w:type="page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Arial" w:hAnsi="Arial" w:eastAsia="黑体" w:cs="Times New Roman"/>
          <w:b/>
          <w:kern w:val="2"/>
          <w:sz w:val="28"/>
          <w:szCs w:val="20"/>
          <w:lang w:val="en-US" w:eastAsia="zh-CN" w:bidi="ar-SA"/>
        </w:rPr>
      </w:pPr>
      <w:r>
        <w:rPr>
          <w:rFonts w:hint="eastAsia" w:ascii="Arial" w:hAnsi="Arial" w:eastAsia="黑体" w:cs="Times New Roman"/>
          <w:b/>
          <w:kern w:val="2"/>
          <w:sz w:val="28"/>
          <w:szCs w:val="20"/>
          <w:lang w:val="en-US" w:eastAsia="zh-CN" w:bidi="ar-SA"/>
        </w:rPr>
        <w:t>六、LY4N-J技术要求</w:t>
      </w:r>
    </w:p>
    <w:p>
      <w:pPr>
        <w:pStyle w:val="4"/>
        <w:keepNext w:val="0"/>
        <w:keepLines w:val="0"/>
        <w:pageBreakBefore w:val="0"/>
        <w:widowControl w:val="0"/>
        <w:numPr>
          <w:ilvl w:val="2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Chars="0"/>
        <w:textAlignment w:val="auto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6.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继电器（含底座）</w:t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 xml:space="preserve"> 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LY4N-J大14脚 </w:t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 xml:space="preserve"> 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DC480V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Arial" w:hAnsi="Arial" w:eastAsia="黑体" w:cs="Times New Roman"/>
          <w:b/>
          <w:kern w:val="2"/>
          <w:sz w:val="28"/>
          <w:szCs w:val="20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default" w:ascii="宋体" w:hAnsi="宋体" w:eastAsia="宋体" w:cs="宋体"/>
          <w:sz w:val="21"/>
          <w:szCs w:val="21"/>
          <w:lang w:val="en-US" w:eastAsia="zh-CN"/>
        </w:rPr>
        <w:t>核心技术参数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default" w:ascii="宋体" w:hAnsi="宋体" w:eastAsia="宋体" w:cs="宋体"/>
          <w:sz w:val="21"/>
          <w:szCs w:val="21"/>
          <w:lang w:val="en-US" w:eastAsia="zh-CN"/>
        </w:rPr>
        <w:t>‌型号系列‌：LY4N-J（属于LY-J系列，带指示灯）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default" w:ascii="宋体" w:hAnsi="宋体" w:eastAsia="宋体" w:cs="宋体"/>
          <w:sz w:val="21"/>
          <w:szCs w:val="21"/>
          <w:lang w:val="en-US" w:eastAsia="zh-CN"/>
        </w:rPr>
        <w:t>‌触点形式‌：‌4PDT‌（四组转换触点，即4组常开+常闭公共端）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default" w:ascii="宋体" w:hAnsi="宋体" w:eastAsia="宋体" w:cs="宋体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default" w:ascii="宋体" w:hAnsi="宋体" w:eastAsia="宋体" w:cs="宋体"/>
          <w:sz w:val="21"/>
          <w:szCs w:val="21"/>
          <w:lang w:val="en-US" w:eastAsia="zh-CN"/>
        </w:rPr>
        <w:t>‌触点容量‌：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default" w:ascii="宋体" w:hAnsi="宋体" w:eastAsia="宋体" w:cs="宋体"/>
          <w:sz w:val="21"/>
          <w:szCs w:val="21"/>
          <w:lang w:val="en-US" w:eastAsia="zh-CN"/>
        </w:rPr>
        <w:t>‌额定负载电流‌：‌10A‌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default" w:ascii="宋体" w:hAnsi="宋体" w:eastAsia="宋体" w:cs="宋体"/>
          <w:sz w:val="21"/>
          <w:szCs w:val="21"/>
          <w:lang w:val="en-US" w:eastAsia="zh-CN"/>
        </w:rPr>
        <w:t>‌最大开关电压‌：250VAC / 125VDC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default" w:ascii="宋体" w:hAnsi="宋体" w:eastAsia="宋体" w:cs="宋体"/>
          <w:sz w:val="21"/>
          <w:szCs w:val="21"/>
          <w:lang w:val="en-US" w:eastAsia="zh-CN"/>
        </w:rPr>
        <w:t>‌适用负载类型‌：阻性（cosφ=1）及感性（cosφ=0.4, L/R=7ms）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default" w:ascii="宋体" w:hAnsi="宋体" w:eastAsia="宋体" w:cs="宋体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default" w:ascii="宋体" w:hAnsi="宋体" w:eastAsia="宋体" w:cs="宋体"/>
          <w:sz w:val="21"/>
          <w:szCs w:val="21"/>
          <w:lang w:val="en-US" w:eastAsia="zh-CN"/>
        </w:rPr>
        <w:t>‌线圈电压（常见选项）‌：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default" w:ascii="宋体" w:hAnsi="宋体" w:eastAsia="宋体" w:cs="宋体"/>
          <w:sz w:val="21"/>
          <w:szCs w:val="21"/>
          <w:lang w:val="en-US" w:eastAsia="zh-CN"/>
        </w:rPr>
        <w:t>DC12V、DC24V、DC48V、DC100/110V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default" w:ascii="宋体" w:hAnsi="宋体" w:eastAsia="宋体" w:cs="宋体"/>
          <w:sz w:val="21"/>
          <w:szCs w:val="21"/>
          <w:lang w:val="en-US" w:eastAsia="zh-CN"/>
        </w:rPr>
        <w:t>AC24V、AC100/110V、AC110/120V、AC200/220V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default" w:ascii="宋体" w:hAnsi="宋体" w:eastAsia="宋体" w:cs="宋体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default" w:ascii="宋体" w:hAnsi="宋体" w:eastAsia="宋体" w:cs="宋体"/>
          <w:sz w:val="21"/>
          <w:szCs w:val="21"/>
          <w:lang w:val="en-US" w:eastAsia="zh-CN"/>
        </w:rPr>
        <w:t>‌端子类型‌：‌14脚插入式或焊接式端子‌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default" w:ascii="宋体" w:hAnsi="宋体" w:eastAsia="宋体" w:cs="宋体"/>
          <w:sz w:val="21"/>
          <w:szCs w:val="21"/>
          <w:lang w:val="en-US" w:eastAsia="zh-CN"/>
        </w:rPr>
        <w:t>‌是否带指示灯‌：‌是‌（部分型号）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default" w:ascii="宋体" w:hAnsi="宋体" w:eastAsia="宋体" w:cs="宋体"/>
          <w:sz w:val="21"/>
          <w:szCs w:val="21"/>
          <w:lang w:val="en-US" w:eastAsia="zh-CN"/>
        </w:rPr>
        <w:t>‌防护结构‌：塑封式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default" w:ascii="宋体" w:hAnsi="宋体" w:eastAsia="宋体" w:cs="宋体"/>
          <w:sz w:val="21"/>
          <w:szCs w:val="21"/>
          <w:lang w:val="en-US" w:eastAsia="zh-CN"/>
        </w:rPr>
        <w:t>‌动作时间‌：≤25ms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default" w:ascii="宋体" w:hAnsi="宋体" w:eastAsia="宋体" w:cs="宋体"/>
          <w:sz w:val="21"/>
          <w:szCs w:val="21"/>
          <w:lang w:val="en-US" w:eastAsia="zh-CN"/>
        </w:rPr>
        <w:t>‌复位时间‌：≤25ms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default" w:ascii="宋体" w:hAnsi="宋体" w:eastAsia="宋体" w:cs="宋体"/>
          <w:sz w:val="21"/>
          <w:szCs w:val="21"/>
          <w:lang w:val="en-US" w:eastAsia="zh-CN"/>
        </w:rPr>
        <w:t>‌机械寿命‌：约80,000,000次（DC线圈） / 40,000,000次（AC线圈）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default" w:ascii="宋体" w:hAnsi="宋体" w:eastAsia="宋体" w:cs="宋体"/>
          <w:sz w:val="21"/>
          <w:szCs w:val="21"/>
          <w:lang w:val="en-US" w:eastAsia="zh-CN"/>
        </w:rPr>
        <w:t>‌电气寿命‌：在额定负载下，160,000次以上（4极）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default" w:ascii="宋体" w:hAnsi="宋体" w:eastAsia="宋体" w:cs="宋体"/>
          <w:sz w:val="21"/>
          <w:szCs w:val="21"/>
          <w:lang w:val="en-US" w:eastAsia="zh-CN"/>
        </w:rPr>
        <w:t>‌重量‌：约70g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default" w:ascii="宋体" w:hAnsi="宋体" w:eastAsia="宋体" w:cs="宋体"/>
          <w:sz w:val="21"/>
          <w:szCs w:val="21"/>
          <w:lang w:val="en-US" w:eastAsia="zh-CN"/>
        </w:rPr>
      </w:pPr>
      <w:r>
        <w:rPr>
          <w:rFonts w:hint="default" w:ascii="宋体" w:hAnsi="宋体" w:eastAsia="宋体" w:cs="宋体"/>
          <w:sz w:val="21"/>
          <w:szCs w:val="21"/>
          <w:lang w:val="en-US" w:eastAsia="zh-CN"/>
        </w:rPr>
        <w:t>典型应用场景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default" w:ascii="宋体" w:hAnsi="宋体" w:eastAsia="宋体" w:cs="宋体"/>
          <w:sz w:val="21"/>
          <w:szCs w:val="21"/>
          <w:lang w:val="en-US" w:eastAsia="zh-CN"/>
        </w:rPr>
        <w:t>工业自动化控制系统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default" w:ascii="宋体" w:hAnsi="宋体" w:eastAsia="宋体" w:cs="宋体"/>
          <w:sz w:val="21"/>
          <w:szCs w:val="21"/>
          <w:lang w:val="en-US" w:eastAsia="zh-CN"/>
        </w:rPr>
        <w:t>电气设备联锁与信号隔离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default" w:ascii="宋体" w:hAnsi="宋体" w:eastAsia="宋体" w:cs="宋体"/>
          <w:sz w:val="21"/>
          <w:szCs w:val="21"/>
          <w:lang w:val="en-US" w:eastAsia="zh-CN"/>
        </w:rPr>
        <w:t>PLC输出扩展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default" w:ascii="宋体" w:hAnsi="宋体" w:eastAsia="宋体" w:cs="宋体"/>
          <w:sz w:val="21"/>
          <w:szCs w:val="21"/>
          <w:lang w:val="en-US" w:eastAsia="zh-CN"/>
        </w:rPr>
        <w:t>配电柜控制电路</w:t>
      </w:r>
    </w:p>
    <w:p>
      <w:pPr>
        <w:pStyle w:val="6"/>
        <w:rPr>
          <w:rFonts w:hint="default"/>
          <w:lang w:val="en-US" w:eastAsia="zh-CN"/>
        </w:rPr>
      </w:pPr>
    </w:p>
    <w:p>
      <w:pPr>
        <w:rPr>
          <w:rFonts w:hint="eastAsia"/>
          <w:lang w:val="en-US" w:eastAsia="zh-CN"/>
        </w:rPr>
      </w:pPr>
      <w:bookmarkStart w:id="4" w:name="_Toc26591"/>
      <w:bookmarkStart w:id="5" w:name="_Toc29760"/>
      <w:r>
        <w:rPr>
          <w:rFonts w:hint="eastAsia"/>
          <w:lang w:val="en-US" w:eastAsia="zh-CN"/>
        </w:rPr>
        <w:br w:type="page"/>
      </w:r>
    </w:p>
    <w:p>
      <w:pPr>
        <w:pStyle w:val="3"/>
        <w:numPr>
          <w:ilvl w:val="0"/>
          <w:numId w:val="0"/>
        </w:numPr>
        <w:bidi w:val="0"/>
        <w:ind w:leftChars="0"/>
        <w:rPr>
          <w:rFonts w:hint="eastAsia"/>
          <w:lang w:eastAsia="zh-CN"/>
        </w:rPr>
      </w:pPr>
      <w:r>
        <w:rPr>
          <w:rFonts w:hint="eastAsia"/>
          <w:lang w:val="en-US" w:eastAsia="zh-CN"/>
        </w:rPr>
        <w:t>七、</w:t>
      </w:r>
      <w:r>
        <w:rPr>
          <w:rFonts w:hint="eastAsia"/>
          <w:lang w:eastAsia="zh-CN"/>
        </w:rPr>
        <w:t>供货期要求</w:t>
      </w:r>
      <w:bookmarkEnd w:id="4"/>
    </w:p>
    <w:p>
      <w:pPr>
        <w:autoSpaceDE w:val="0"/>
        <w:autoSpaceDN w:val="0"/>
        <w:adjustRightInd w:val="0"/>
        <w:spacing w:line="360" w:lineRule="auto"/>
        <w:ind w:firstLine="420"/>
        <w:jc w:val="left"/>
        <w:rPr>
          <w:rFonts w:hint="eastAsia" w:ascii="宋体" w:hAnsi="宋体"/>
          <w:b w:val="0"/>
          <w:bCs/>
          <w:sz w:val="21"/>
          <w:szCs w:val="21"/>
          <w:lang w:val="en-US" w:eastAsia="zh-CN"/>
        </w:rPr>
      </w:pPr>
      <w:r>
        <w:rPr>
          <w:rFonts w:hint="eastAsia" w:ascii="宋体" w:hAnsi="宋体"/>
          <w:b w:val="0"/>
          <w:bCs/>
          <w:sz w:val="21"/>
          <w:szCs w:val="21"/>
          <w:lang w:val="en-US" w:eastAsia="zh-CN"/>
        </w:rPr>
        <w:t>本次招标要求正常供货期为7天，应急供货期为3天。</w:t>
      </w:r>
    </w:p>
    <w:p>
      <w:pPr>
        <w:pStyle w:val="3"/>
        <w:numPr>
          <w:ilvl w:val="0"/>
          <w:numId w:val="0"/>
        </w:numPr>
        <w:bidi w:val="0"/>
        <w:ind w:leftChars="0"/>
        <w:rPr>
          <w:rFonts w:hint="eastAsia"/>
          <w:lang w:val="en-US" w:eastAsia="zh-CN"/>
        </w:rPr>
      </w:pPr>
      <w:bookmarkStart w:id="6" w:name="_Toc28851"/>
    </w:p>
    <w:p>
      <w:pPr>
        <w:pStyle w:val="3"/>
        <w:numPr>
          <w:ilvl w:val="0"/>
          <w:numId w:val="0"/>
        </w:numPr>
        <w:bidi w:val="0"/>
        <w:ind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八、质保期要求</w:t>
      </w:r>
      <w:bookmarkEnd w:id="6"/>
    </w:p>
    <w:p>
      <w:pPr>
        <w:numPr>
          <w:ilvl w:val="0"/>
          <w:numId w:val="0"/>
        </w:numPr>
        <w:autoSpaceDE w:val="0"/>
        <w:autoSpaceDN w:val="0"/>
        <w:adjustRightInd w:val="0"/>
        <w:spacing w:line="360" w:lineRule="auto"/>
        <w:ind w:leftChars="0"/>
        <w:jc w:val="left"/>
        <w:rPr>
          <w:rFonts w:hint="eastAsia" w:ascii="宋体" w:hAnsi="宋体"/>
          <w:b w:val="0"/>
          <w:bCs/>
          <w:sz w:val="21"/>
          <w:szCs w:val="21"/>
          <w:lang w:val="en-US" w:eastAsia="zh-CN"/>
        </w:rPr>
      </w:pPr>
      <w:r>
        <w:rPr>
          <w:rFonts w:hint="eastAsia" w:ascii="宋体" w:hAnsi="宋体"/>
          <w:b w:val="0"/>
          <w:bCs/>
          <w:sz w:val="21"/>
          <w:szCs w:val="21"/>
          <w:lang w:val="en-US" w:eastAsia="zh-CN"/>
        </w:rPr>
        <w:t xml:space="preserve">   </w:t>
      </w:r>
      <w:r>
        <w:rPr>
          <w:rFonts w:hint="eastAsia" w:ascii="宋体" w:hAnsi="宋体"/>
          <w:b w:val="0"/>
          <w:bCs/>
          <w:sz w:val="21"/>
          <w:szCs w:val="21"/>
          <w:highlight w:val="none"/>
          <w:lang w:val="en-US" w:eastAsia="zh-CN"/>
        </w:rPr>
        <w:t xml:space="preserve"> 质保期要求产品到货验收通过后2年。</w:t>
      </w:r>
    </w:p>
    <w:p>
      <w:pPr>
        <w:rPr>
          <w:rFonts w:hint="eastAsia"/>
        </w:rPr>
      </w:pPr>
      <w:r>
        <w:rPr>
          <w:rFonts w:hint="eastAsia"/>
        </w:rPr>
        <w:br w:type="page"/>
      </w:r>
    </w:p>
    <w:p>
      <w:pPr>
        <w:pStyle w:val="2"/>
        <w:bidi w:val="0"/>
      </w:pPr>
      <w:r>
        <w:rPr>
          <w:rFonts w:hint="eastAsia"/>
        </w:rPr>
        <w:t>第</w:t>
      </w:r>
      <w:r>
        <w:rPr>
          <w:rFonts w:hint="eastAsia"/>
          <w:lang w:val="en-US" w:eastAsia="zh-CN"/>
        </w:rPr>
        <w:t>三</w:t>
      </w:r>
      <w:r>
        <w:rPr>
          <w:rFonts w:hint="eastAsia"/>
        </w:rPr>
        <w:t>章 检验</w:t>
      </w:r>
      <w:bookmarkEnd w:id="5"/>
    </w:p>
    <w:p>
      <w:pPr>
        <w:pStyle w:val="3"/>
        <w:numPr>
          <w:ilvl w:val="3"/>
          <w:numId w:val="4"/>
        </w:numPr>
        <w:bidi w:val="0"/>
      </w:pPr>
      <w:r>
        <w:rPr>
          <w:rFonts w:hint="eastAsia"/>
        </w:rPr>
        <w:t>微机综合保护装置</w:t>
      </w:r>
    </w:p>
    <w:p>
      <w:pPr>
        <w:pStyle w:val="27"/>
        <w:numPr>
          <w:ilvl w:val="0"/>
          <w:numId w:val="5"/>
        </w:numPr>
        <w:tabs>
          <w:tab w:val="left" w:pos="576"/>
          <w:tab w:val="left" w:pos="1695"/>
        </w:tabs>
        <w:autoSpaceDE w:val="0"/>
        <w:autoSpaceDN w:val="0"/>
        <w:adjustRightInd w:val="0"/>
        <w:spacing w:line="360" w:lineRule="auto"/>
        <w:ind w:firstLineChars="0"/>
        <w:rPr>
          <w:rFonts w:ascii="宋体" w:hAnsi="宋体"/>
          <w:szCs w:val="44"/>
        </w:rPr>
      </w:pPr>
      <w:r>
        <w:rPr>
          <w:rFonts w:hint="eastAsia" w:ascii="宋体" w:hAnsi="宋体"/>
          <w:szCs w:val="44"/>
        </w:rPr>
        <w:t>产品需经生产厂</w:t>
      </w:r>
      <w:r>
        <w:rPr>
          <w:rFonts w:hint="eastAsia" w:ascii="宋体" w:hAnsi="宋体"/>
          <w:szCs w:val="44"/>
          <w:lang w:val="en-US" w:eastAsia="zh-CN"/>
        </w:rPr>
        <w:t>家</w:t>
      </w:r>
      <w:r>
        <w:rPr>
          <w:rFonts w:hint="eastAsia" w:ascii="宋体" w:hAnsi="宋体"/>
          <w:szCs w:val="44"/>
        </w:rPr>
        <w:t>质量检验部门检验合格并附有质量合格证方可出厂。</w:t>
      </w:r>
    </w:p>
    <w:p>
      <w:pPr>
        <w:pStyle w:val="27"/>
        <w:numPr>
          <w:ilvl w:val="0"/>
          <w:numId w:val="6"/>
        </w:numPr>
        <w:tabs>
          <w:tab w:val="left" w:pos="576"/>
          <w:tab w:val="left" w:pos="1695"/>
        </w:tabs>
        <w:autoSpaceDE w:val="0"/>
        <w:autoSpaceDN w:val="0"/>
        <w:adjustRightInd w:val="0"/>
        <w:spacing w:line="360" w:lineRule="auto"/>
        <w:ind w:firstLineChars="0"/>
        <w:rPr>
          <w:rFonts w:ascii="宋体" w:hAnsi="宋体"/>
          <w:szCs w:val="44"/>
        </w:rPr>
      </w:pPr>
      <w:r>
        <w:rPr>
          <w:rFonts w:hint="eastAsia" w:ascii="宋体" w:hAnsi="宋体"/>
          <w:szCs w:val="44"/>
        </w:rPr>
        <w:t>出厂检验</w:t>
      </w:r>
    </w:p>
    <w:p>
      <w:pPr>
        <w:tabs>
          <w:tab w:val="left" w:pos="720"/>
          <w:tab w:val="left" w:pos="2115"/>
        </w:tabs>
        <w:autoSpaceDE w:val="0"/>
        <w:autoSpaceDN w:val="0"/>
        <w:adjustRightInd w:val="0"/>
        <w:spacing w:line="360" w:lineRule="auto"/>
        <w:ind w:firstLine="420" w:firstLineChars="200"/>
        <w:rPr>
          <w:rFonts w:ascii="宋体" w:hAnsi="宋体"/>
          <w:szCs w:val="44"/>
        </w:rPr>
      </w:pPr>
      <w:r>
        <w:rPr>
          <w:rFonts w:hint="eastAsia" w:ascii="宋体" w:hAnsi="宋体"/>
          <w:szCs w:val="44"/>
        </w:rPr>
        <w:t>1）出厂检验项目</w:t>
      </w:r>
      <w:r>
        <w:rPr>
          <w:rFonts w:hint="eastAsia" w:ascii="宋体" w:hAnsi="宋体"/>
          <w:szCs w:val="21"/>
        </w:rPr>
        <w:t>GB/T15145-2001《微机线路保护装置通用技术条件》</w:t>
      </w:r>
      <w:r>
        <w:rPr>
          <w:rFonts w:hint="eastAsia" w:ascii="宋体" w:hAnsi="宋体"/>
          <w:szCs w:val="44"/>
        </w:rPr>
        <w:t>检验项目规定的试验。</w:t>
      </w:r>
    </w:p>
    <w:p>
      <w:pPr>
        <w:autoSpaceDE w:val="0"/>
        <w:autoSpaceDN w:val="0"/>
        <w:adjustRightInd w:val="0"/>
        <w:spacing w:line="360" w:lineRule="auto"/>
        <w:ind w:firstLine="420" w:firstLineChars="200"/>
        <w:rPr>
          <w:rFonts w:hint="eastAsia" w:ascii="宋体" w:hAnsi="宋体"/>
          <w:szCs w:val="44"/>
          <w:lang w:eastAsia="zh-CN"/>
        </w:rPr>
      </w:pPr>
      <w:r>
        <w:rPr>
          <w:rFonts w:hint="eastAsia" w:ascii="宋体" w:hAnsi="宋体"/>
          <w:szCs w:val="44"/>
        </w:rPr>
        <w:t>2）</w:t>
      </w:r>
      <w:r>
        <w:rPr>
          <w:rFonts w:hint="eastAsia" w:ascii="宋体" w:hAnsi="宋体"/>
          <w:szCs w:val="44"/>
          <w:lang w:val="en-US" w:eastAsia="zh-CN"/>
        </w:rPr>
        <w:t>试验项目</w:t>
      </w:r>
      <w:r>
        <w:rPr>
          <w:rFonts w:hint="eastAsia" w:ascii="宋体" w:hAnsi="宋体"/>
          <w:szCs w:val="44"/>
        </w:rPr>
        <w:t>按</w:t>
      </w:r>
      <w:r>
        <w:rPr>
          <w:rFonts w:hint="eastAsia" w:ascii="宋体" w:hAnsi="宋体"/>
          <w:szCs w:val="44"/>
          <w:lang w:eastAsia="zh-CN"/>
        </w:rPr>
        <w:t>：</w:t>
      </w:r>
    </w:p>
    <w:p>
      <w:pPr>
        <w:autoSpaceDE w:val="0"/>
        <w:autoSpaceDN w:val="0"/>
        <w:adjustRightInd w:val="0"/>
        <w:spacing w:line="360" w:lineRule="auto"/>
        <w:ind w:firstLine="539" w:firstLineChars="257"/>
        <w:rPr>
          <w:rFonts w:hint="eastAsia" w:ascii="宋体" w:hAnsi="宋体" w:eastAsia="宋体"/>
          <w:szCs w:val="21"/>
        </w:rPr>
      </w:pPr>
      <w:r>
        <w:rPr>
          <w:rFonts w:hint="eastAsia" w:ascii="宋体" w:hAnsi="宋体" w:eastAsia="宋体"/>
          <w:szCs w:val="21"/>
        </w:rPr>
        <w:t>GB7261-87 《继电器及继电保护装置基本试验方法》</w:t>
      </w:r>
    </w:p>
    <w:p>
      <w:pPr>
        <w:autoSpaceDE w:val="0"/>
        <w:autoSpaceDN w:val="0"/>
        <w:adjustRightInd w:val="0"/>
        <w:spacing w:line="360" w:lineRule="auto"/>
        <w:ind w:firstLine="539" w:firstLineChars="257"/>
        <w:rPr>
          <w:rFonts w:hint="eastAsia" w:ascii="宋体" w:hAnsi="宋体" w:eastAsia="宋体"/>
          <w:szCs w:val="21"/>
        </w:rPr>
      </w:pPr>
      <w:r>
        <w:rPr>
          <w:rFonts w:hint="eastAsia" w:ascii="宋体" w:hAnsi="宋体" w:eastAsia="宋体"/>
          <w:szCs w:val="21"/>
        </w:rPr>
        <w:t>GB /T17626.2 《静电放电抗扰度试验》</w:t>
      </w:r>
    </w:p>
    <w:p>
      <w:pPr>
        <w:autoSpaceDE w:val="0"/>
        <w:autoSpaceDN w:val="0"/>
        <w:adjustRightInd w:val="0"/>
        <w:spacing w:line="360" w:lineRule="auto"/>
        <w:ind w:firstLine="539" w:firstLineChars="257"/>
        <w:rPr>
          <w:rFonts w:hint="eastAsia" w:ascii="宋体" w:hAnsi="宋体" w:eastAsia="宋体"/>
          <w:szCs w:val="21"/>
        </w:rPr>
      </w:pPr>
      <w:r>
        <w:rPr>
          <w:rFonts w:hint="eastAsia" w:ascii="宋体" w:hAnsi="宋体" w:eastAsia="宋体"/>
          <w:szCs w:val="21"/>
        </w:rPr>
        <w:t>GB /T17626.3 《射频电磁场辐射抗扰度试验》</w:t>
      </w:r>
    </w:p>
    <w:p>
      <w:pPr>
        <w:autoSpaceDE w:val="0"/>
        <w:autoSpaceDN w:val="0"/>
        <w:adjustRightInd w:val="0"/>
        <w:spacing w:line="360" w:lineRule="auto"/>
        <w:ind w:firstLine="539" w:firstLineChars="257"/>
        <w:rPr>
          <w:rFonts w:hint="eastAsia" w:ascii="宋体" w:hAnsi="宋体" w:eastAsia="宋体"/>
          <w:szCs w:val="21"/>
        </w:rPr>
      </w:pPr>
      <w:r>
        <w:rPr>
          <w:rFonts w:hint="eastAsia" w:ascii="宋体" w:hAnsi="宋体" w:eastAsia="宋体"/>
          <w:szCs w:val="21"/>
        </w:rPr>
        <w:t>GB/T17626.4 《电快速瞬变脉冲群抗扰度试验》</w:t>
      </w:r>
    </w:p>
    <w:p>
      <w:pPr>
        <w:autoSpaceDE w:val="0"/>
        <w:autoSpaceDN w:val="0"/>
        <w:adjustRightInd w:val="0"/>
        <w:spacing w:line="360" w:lineRule="auto"/>
        <w:ind w:firstLine="539" w:firstLineChars="257"/>
        <w:rPr>
          <w:rFonts w:hint="eastAsia" w:ascii="宋体" w:hAnsi="宋体" w:eastAsia="宋体"/>
          <w:szCs w:val="21"/>
        </w:rPr>
      </w:pPr>
      <w:r>
        <w:rPr>
          <w:rFonts w:hint="eastAsia" w:ascii="宋体" w:hAnsi="宋体" w:eastAsia="宋体"/>
          <w:szCs w:val="21"/>
        </w:rPr>
        <w:t>GB/T17626.5 《浪涌冲击抗扰度试验》</w:t>
      </w:r>
    </w:p>
    <w:p>
      <w:pPr>
        <w:autoSpaceDE w:val="0"/>
        <w:autoSpaceDN w:val="0"/>
        <w:adjustRightInd w:val="0"/>
        <w:spacing w:line="360" w:lineRule="auto"/>
        <w:ind w:firstLine="539" w:firstLineChars="257"/>
        <w:rPr>
          <w:rFonts w:hint="eastAsia" w:ascii="宋体" w:hAnsi="宋体" w:eastAsia="宋体"/>
          <w:szCs w:val="21"/>
        </w:rPr>
      </w:pPr>
      <w:r>
        <w:rPr>
          <w:rFonts w:hint="eastAsia" w:ascii="宋体" w:hAnsi="宋体" w:eastAsia="宋体"/>
          <w:szCs w:val="21"/>
        </w:rPr>
        <w:t>GB /T17626.6 《射频场感应的传导骚扰抗扰度试验》</w:t>
      </w:r>
    </w:p>
    <w:p>
      <w:pPr>
        <w:autoSpaceDE w:val="0"/>
        <w:autoSpaceDN w:val="0"/>
        <w:adjustRightInd w:val="0"/>
        <w:spacing w:line="360" w:lineRule="auto"/>
        <w:ind w:firstLine="539" w:firstLineChars="257"/>
        <w:rPr>
          <w:rFonts w:hint="eastAsia" w:ascii="宋体" w:hAnsi="宋体" w:eastAsia="宋体"/>
          <w:szCs w:val="21"/>
        </w:rPr>
      </w:pPr>
      <w:r>
        <w:rPr>
          <w:rFonts w:hint="eastAsia" w:ascii="宋体" w:hAnsi="宋体" w:eastAsia="宋体"/>
          <w:szCs w:val="21"/>
        </w:rPr>
        <w:t>GB/T17626.8 《工频磁场抗扰度试验》</w:t>
      </w:r>
    </w:p>
    <w:p>
      <w:pPr>
        <w:autoSpaceDE w:val="0"/>
        <w:autoSpaceDN w:val="0"/>
        <w:adjustRightInd w:val="0"/>
        <w:spacing w:line="360" w:lineRule="auto"/>
        <w:ind w:firstLine="539" w:firstLineChars="257"/>
        <w:rPr>
          <w:rFonts w:hint="eastAsia" w:ascii="宋体" w:hAnsi="宋体" w:eastAsia="宋体"/>
          <w:szCs w:val="21"/>
        </w:rPr>
      </w:pPr>
      <w:r>
        <w:rPr>
          <w:rFonts w:hint="eastAsia" w:ascii="宋体" w:hAnsi="宋体" w:eastAsia="宋体"/>
          <w:szCs w:val="21"/>
        </w:rPr>
        <w:t>GB /T17626-1998《电磁兼容试验和测量技术》</w:t>
      </w:r>
    </w:p>
    <w:p>
      <w:pPr>
        <w:autoSpaceDE w:val="0"/>
        <w:autoSpaceDN w:val="0"/>
        <w:adjustRightInd w:val="0"/>
        <w:spacing w:line="360" w:lineRule="auto"/>
        <w:ind w:firstLine="539" w:firstLineChars="257"/>
        <w:rPr>
          <w:rFonts w:hint="eastAsia" w:ascii="宋体" w:hAnsi="宋体" w:eastAsia="宋体"/>
          <w:szCs w:val="21"/>
        </w:rPr>
      </w:pPr>
      <w:r>
        <w:rPr>
          <w:rFonts w:hint="eastAsia" w:ascii="宋体" w:hAnsi="宋体" w:eastAsia="宋体"/>
          <w:szCs w:val="21"/>
        </w:rPr>
        <w:t>GB/T14537-1993 《量度继电器和保护装置的冲击与碰撞试验》</w:t>
      </w:r>
    </w:p>
    <w:p>
      <w:pPr>
        <w:autoSpaceDE w:val="0"/>
        <w:autoSpaceDN w:val="0"/>
        <w:adjustRightInd w:val="0"/>
        <w:spacing w:line="360" w:lineRule="auto"/>
        <w:ind w:firstLine="539" w:firstLineChars="257"/>
        <w:rPr>
          <w:rFonts w:hint="eastAsia" w:ascii="宋体" w:hAnsi="宋体" w:eastAsia="宋体"/>
          <w:szCs w:val="21"/>
        </w:rPr>
      </w:pPr>
      <w:r>
        <w:rPr>
          <w:rFonts w:hint="eastAsia" w:ascii="宋体" w:hAnsi="宋体" w:eastAsia="宋体"/>
          <w:szCs w:val="21"/>
        </w:rPr>
        <w:t>进行，采用一次正常抽样方案</w:t>
      </w:r>
      <w:r>
        <w:rPr>
          <w:rFonts w:hint="eastAsia" w:ascii="宋体" w:hAnsi="宋体" w:eastAsia="宋体"/>
          <w:szCs w:val="21"/>
          <w:lang w:eastAsia="zh-CN"/>
        </w:rPr>
        <w:t>。</w:t>
      </w:r>
    </w:p>
    <w:p>
      <w:pPr>
        <w:pStyle w:val="2"/>
        <w:bidi w:val="0"/>
        <w:rPr>
          <w:rFonts w:hint="eastAsia"/>
        </w:rPr>
      </w:pPr>
      <w:bookmarkStart w:id="7" w:name="_Toc17368"/>
    </w:p>
    <w:p>
      <w:pPr>
        <w:rPr>
          <w:rFonts w:hint="eastAsia"/>
        </w:rPr>
      </w:pPr>
      <w:r>
        <w:rPr>
          <w:rFonts w:hint="eastAsia"/>
        </w:rPr>
        <w:br w:type="page"/>
      </w:r>
    </w:p>
    <w:p>
      <w:pPr>
        <w:pStyle w:val="2"/>
        <w:bidi w:val="0"/>
      </w:pPr>
      <w:r>
        <w:rPr>
          <w:rFonts w:hint="eastAsia"/>
        </w:rPr>
        <w:t>第</w:t>
      </w:r>
      <w:r>
        <w:rPr>
          <w:rFonts w:hint="eastAsia"/>
          <w:lang w:val="en-US" w:eastAsia="zh-CN"/>
        </w:rPr>
        <w:t>四</w:t>
      </w:r>
      <w:r>
        <w:rPr>
          <w:rFonts w:hint="eastAsia"/>
        </w:rPr>
        <w:t>章 验收与运输</w:t>
      </w:r>
      <w:bookmarkEnd w:id="7"/>
    </w:p>
    <w:p>
      <w:pPr>
        <w:pStyle w:val="3"/>
        <w:numPr>
          <w:ilvl w:val="0"/>
          <w:numId w:val="7"/>
        </w:numPr>
        <w:bidi w:val="0"/>
      </w:pPr>
      <w:bookmarkStart w:id="8" w:name="_Toc5507"/>
      <w:r>
        <w:rPr>
          <w:rFonts w:hint="eastAsia"/>
        </w:rPr>
        <w:t>验收</w:t>
      </w:r>
      <w:bookmarkEnd w:id="8"/>
    </w:p>
    <w:p>
      <w:pPr>
        <w:tabs>
          <w:tab w:val="left" w:pos="576"/>
          <w:tab w:val="left" w:pos="1695"/>
        </w:tabs>
        <w:autoSpaceDE w:val="0"/>
        <w:autoSpaceDN w:val="0"/>
        <w:adjustRightInd w:val="0"/>
        <w:spacing w:line="360" w:lineRule="auto"/>
        <w:rPr>
          <w:rFonts w:ascii="宋体" w:hAnsi="宋体"/>
          <w:szCs w:val="44"/>
        </w:rPr>
      </w:pPr>
      <w:r>
        <w:rPr>
          <w:rFonts w:hint="eastAsia" w:ascii="宋体" w:hAnsi="宋体"/>
          <w:szCs w:val="44"/>
        </w:rPr>
        <w:t>1. 微机综合保护装置运抵仓库或施工现场后，买方或最终用户进行验收，验收的检测项目将由买方和最终用户在技术规范书中任意选择</w:t>
      </w:r>
      <w:r>
        <w:rPr>
          <w:rFonts w:hint="eastAsia" w:ascii="宋体" w:hAnsi="宋体"/>
          <w:szCs w:val="44"/>
          <w:lang w:eastAsia="zh-CN"/>
        </w:rPr>
        <w:t>，</w:t>
      </w:r>
      <w:r>
        <w:rPr>
          <w:rFonts w:hint="eastAsia" w:ascii="宋体" w:hAnsi="宋体"/>
          <w:szCs w:val="44"/>
          <w:lang w:val="en-US" w:eastAsia="zh-CN"/>
        </w:rPr>
        <w:t>按相关要求</w:t>
      </w:r>
      <w:r>
        <w:rPr>
          <w:rFonts w:hint="eastAsia" w:ascii="宋体" w:hAnsi="宋体"/>
          <w:szCs w:val="44"/>
        </w:rPr>
        <w:t>进行检查，如指标合格、无损坏则由买方、最终用户和供货方签字，但并不免除卖方所交货物质量的责任。</w:t>
      </w:r>
    </w:p>
    <w:p>
      <w:pPr>
        <w:tabs>
          <w:tab w:val="left" w:pos="576"/>
          <w:tab w:val="left" w:pos="1695"/>
        </w:tabs>
        <w:autoSpaceDE w:val="0"/>
        <w:autoSpaceDN w:val="0"/>
        <w:adjustRightInd w:val="0"/>
        <w:spacing w:line="360" w:lineRule="auto"/>
        <w:rPr>
          <w:rFonts w:ascii="宋体" w:hAnsi="宋体"/>
          <w:szCs w:val="44"/>
        </w:rPr>
      </w:pPr>
      <w:r>
        <w:rPr>
          <w:rFonts w:hint="eastAsia" w:ascii="宋体" w:hAnsi="宋体"/>
          <w:szCs w:val="44"/>
        </w:rPr>
        <w:t>3.在上述检测中，若发生任一指标不符合技术规范书要求，卖方应在两个月内更换不合格产品，所有费用由卖方负担。</w:t>
      </w:r>
    </w:p>
    <w:p>
      <w:pPr>
        <w:pStyle w:val="3"/>
        <w:bidi w:val="0"/>
      </w:pPr>
      <w:bookmarkStart w:id="9" w:name="_Toc21369"/>
      <w:r>
        <w:rPr>
          <w:rFonts w:hint="eastAsia"/>
        </w:rPr>
        <w:t>二、标志、运输</w:t>
      </w:r>
      <w:bookmarkEnd w:id="9"/>
    </w:p>
    <w:p>
      <w:pPr>
        <w:tabs>
          <w:tab w:val="left" w:pos="576"/>
          <w:tab w:val="left" w:pos="1695"/>
        </w:tabs>
        <w:autoSpaceDE w:val="0"/>
        <w:autoSpaceDN w:val="0"/>
        <w:adjustRightInd w:val="0"/>
        <w:spacing w:line="360" w:lineRule="auto"/>
        <w:rPr>
          <w:rFonts w:ascii="宋体" w:hAnsi="宋体"/>
          <w:szCs w:val="44"/>
        </w:rPr>
      </w:pPr>
      <w:r>
        <w:rPr>
          <w:rFonts w:hint="eastAsia" w:ascii="宋体" w:hAnsi="宋体"/>
          <w:szCs w:val="44"/>
        </w:rPr>
        <w:t>1.标志</w:t>
      </w:r>
    </w:p>
    <w:p>
      <w:pPr>
        <w:autoSpaceDE w:val="0"/>
        <w:autoSpaceDN w:val="0"/>
        <w:adjustRightInd w:val="0"/>
        <w:spacing w:line="360" w:lineRule="auto"/>
        <w:ind w:left="0" w:leftChars="0" w:firstLine="420" w:firstLineChars="200"/>
        <w:rPr>
          <w:rFonts w:ascii="宋体" w:hAnsi="宋体"/>
          <w:szCs w:val="44"/>
        </w:rPr>
      </w:pPr>
      <w:r>
        <w:rPr>
          <w:rFonts w:hint="eastAsia" w:ascii="宋体" w:hAnsi="宋体"/>
          <w:szCs w:val="44"/>
        </w:rPr>
        <w:t>产品上应有下列明显标志：产品名称，产品标色</w:t>
      </w:r>
      <w:r>
        <w:rPr>
          <w:rFonts w:ascii="宋体" w:hAnsi="宋体"/>
          <w:szCs w:val="44"/>
        </w:rPr>
        <w:t>(</w:t>
      </w:r>
      <w:r>
        <w:rPr>
          <w:rFonts w:hint="eastAsia" w:ascii="宋体" w:hAnsi="宋体"/>
          <w:szCs w:val="44"/>
        </w:rPr>
        <w:t>记</w:t>
      </w:r>
      <w:r>
        <w:rPr>
          <w:rFonts w:ascii="宋体" w:hAnsi="宋体"/>
          <w:szCs w:val="44"/>
        </w:rPr>
        <w:t>)</w:t>
      </w:r>
      <w:r>
        <w:rPr>
          <w:rFonts w:hint="eastAsia" w:ascii="宋体" w:hAnsi="宋体"/>
          <w:szCs w:val="44"/>
        </w:rPr>
        <w:t>、本标准号，生产厂名(或商标)，</w:t>
      </w:r>
    </w:p>
    <w:p>
      <w:pPr>
        <w:autoSpaceDE w:val="0"/>
        <w:autoSpaceDN w:val="0"/>
        <w:adjustRightInd w:val="0"/>
        <w:spacing w:line="360" w:lineRule="auto"/>
        <w:rPr>
          <w:rFonts w:hint="default" w:ascii="宋体" w:hAnsi="宋体" w:eastAsia="宋体"/>
          <w:szCs w:val="44"/>
          <w:lang w:val="en-US" w:eastAsia="zh-CN"/>
        </w:rPr>
      </w:pPr>
      <w:r>
        <w:rPr>
          <w:rFonts w:hint="eastAsia" w:ascii="宋体" w:hAnsi="宋体"/>
          <w:szCs w:val="44"/>
        </w:rPr>
        <w:t>生产日期。</w:t>
      </w:r>
    </w:p>
    <w:p>
      <w:pPr>
        <w:tabs>
          <w:tab w:val="left" w:pos="576"/>
          <w:tab w:val="left" w:pos="1695"/>
        </w:tabs>
        <w:autoSpaceDE w:val="0"/>
        <w:autoSpaceDN w:val="0"/>
        <w:adjustRightInd w:val="0"/>
        <w:spacing w:line="360" w:lineRule="auto"/>
        <w:rPr>
          <w:rFonts w:ascii="宋体" w:hAnsi="宋体"/>
          <w:szCs w:val="44"/>
        </w:rPr>
      </w:pPr>
      <w:r>
        <w:rPr>
          <w:rFonts w:hint="eastAsia" w:ascii="宋体" w:hAnsi="宋体"/>
          <w:szCs w:val="44"/>
        </w:rPr>
        <w:t>2.运输</w:t>
      </w:r>
    </w:p>
    <w:p>
      <w:pPr>
        <w:tabs>
          <w:tab w:val="left" w:pos="900"/>
        </w:tabs>
        <w:autoSpaceDE w:val="0"/>
        <w:autoSpaceDN w:val="0"/>
        <w:adjustRightInd w:val="0"/>
        <w:spacing w:line="360" w:lineRule="auto"/>
        <w:ind w:left="0" w:leftChars="0" w:firstLine="420" w:firstLineChars="200"/>
        <w:rPr>
          <w:rFonts w:ascii="宋体" w:hAnsi="宋体"/>
          <w:szCs w:val="44"/>
          <w:highlight w:val="none"/>
        </w:rPr>
      </w:pPr>
      <w:r>
        <w:rPr>
          <w:rFonts w:hint="eastAsia" w:ascii="宋体" w:hAnsi="宋体"/>
          <w:szCs w:val="44"/>
          <w:highlight w:val="none"/>
        </w:rPr>
        <w:t>产品在装卸运输时，不得受剧烈撞击、抛摔和重压</w:t>
      </w:r>
      <w:r>
        <w:rPr>
          <w:rFonts w:hint="eastAsia" w:ascii="宋体" w:hAnsi="宋体"/>
          <w:szCs w:val="44"/>
          <w:highlight w:val="none"/>
          <w:lang w:eastAsia="zh-CN"/>
        </w:rPr>
        <w:t>，</w:t>
      </w:r>
      <w:r>
        <w:rPr>
          <w:rFonts w:hint="eastAsia" w:ascii="宋体" w:hAnsi="宋体"/>
          <w:szCs w:val="44"/>
          <w:highlight w:val="none"/>
          <w:lang w:val="en-US" w:eastAsia="zh-CN"/>
        </w:rPr>
        <w:t>产品运达买方指定位置后，由卖方负责卸货</w:t>
      </w:r>
      <w:r>
        <w:rPr>
          <w:rFonts w:hint="eastAsia" w:ascii="宋体" w:hAnsi="宋体"/>
          <w:szCs w:val="44"/>
          <w:highlight w:val="none"/>
        </w:rPr>
        <w:t>。</w:t>
      </w:r>
    </w:p>
    <w:p>
      <w:pPr>
        <w:autoSpaceDE w:val="0"/>
        <w:autoSpaceDN w:val="0"/>
        <w:adjustRightInd w:val="0"/>
        <w:spacing w:line="360" w:lineRule="auto"/>
        <w:rPr>
          <w:rFonts w:ascii="宋体" w:hAnsi="宋体"/>
          <w:szCs w:val="44"/>
        </w:rPr>
      </w:pPr>
    </w:p>
    <w:p>
      <w:pPr>
        <w:pStyle w:val="2"/>
        <w:bidi w:val="0"/>
      </w:pPr>
      <w:bookmarkStart w:id="10" w:name="_Toc2661"/>
      <w:r>
        <w:rPr>
          <w:rFonts w:hint="eastAsia"/>
        </w:rPr>
        <w:t>第</w:t>
      </w:r>
      <w:r>
        <w:rPr>
          <w:rFonts w:hint="eastAsia"/>
          <w:lang w:val="en-US" w:eastAsia="zh-CN"/>
        </w:rPr>
        <w:t>五</w:t>
      </w:r>
      <w:r>
        <w:rPr>
          <w:rFonts w:hint="eastAsia"/>
        </w:rPr>
        <w:t>章 售后服务</w:t>
      </w:r>
      <w:bookmarkEnd w:id="10"/>
    </w:p>
    <w:p>
      <w:pPr>
        <w:autoSpaceDE w:val="0"/>
        <w:autoSpaceDN w:val="0"/>
        <w:adjustRightInd w:val="0"/>
        <w:spacing w:line="360" w:lineRule="auto"/>
        <w:rPr>
          <w:rFonts w:ascii="宋体" w:hAnsi="宋体"/>
          <w:szCs w:val="44"/>
        </w:rPr>
      </w:pPr>
      <w:r>
        <w:rPr>
          <w:rFonts w:hint="eastAsia" w:ascii="宋体" w:hAnsi="宋体" w:cstheme="minorBidi"/>
          <w:szCs w:val="22"/>
        </w:rPr>
        <w:t>1</w:t>
      </w:r>
      <w:r>
        <w:rPr>
          <w:rFonts w:hint="eastAsia" w:ascii="宋体" w:hAnsi="宋体"/>
          <w:szCs w:val="44"/>
        </w:rPr>
        <w:t>、质保期按产品到货</w:t>
      </w:r>
      <w:r>
        <w:rPr>
          <w:rFonts w:hint="eastAsia" w:ascii="宋体" w:hAnsi="宋体"/>
          <w:szCs w:val="44"/>
          <w:lang w:val="en-US" w:eastAsia="zh-CN"/>
        </w:rPr>
        <w:t>验收通过之日</w:t>
      </w:r>
      <w:r>
        <w:rPr>
          <w:rFonts w:hint="eastAsia" w:ascii="宋体" w:hAnsi="宋体"/>
          <w:szCs w:val="44"/>
        </w:rPr>
        <w:t>算起两年</w:t>
      </w:r>
      <w:r>
        <w:rPr>
          <w:rFonts w:hint="eastAsia" w:ascii="宋体" w:hAnsi="宋体"/>
          <w:szCs w:val="44"/>
          <w:lang w:eastAsia="zh-CN"/>
        </w:rPr>
        <w:t>，</w:t>
      </w:r>
      <w:r>
        <w:rPr>
          <w:rFonts w:hint="eastAsia" w:ascii="宋体" w:hAnsi="宋体"/>
          <w:szCs w:val="44"/>
        </w:rPr>
        <w:t>质保期间，因产品质量问题而发生损坏，或不能正常工作时，投标方应免费为招标方修理或更换产品。</w:t>
      </w:r>
    </w:p>
    <w:p>
      <w:pPr>
        <w:autoSpaceDE w:val="0"/>
        <w:autoSpaceDN w:val="0"/>
        <w:adjustRightInd w:val="0"/>
        <w:spacing w:line="360" w:lineRule="auto"/>
        <w:rPr>
          <w:rFonts w:ascii="宋体" w:hAnsi="宋体"/>
          <w:szCs w:val="44"/>
        </w:rPr>
      </w:pPr>
      <w:r>
        <w:rPr>
          <w:rFonts w:hint="eastAsia" w:ascii="宋体" w:hAnsi="宋体"/>
          <w:szCs w:val="44"/>
        </w:rPr>
        <w:t>2、在质保期满后，产品出现问题，投标方仍应配合招标方的完成产品的修理和原因分析；投标方按用户要求及时提供维护中所需的各种修理零配件和备件，投标方不能因为</w:t>
      </w:r>
      <w:r>
        <w:rPr>
          <w:rFonts w:hint="eastAsia" w:ascii="宋体" w:hAnsi="宋体"/>
          <w:szCs w:val="44"/>
          <w:lang w:val="en-US" w:eastAsia="zh-CN"/>
        </w:rPr>
        <w:t>产品</w:t>
      </w:r>
      <w:r>
        <w:rPr>
          <w:rFonts w:hint="eastAsia" w:ascii="宋体" w:hAnsi="宋体"/>
          <w:szCs w:val="44"/>
        </w:rPr>
        <w:t>停产而拒绝提供备品备件。</w:t>
      </w:r>
    </w:p>
    <w:p>
      <w:pPr>
        <w:autoSpaceDE w:val="0"/>
        <w:autoSpaceDN w:val="0"/>
        <w:adjustRightInd w:val="0"/>
        <w:spacing w:line="360" w:lineRule="auto"/>
      </w:pPr>
      <w:r>
        <w:rPr>
          <w:rFonts w:hint="eastAsia" w:ascii="宋体" w:hAnsi="宋体"/>
          <w:szCs w:val="44"/>
        </w:rPr>
        <w:t>3、对于产品一般问题，投标方提供24小时电话热线支持；对于产品重大问题，投标方应提供2 小时内到现场服务。</w:t>
      </w:r>
    </w:p>
    <w:sectPr>
      <w:footerReference r:id="rId3" w:type="default"/>
      <w:footerReference r:id="rId4" w:type="even"/>
      <w:pgSz w:w="11907" w:h="16840"/>
      <w:pgMar w:top="1418" w:right="1701" w:bottom="1418" w:left="1701" w:header="851" w:footer="851" w:gutter="0"/>
      <w:pgNumType w:fmt="numberInDash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ingLiU">
    <w:altName w:val="PMingLiU-ExtB"/>
    <w:panose1 w:val="02020509000000000000"/>
    <w:charset w:val="88"/>
    <w:family w:val="modern"/>
    <w:pitch w:val="default"/>
    <w:sig w:usb0="00000000" w:usb1="0000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247650" cy="131445"/>
              <wp:effectExtent l="0" t="0" r="1270" b="0"/>
              <wp:wrapNone/>
              <wp:docPr id="87" name="文本框 8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7650" cy="131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11"/>
                            <w:rPr>
                              <w:rStyle w:val="19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Style w:val="19"/>
                            </w:rPr>
                            <w:instrText xml:space="preserve">PAGE 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19"/>
                            </w:rPr>
                            <w:t>- 12 -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0.35pt;width:19.5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V7FI4NAAAAADAQAADwAAAAAAAAABACAAAAAiAAAAZHJz&#10;L2Rvd25yZXYueG1sUEsBAhQAFAAAAAgAh07iQCVfDhwMAgAABAQAAA4AAAAAAAAAAQAgAAAAHwEA&#10;AGRycy9lMm9Eb2MueG1sUEsFBgAAAAAGAAYAWQEAAJ0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1"/>
                      <w:rPr>
                        <w:rStyle w:val="19"/>
                      </w:rPr>
                    </w:pPr>
                    <w:r>
                      <w:fldChar w:fldCharType="begin"/>
                    </w:r>
                    <w:r>
                      <w:rPr>
                        <w:rStyle w:val="19"/>
                      </w:rPr>
                      <w:instrText xml:space="preserve">PAGE  </w:instrText>
                    </w:r>
                    <w:r>
                      <w:fldChar w:fldCharType="separate"/>
                    </w:r>
                    <w:r>
                      <w:rPr>
                        <w:rStyle w:val="19"/>
                      </w:rPr>
                      <w:t>- 12 -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framePr w:wrap="around" w:vAnchor="text" w:hAnchor="margin" w:xAlign="center" w:y="1"/>
      <w:rPr>
        <w:rStyle w:val="19"/>
      </w:rPr>
    </w:pPr>
    <w:r>
      <w:fldChar w:fldCharType="begin"/>
    </w:r>
    <w:r>
      <w:rPr>
        <w:rStyle w:val="19"/>
      </w:rPr>
      <w:instrText xml:space="preserve">PAGE  </w:instrText>
    </w:r>
    <w:r>
      <w:fldChar w:fldCharType="end"/>
    </w:r>
  </w:p>
  <w:p>
    <w:pPr>
      <w:pStyle w:val="11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31562C"/>
    <w:multiLevelType w:val="multilevel"/>
    <w:tmpl w:val="0531562C"/>
    <w:lvl w:ilvl="0" w:tentative="0">
      <w:start w:val="1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entative="0">
      <w:start w:val="1"/>
      <w:numFmt w:val="decimal"/>
      <w:lvlText w:val="%2.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9163503"/>
    <w:multiLevelType w:val="multilevel"/>
    <w:tmpl w:val="09163503"/>
    <w:lvl w:ilvl="0" w:tentative="0">
      <w:start w:val="11"/>
      <w:numFmt w:val="decimal"/>
      <w:lvlText w:val="%1、"/>
      <w:lvlJc w:val="left"/>
      <w:pPr>
        <w:ind w:left="390" w:hanging="390"/>
      </w:pPr>
      <w:rPr>
        <w:rFonts w:hint="default" w:ascii="Times New Roman" w:hAnsi="Times New Roman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japaneseCounting"/>
      <w:lvlText w:val="%4、"/>
      <w:lvlJc w:val="left"/>
      <w:pPr>
        <w:ind w:left="720" w:hanging="720"/>
      </w:pPr>
      <w:rPr>
        <w:rFonts w:hint="default"/>
      </w:r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0B996E0A"/>
    <w:multiLevelType w:val="multilevel"/>
    <w:tmpl w:val="0B996E0A"/>
    <w:lvl w:ilvl="0" w:tentative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pStyle w:val="4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3">
    <w:nsid w:val="221F2679"/>
    <w:multiLevelType w:val="multilevel"/>
    <w:tmpl w:val="221F2679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22D3F81E"/>
    <w:multiLevelType w:val="multilevel"/>
    <w:tmpl w:val="22D3F81E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5">
    <w:nsid w:val="74664743"/>
    <w:multiLevelType w:val="multilevel"/>
    <w:tmpl w:val="74664743"/>
    <w:lvl w:ilvl="0" w:tentative="0">
      <w:start w:val="2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3"/>
      <w:numFmt w:val="decimal"/>
      <w:lvlText w:val="%3）"/>
      <w:lvlJc w:val="left"/>
      <w:pPr>
        <w:ind w:left="420" w:hanging="42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7B7F1C64"/>
    <w:multiLevelType w:val="multilevel"/>
    <w:tmpl w:val="7B7F1C64"/>
    <w:lvl w:ilvl="0" w:tentative="0">
      <w:start w:val="1"/>
      <w:numFmt w:val="japaneseCounting"/>
      <w:lvlText w:val="%1、"/>
      <w:lvlJc w:val="left"/>
      <w:pPr>
        <w:ind w:left="510" w:hanging="51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F88"/>
    <w:rsid w:val="00000E0A"/>
    <w:rsid w:val="00002A59"/>
    <w:rsid w:val="000F4963"/>
    <w:rsid w:val="00110E0E"/>
    <w:rsid w:val="0015482E"/>
    <w:rsid w:val="00164814"/>
    <w:rsid w:val="00186ABC"/>
    <w:rsid w:val="001E78E2"/>
    <w:rsid w:val="00217BCC"/>
    <w:rsid w:val="0027203C"/>
    <w:rsid w:val="0029221B"/>
    <w:rsid w:val="00296E6B"/>
    <w:rsid w:val="002E7645"/>
    <w:rsid w:val="002F1875"/>
    <w:rsid w:val="00301781"/>
    <w:rsid w:val="003050DD"/>
    <w:rsid w:val="00342AB2"/>
    <w:rsid w:val="00364D21"/>
    <w:rsid w:val="00382947"/>
    <w:rsid w:val="003E737E"/>
    <w:rsid w:val="003F1F88"/>
    <w:rsid w:val="00470353"/>
    <w:rsid w:val="004933C6"/>
    <w:rsid w:val="004B6E6A"/>
    <w:rsid w:val="004E14B4"/>
    <w:rsid w:val="00592E55"/>
    <w:rsid w:val="00676523"/>
    <w:rsid w:val="006C174E"/>
    <w:rsid w:val="006E2FBD"/>
    <w:rsid w:val="00787698"/>
    <w:rsid w:val="007B6018"/>
    <w:rsid w:val="007C5445"/>
    <w:rsid w:val="007E2746"/>
    <w:rsid w:val="00801772"/>
    <w:rsid w:val="008A514D"/>
    <w:rsid w:val="008A51E9"/>
    <w:rsid w:val="00970A6B"/>
    <w:rsid w:val="009D4B39"/>
    <w:rsid w:val="00A11836"/>
    <w:rsid w:val="00A238AE"/>
    <w:rsid w:val="00A57281"/>
    <w:rsid w:val="00A85E86"/>
    <w:rsid w:val="00B1704F"/>
    <w:rsid w:val="00B845AE"/>
    <w:rsid w:val="00B9735D"/>
    <w:rsid w:val="00BD2BF6"/>
    <w:rsid w:val="00BF723A"/>
    <w:rsid w:val="00C07010"/>
    <w:rsid w:val="00CC09FF"/>
    <w:rsid w:val="00CE2EEE"/>
    <w:rsid w:val="00D529B5"/>
    <w:rsid w:val="00DC3A1D"/>
    <w:rsid w:val="00E04910"/>
    <w:rsid w:val="00E5747D"/>
    <w:rsid w:val="00EB6B9B"/>
    <w:rsid w:val="00ED7F4B"/>
    <w:rsid w:val="00F25539"/>
    <w:rsid w:val="00F72836"/>
    <w:rsid w:val="03A0455D"/>
    <w:rsid w:val="069417FC"/>
    <w:rsid w:val="06BF513A"/>
    <w:rsid w:val="0EF025AF"/>
    <w:rsid w:val="0F361377"/>
    <w:rsid w:val="18CA612A"/>
    <w:rsid w:val="1A7E208A"/>
    <w:rsid w:val="1A961B54"/>
    <w:rsid w:val="1F81157D"/>
    <w:rsid w:val="214833BE"/>
    <w:rsid w:val="24DE343F"/>
    <w:rsid w:val="2CC0158B"/>
    <w:rsid w:val="2DE96F1F"/>
    <w:rsid w:val="2F933F0A"/>
    <w:rsid w:val="30505406"/>
    <w:rsid w:val="3202110F"/>
    <w:rsid w:val="33F377DB"/>
    <w:rsid w:val="3AAC0C28"/>
    <w:rsid w:val="3D5E2316"/>
    <w:rsid w:val="3FC2342D"/>
    <w:rsid w:val="401E496D"/>
    <w:rsid w:val="41F50D24"/>
    <w:rsid w:val="437550BC"/>
    <w:rsid w:val="47327934"/>
    <w:rsid w:val="484C5837"/>
    <w:rsid w:val="4FEB7D35"/>
    <w:rsid w:val="51B17512"/>
    <w:rsid w:val="53282859"/>
    <w:rsid w:val="5333729D"/>
    <w:rsid w:val="5E967E3E"/>
    <w:rsid w:val="61A70329"/>
    <w:rsid w:val="65020CAF"/>
    <w:rsid w:val="66A84C6B"/>
    <w:rsid w:val="68D31365"/>
    <w:rsid w:val="6BD83FB6"/>
    <w:rsid w:val="6CA87BDC"/>
    <w:rsid w:val="6DF77B3F"/>
    <w:rsid w:val="752A11A4"/>
    <w:rsid w:val="76297A8D"/>
    <w:rsid w:val="79C76D1A"/>
    <w:rsid w:val="7CD24261"/>
    <w:rsid w:val="7D512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0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0" w:semiHidden="0" w:name="toc 2"/>
    <w:lsdException w:qFormat="1" w:unhideWhenUsed="0" w:uiPriority="0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paragraph" w:styleId="2">
    <w:name w:val="heading 1"/>
    <w:basedOn w:val="1"/>
    <w:next w:val="1"/>
    <w:link w:val="31"/>
    <w:qFormat/>
    <w:uiPriority w:val="9"/>
    <w:pPr>
      <w:keepNext/>
      <w:keepLines/>
      <w:spacing w:before="340" w:after="330" w:line="578" w:lineRule="auto"/>
      <w:jc w:val="center"/>
      <w:outlineLvl w:val="0"/>
    </w:pPr>
    <w:rPr>
      <w:rFonts w:ascii="Times New Roman" w:hAnsi="Times New Roman" w:eastAsia="宋体"/>
      <w:b/>
      <w:bCs/>
      <w:kern w:val="44"/>
      <w:sz w:val="32"/>
      <w:szCs w:val="44"/>
    </w:rPr>
  </w:style>
  <w:style w:type="paragraph" w:styleId="3">
    <w:name w:val="heading 2"/>
    <w:basedOn w:val="1"/>
    <w:next w:val="1"/>
    <w:unhideWhenUsed/>
    <w:qFormat/>
    <w:uiPriority w:val="9"/>
    <w:pPr>
      <w:keepNext/>
      <w:keepLines/>
      <w:spacing w:before="260" w:beforeLines="0" w:beforeAutospacing="0" w:after="260" w:afterLines="0" w:afterAutospacing="0" w:line="413" w:lineRule="auto"/>
      <w:jc w:val="left"/>
      <w:outlineLvl w:val="1"/>
    </w:pPr>
    <w:rPr>
      <w:rFonts w:ascii="Arial" w:hAnsi="Arial" w:eastAsia="黑体"/>
      <w:b/>
      <w:sz w:val="28"/>
    </w:rPr>
  </w:style>
  <w:style w:type="paragraph" w:styleId="4">
    <w:name w:val="heading 3"/>
    <w:basedOn w:val="1"/>
    <w:next w:val="1"/>
    <w:unhideWhenUsed/>
    <w:qFormat/>
    <w:uiPriority w:val="0"/>
    <w:pPr>
      <w:numPr>
        <w:ilvl w:val="2"/>
        <w:numId w:val="1"/>
      </w:numPr>
      <w:spacing w:before="50" w:beforeLines="50" w:after="50" w:afterLines="50"/>
      <w:ind w:left="720" w:hanging="720"/>
      <w:outlineLvl w:val="2"/>
    </w:pPr>
    <w:rPr>
      <w:rFonts w:ascii="Times New Roman" w:hAnsi="Times New Roman" w:eastAsia="宋体" w:cs="Times New Roman"/>
      <w:sz w:val="28"/>
    </w:rPr>
  </w:style>
  <w:style w:type="paragraph" w:styleId="5">
    <w:name w:val="heading 4"/>
    <w:next w:val="1"/>
    <w:link w:val="28"/>
    <w:unhideWhenUsed/>
    <w:qFormat/>
    <w:uiPriority w:val="9"/>
    <w:pPr>
      <w:keepNext/>
      <w:keepLines/>
      <w:spacing w:after="3" w:line="259" w:lineRule="auto"/>
      <w:ind w:left="10" w:right="269" w:hanging="10"/>
      <w:jc w:val="center"/>
      <w:outlineLvl w:val="3"/>
    </w:pPr>
    <w:rPr>
      <w:rFonts w:ascii="微软雅黑" w:hAnsi="微软雅黑" w:eastAsia="微软雅黑" w:cs="微软雅黑"/>
      <w:color w:val="000000"/>
      <w:kern w:val="2"/>
      <w:sz w:val="20"/>
      <w:szCs w:val="22"/>
      <w:lang w:val="en-US" w:eastAsia="zh-CN" w:bidi="ar-SA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ody Text"/>
    <w:basedOn w:val="7"/>
    <w:next w:val="7"/>
    <w:qFormat/>
    <w:uiPriority w:val="0"/>
    <w:pPr>
      <w:widowControl w:val="0"/>
      <w:adjustRightInd w:val="0"/>
      <w:spacing w:before="156" w:after="0" w:line="312" w:lineRule="atLeast"/>
      <w:jc w:val="both"/>
      <w:textAlignment w:val="baseline"/>
    </w:pPr>
    <w:rPr>
      <w:rFonts w:ascii="宋体" w:hAnsi="Times New Roman"/>
      <w:sz w:val="24"/>
      <w:szCs w:val="20"/>
    </w:rPr>
  </w:style>
  <w:style w:type="paragraph" w:styleId="7">
    <w:name w:val="Title"/>
    <w:basedOn w:val="1"/>
    <w:next w:val="1"/>
    <w:qFormat/>
    <w:uiPriority w:val="0"/>
    <w:pPr>
      <w:widowControl w:val="0"/>
      <w:spacing w:before="240" w:after="60" w:line="240" w:lineRule="auto"/>
      <w:jc w:val="center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8">
    <w:name w:val="toc 3"/>
    <w:basedOn w:val="1"/>
    <w:next w:val="1"/>
    <w:qFormat/>
    <w:uiPriority w:val="0"/>
    <w:pPr>
      <w:ind w:left="840" w:leftChars="400"/>
      <w:jc w:val="left"/>
    </w:pPr>
    <w:rPr>
      <w:rFonts w:ascii="Courier New" w:hAnsi="Courier New" w:eastAsia="Courier New" w:cs="Courier New"/>
      <w:color w:val="000000"/>
      <w:kern w:val="0"/>
      <w:sz w:val="24"/>
      <w:szCs w:val="24"/>
      <w:lang w:val="zh-TW"/>
    </w:rPr>
  </w:style>
  <w:style w:type="paragraph" w:styleId="9">
    <w:name w:val="Plain Text"/>
    <w:basedOn w:val="1"/>
    <w:link w:val="25"/>
    <w:qFormat/>
    <w:uiPriority w:val="0"/>
    <w:rPr>
      <w:rFonts w:ascii="Courier New" w:hAnsi="Courier New" w:cstheme="minorBidi"/>
      <w:szCs w:val="22"/>
    </w:rPr>
  </w:style>
  <w:style w:type="paragraph" w:styleId="10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paragraph" w:styleId="11">
    <w:name w:val="footer"/>
    <w:basedOn w:val="1"/>
    <w:link w:val="22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toc 1"/>
    <w:basedOn w:val="1"/>
    <w:next w:val="1"/>
    <w:qFormat/>
    <w:uiPriority w:val="39"/>
    <w:pPr>
      <w:jc w:val="left"/>
    </w:pPr>
    <w:rPr>
      <w:rFonts w:ascii="Courier New" w:hAnsi="Courier New" w:eastAsia="Courier New" w:cs="Courier New"/>
      <w:color w:val="000000"/>
      <w:kern w:val="0"/>
      <w:sz w:val="24"/>
      <w:szCs w:val="24"/>
      <w:lang w:val="zh-TW"/>
    </w:rPr>
  </w:style>
  <w:style w:type="paragraph" w:styleId="14">
    <w:name w:val="toc 2"/>
    <w:basedOn w:val="1"/>
    <w:next w:val="1"/>
    <w:qFormat/>
    <w:uiPriority w:val="0"/>
    <w:pPr>
      <w:ind w:left="420" w:leftChars="200"/>
      <w:jc w:val="left"/>
    </w:pPr>
    <w:rPr>
      <w:rFonts w:ascii="Courier New" w:hAnsi="Courier New" w:eastAsia="Courier New" w:cs="Courier New"/>
      <w:color w:val="000000"/>
      <w:kern w:val="0"/>
      <w:sz w:val="24"/>
      <w:szCs w:val="24"/>
      <w:lang w:val="zh-TW"/>
    </w:rPr>
  </w:style>
  <w:style w:type="table" w:styleId="16">
    <w:name w:val="Table Grid"/>
    <w:basedOn w:val="15"/>
    <w:qFormat/>
    <w:uiPriority w:val="59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8">
    <w:name w:val="Strong"/>
    <w:basedOn w:val="17"/>
    <w:qFormat/>
    <w:uiPriority w:val="22"/>
    <w:rPr>
      <w:b/>
    </w:rPr>
  </w:style>
  <w:style w:type="character" w:styleId="19">
    <w:name w:val="page number"/>
    <w:basedOn w:val="17"/>
    <w:qFormat/>
    <w:uiPriority w:val="0"/>
  </w:style>
  <w:style w:type="character" w:styleId="20">
    <w:name w:val="Hyperlink"/>
    <w:basedOn w:val="17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21">
    <w:name w:val="页眉 Char1"/>
    <w:basedOn w:val="17"/>
    <w:link w:val="12"/>
    <w:qFormat/>
    <w:uiPriority w:val="99"/>
    <w:rPr>
      <w:sz w:val="18"/>
      <w:szCs w:val="18"/>
    </w:rPr>
  </w:style>
  <w:style w:type="character" w:customStyle="1" w:styleId="22">
    <w:name w:val="页脚 Char1"/>
    <w:basedOn w:val="17"/>
    <w:link w:val="11"/>
    <w:qFormat/>
    <w:uiPriority w:val="99"/>
    <w:rPr>
      <w:sz w:val="18"/>
      <w:szCs w:val="18"/>
    </w:rPr>
  </w:style>
  <w:style w:type="character" w:customStyle="1" w:styleId="23">
    <w:name w:val="页眉 Char"/>
    <w:semiHidden/>
    <w:qFormat/>
    <w:locked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24">
    <w:name w:val="页脚 Char"/>
    <w:semiHidden/>
    <w:qFormat/>
    <w:locked/>
    <w:uiPriority w:val="0"/>
    <w:rPr>
      <w:rFonts w:eastAsia="宋体"/>
      <w:kern w:val="2"/>
      <w:sz w:val="18"/>
      <w:lang w:val="en-US" w:eastAsia="zh-CN" w:bidi="ar-SA"/>
    </w:rPr>
  </w:style>
  <w:style w:type="character" w:customStyle="1" w:styleId="25">
    <w:name w:val="纯文本 Char"/>
    <w:link w:val="9"/>
    <w:qFormat/>
    <w:uiPriority w:val="0"/>
    <w:rPr>
      <w:rFonts w:ascii="Courier New" w:hAnsi="Courier New" w:eastAsia="宋体"/>
    </w:rPr>
  </w:style>
  <w:style w:type="character" w:customStyle="1" w:styleId="26">
    <w:name w:val="纯文本 字符"/>
    <w:basedOn w:val="17"/>
    <w:semiHidden/>
    <w:qFormat/>
    <w:uiPriority w:val="99"/>
    <w:rPr>
      <w:rFonts w:hAnsi="Courier New" w:cs="Courier New" w:asciiTheme="minorEastAsia"/>
      <w:szCs w:val="20"/>
    </w:rPr>
  </w:style>
  <w:style w:type="paragraph" w:styleId="27">
    <w:name w:val="List Paragraph"/>
    <w:basedOn w:val="1"/>
    <w:qFormat/>
    <w:uiPriority w:val="34"/>
    <w:pPr>
      <w:ind w:firstLine="420" w:firstLineChars="200"/>
    </w:pPr>
  </w:style>
  <w:style w:type="character" w:customStyle="1" w:styleId="28">
    <w:name w:val="标题 4 Char"/>
    <w:basedOn w:val="17"/>
    <w:link w:val="5"/>
    <w:qFormat/>
    <w:uiPriority w:val="9"/>
    <w:rPr>
      <w:rFonts w:ascii="微软雅黑" w:hAnsi="微软雅黑" w:eastAsia="微软雅黑" w:cs="微软雅黑"/>
      <w:color w:val="000000"/>
      <w:sz w:val="20"/>
    </w:rPr>
  </w:style>
  <w:style w:type="table" w:customStyle="1" w:styleId="29">
    <w:name w:val="TableGrid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0">
    <w:name w:val="批注框文本 Char"/>
    <w:basedOn w:val="17"/>
    <w:link w:val="10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标题 1 Char"/>
    <w:basedOn w:val="17"/>
    <w:link w:val="2"/>
    <w:qFormat/>
    <w:uiPriority w:val="9"/>
    <w:rPr>
      <w:rFonts w:ascii="Times New Roman" w:hAnsi="Times New Roman" w:eastAsia="宋体" w:cs="Times New Roman"/>
      <w:b/>
      <w:bCs/>
      <w:kern w:val="44"/>
      <w:sz w:val="32"/>
      <w:szCs w:val="44"/>
    </w:rPr>
  </w:style>
  <w:style w:type="character" w:customStyle="1" w:styleId="32">
    <w:name w:val="正文文本_"/>
    <w:link w:val="33"/>
    <w:qFormat/>
    <w:uiPriority w:val="0"/>
    <w:rPr>
      <w:rFonts w:ascii="MingLiU" w:hAnsi="MingLiU" w:eastAsia="MingLiU" w:cs="MingLiU"/>
      <w:sz w:val="20"/>
      <w:szCs w:val="20"/>
      <w:shd w:val="clear" w:color="auto" w:fill="FFFFFF"/>
    </w:rPr>
  </w:style>
  <w:style w:type="paragraph" w:customStyle="1" w:styleId="33">
    <w:name w:val="正文文本1"/>
    <w:basedOn w:val="1"/>
    <w:link w:val="32"/>
    <w:qFormat/>
    <w:uiPriority w:val="0"/>
    <w:pPr>
      <w:shd w:val="clear" w:color="auto" w:fill="FFFFFF"/>
      <w:spacing w:before="240" w:line="408" w:lineRule="exact"/>
      <w:ind w:hanging="480"/>
      <w:jc w:val="distribute"/>
    </w:pPr>
    <w:rPr>
      <w:rFonts w:ascii="MingLiU" w:hAnsi="MingLiU" w:eastAsia="MingLiU" w:cs="MingLiU"/>
      <w:sz w:val="20"/>
    </w:rPr>
  </w:style>
  <w:style w:type="paragraph" w:customStyle="1" w:styleId="34">
    <w:name w:val="WPSOffice手动目录 1"/>
    <w:qFormat/>
    <w:uiPriority w:val="0"/>
    <w:pPr>
      <w:ind w:leftChars="0"/>
    </w:pPr>
    <w:rPr>
      <w:rFonts w:asciiTheme="minorHAnsi" w:hAnsiTheme="minorHAnsi" w:eastAsiaTheme="minorEastAsia" w:cstheme="minorBidi"/>
      <w:sz w:val="20"/>
      <w:szCs w:val="20"/>
    </w:rPr>
  </w:style>
  <w:style w:type="paragraph" w:customStyle="1" w:styleId="35">
    <w:name w:val="WPSOffice手动目录 2"/>
    <w:qFormat/>
    <w:uiPriority w:val="0"/>
    <w:pPr>
      <w:ind w:leftChars="200"/>
    </w:pPr>
    <w:rPr>
      <w:rFonts w:asciiTheme="minorHAnsi" w:hAnsiTheme="minorHAnsi" w:eastAsiaTheme="minorEastAsia" w:cstheme="minorBidi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6D0F378-0F1F-45FA-88DB-D56870FA6E3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14</Pages>
  <Words>3394</Words>
  <Characters>4612</Characters>
  <Lines>71</Lines>
  <Paragraphs>20</Paragraphs>
  <TotalTime>1</TotalTime>
  <ScaleCrop>false</ScaleCrop>
  <LinksUpToDate>false</LinksUpToDate>
  <CharactersWithSpaces>4958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2018-01-19T02:54:00Z</dcterms:created>
  <dc:creator>行政部公用2</dc:creator>
  <cp:lastModifiedBy>zhouzz</cp:lastModifiedBy>
  <cp:lastPrinted>2026-05-07T05:37:00Z</cp:lastPrinted>
  <dcterms:modified xsi:type="dcterms:W3CDTF">2026-05-09T10:06:33Z</dcterms:modified>
  <cp:revision>31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4474C2B26FB64A10B92277055EDB0563</vt:lpwstr>
  </property>
  <property fmtid="{D5CDD505-2E9C-101B-9397-08002B2CF9AE}" pid="4" name="KSOTemplateDocerSaveRecord">
    <vt:lpwstr>eyJoZGlkIjoiMDIxNDM0NjE3MWY5MTY3ZDY4NTA5YmI5ZWFkM2FkMTQiLCJ1c2VySWQiOiIyNTYzNzQwMDIifQ==</vt:lpwstr>
  </property>
</Properties>
</file>