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C274A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val="0"/>
        <w:snapToGrid w:val="0"/>
        <w:spacing w:line="360" w:lineRule="auto"/>
        <w:jc w:val="left"/>
        <w:textAlignment w:val="auto"/>
        <w:rPr>
          <w:rFonts w:hint="eastAsia" w:asciiTheme="minorEastAsia" w:hAnsiTheme="minorEastAsia" w:cstheme="minorEastAsia"/>
          <w:b/>
          <w:bCs/>
          <w:snapToGrid w:val="0"/>
          <w:color w:val="auto"/>
          <w:kern w:val="0"/>
          <w:sz w:val="28"/>
          <w:szCs w:val="28"/>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28"/>
          <w:szCs w:val="28"/>
          <w:highlight w:val="none"/>
          <w:u w:val="none"/>
          <w:lang w:val="en-US" w:eastAsia="zh-CN"/>
        </w:rPr>
        <w:t>附件A</w:t>
      </w:r>
      <w:r>
        <w:rPr>
          <w:rFonts w:hint="eastAsia" w:asciiTheme="minorEastAsia" w:hAnsi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项目信息清单</w:t>
      </w:r>
      <w:r>
        <w:rPr>
          <w:rFonts w:hint="eastAsia" w:asciiTheme="minorEastAsia" w:hAnsiTheme="minorEastAsia" w:cstheme="minorEastAsia"/>
          <w:b/>
          <w:bCs/>
          <w:snapToGrid w:val="0"/>
          <w:color w:val="auto"/>
          <w:kern w:val="0"/>
          <w:sz w:val="28"/>
          <w:szCs w:val="28"/>
          <w:highlight w:val="none"/>
          <w:u w:val="none"/>
          <w:lang w:val="en-US" w:eastAsia="zh-CN"/>
        </w:rPr>
        <w:t>（</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标段2.110千伏湖石输变电工程（电气分册）（不含通信部分）施工</w:t>
      </w:r>
      <w:r>
        <w:rPr>
          <w:rFonts w:hint="eastAsia" w:asciiTheme="minorEastAsia" w:hAnsiTheme="minorEastAsia" w:cstheme="minorEastAsia"/>
          <w:b/>
          <w:bCs/>
          <w:snapToGrid w:val="0"/>
          <w:color w:val="auto"/>
          <w:kern w:val="0"/>
          <w:sz w:val="28"/>
          <w:szCs w:val="28"/>
          <w:highlight w:val="none"/>
          <w:u w:val="none"/>
          <w:lang w:val="en-US" w:eastAsia="zh-CN"/>
        </w:rPr>
        <w:t>）</w:t>
      </w:r>
    </w:p>
    <w:p w14:paraId="4C82074F">
      <w:pPr>
        <w:numPr>
          <w:ilvl w:val="0"/>
          <w:numId w:val="2"/>
        </w:numPr>
        <w:rPr>
          <w:rFonts w:hint="eastAsia" w:asciiTheme="minorEastAsia" w:hAnsiTheme="minorEastAsia" w:cstheme="minorEastAsia"/>
          <w:b/>
          <w:bCs/>
          <w:snapToGrid w:val="0"/>
          <w:color w:val="auto"/>
          <w:kern w:val="0"/>
          <w:sz w:val="28"/>
          <w:szCs w:val="28"/>
          <w:highlight w:val="none"/>
          <w:u w:val="none"/>
          <w:lang w:val="en-US" w:eastAsia="zh-CN"/>
        </w:rPr>
      </w:pPr>
      <w:r>
        <w:rPr>
          <w:rFonts w:hint="eastAsia" w:asciiTheme="minorEastAsia" w:hAnsiTheme="minorEastAsia" w:cstheme="minorEastAsia"/>
          <w:b/>
          <w:bCs/>
          <w:snapToGrid w:val="0"/>
          <w:color w:val="auto"/>
          <w:kern w:val="0"/>
          <w:sz w:val="28"/>
          <w:szCs w:val="28"/>
          <w:highlight w:val="none"/>
          <w:u w:val="none"/>
          <w:lang w:val="en-US" w:eastAsia="zh-CN"/>
        </w:rPr>
        <w:t>项目信息</w:t>
      </w:r>
    </w:p>
    <w:p w14:paraId="4B0C31B4">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heme="minorEastAsia" w:hAnsi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4"/>
          <w:szCs w:val="24"/>
          <w:highlight w:val="none"/>
          <w:u w:val="none"/>
          <w:lang w:val="en-US" w:eastAsia="zh-CN"/>
        </w:rPr>
        <w:t>招标前期资料</w:t>
      </w:r>
    </w:p>
    <w:tbl>
      <w:tblPr>
        <w:tblStyle w:val="13"/>
        <w:tblW w:w="91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3599"/>
        <w:gridCol w:w="4821"/>
      </w:tblGrid>
      <w:tr w14:paraId="48778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9" w:type="dxa"/>
            <w:vAlign w:val="center"/>
          </w:tcPr>
          <w:p w14:paraId="3D278C2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3599" w:type="dxa"/>
            <w:vAlign w:val="center"/>
          </w:tcPr>
          <w:p w14:paraId="39159915">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bookmarkStart w:id="4" w:name="_GoBack"/>
            <w:bookmarkEnd w:id="4"/>
          </w:p>
        </w:tc>
        <w:tc>
          <w:tcPr>
            <w:tcW w:w="4821" w:type="dxa"/>
            <w:vAlign w:val="center"/>
          </w:tcPr>
          <w:p w14:paraId="60A657F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文件文号</w:t>
            </w:r>
          </w:p>
        </w:tc>
      </w:tr>
      <w:tr w14:paraId="0CE9F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9" w:type="dxa"/>
            <w:vAlign w:val="center"/>
          </w:tcPr>
          <w:p w14:paraId="17BF6860">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599" w:type="dxa"/>
            <w:vAlign w:val="center"/>
          </w:tcPr>
          <w:p w14:paraId="3F38F120">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4821" w:type="dxa"/>
            <w:vAlign w:val="center"/>
          </w:tcPr>
          <w:p w14:paraId="011E54B9">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广供电基〔2025〕126 号</w:t>
            </w:r>
          </w:p>
        </w:tc>
      </w:tr>
      <w:tr w14:paraId="5A94A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9" w:type="dxa"/>
            <w:vAlign w:val="center"/>
          </w:tcPr>
          <w:p w14:paraId="44F098C4">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599" w:type="dxa"/>
            <w:vAlign w:val="center"/>
          </w:tcPr>
          <w:p w14:paraId="7A905415">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项目核准、备案文号</w:t>
            </w:r>
          </w:p>
        </w:tc>
        <w:tc>
          <w:tcPr>
            <w:tcW w:w="4821" w:type="dxa"/>
            <w:vAlign w:val="center"/>
          </w:tcPr>
          <w:p w14:paraId="0750F989">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穗发改核准〔2024〕41号</w:t>
            </w:r>
          </w:p>
        </w:tc>
      </w:tr>
      <w:tr w14:paraId="55785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9" w:type="dxa"/>
            <w:vAlign w:val="center"/>
          </w:tcPr>
          <w:p w14:paraId="74818553">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599" w:type="dxa"/>
            <w:vAlign w:val="center"/>
          </w:tcPr>
          <w:p w14:paraId="46707254">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初设批复文号</w:t>
            </w:r>
          </w:p>
        </w:tc>
        <w:tc>
          <w:tcPr>
            <w:tcW w:w="4821" w:type="dxa"/>
            <w:vAlign w:val="center"/>
          </w:tcPr>
          <w:p w14:paraId="6A16A7B2">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广供电基〔2025〕193 号</w:t>
            </w:r>
          </w:p>
        </w:tc>
      </w:tr>
      <w:tr w14:paraId="44E9A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9" w:type="dxa"/>
            <w:vAlign w:val="center"/>
          </w:tcPr>
          <w:p w14:paraId="5234CE6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599" w:type="dxa"/>
            <w:vAlign w:val="center"/>
          </w:tcPr>
          <w:p w14:paraId="7D01669D">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4821" w:type="dxa"/>
            <w:vAlign w:val="center"/>
          </w:tcPr>
          <w:p w14:paraId="3E37A58F">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广供电资〔2025〕41 号</w:t>
            </w:r>
          </w:p>
        </w:tc>
      </w:tr>
      <w:tr w14:paraId="00CD9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9" w:type="dxa"/>
            <w:vAlign w:val="center"/>
          </w:tcPr>
          <w:p w14:paraId="6A85CF5C">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599" w:type="dxa"/>
            <w:vAlign w:val="center"/>
          </w:tcPr>
          <w:p w14:paraId="434E50F8">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施工图预算批复文号</w:t>
            </w:r>
          </w:p>
        </w:tc>
        <w:tc>
          <w:tcPr>
            <w:tcW w:w="4821" w:type="dxa"/>
            <w:vAlign w:val="center"/>
          </w:tcPr>
          <w:p w14:paraId="1BE0D262">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14:paraId="07F34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9" w:type="dxa"/>
            <w:vAlign w:val="center"/>
          </w:tcPr>
          <w:p w14:paraId="08AAC378">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6</w:t>
            </w:r>
          </w:p>
        </w:tc>
        <w:tc>
          <w:tcPr>
            <w:tcW w:w="3599" w:type="dxa"/>
            <w:vAlign w:val="center"/>
          </w:tcPr>
          <w:p w14:paraId="52098ADD">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4821" w:type="dxa"/>
            <w:vAlign w:val="center"/>
          </w:tcPr>
          <w:p w14:paraId="78356E25">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34150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9" w:type="dxa"/>
            <w:vAlign w:val="center"/>
          </w:tcPr>
          <w:p w14:paraId="21043AF5">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599" w:type="dxa"/>
            <w:vAlign w:val="center"/>
          </w:tcPr>
          <w:p w14:paraId="26954DD1">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4821" w:type="dxa"/>
            <w:vAlign w:val="center"/>
          </w:tcPr>
          <w:p w14:paraId="223E84B0">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w:t>
            </w:r>
          </w:p>
        </w:tc>
      </w:tr>
      <w:tr w14:paraId="26A9A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9" w:type="dxa"/>
            <w:vAlign w:val="center"/>
          </w:tcPr>
          <w:p w14:paraId="73CF4CC9">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8</w:t>
            </w:r>
          </w:p>
        </w:tc>
        <w:tc>
          <w:tcPr>
            <w:tcW w:w="3599" w:type="dxa"/>
            <w:vAlign w:val="center"/>
          </w:tcPr>
          <w:p w14:paraId="0D7D4AA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4821" w:type="dxa"/>
            <w:vAlign w:val="center"/>
          </w:tcPr>
          <w:p w14:paraId="2B3D13C1">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广州市电力工程设计院有限公司</w:t>
            </w:r>
          </w:p>
        </w:tc>
      </w:tr>
      <w:tr w14:paraId="49007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9" w:type="dxa"/>
            <w:vAlign w:val="center"/>
          </w:tcPr>
          <w:p w14:paraId="770FB729">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9</w:t>
            </w:r>
          </w:p>
        </w:tc>
        <w:tc>
          <w:tcPr>
            <w:tcW w:w="3599" w:type="dxa"/>
            <w:vAlign w:val="center"/>
          </w:tcPr>
          <w:p w14:paraId="4DA7C5D9">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项目监理单位</w:t>
            </w:r>
          </w:p>
        </w:tc>
        <w:tc>
          <w:tcPr>
            <w:tcW w:w="4821" w:type="dxa"/>
            <w:vAlign w:val="center"/>
          </w:tcPr>
          <w:p w14:paraId="320A412D">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14:paraId="4A2F4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9" w:type="dxa"/>
            <w:vAlign w:val="center"/>
          </w:tcPr>
          <w:p w14:paraId="3770C293">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10</w:t>
            </w:r>
          </w:p>
        </w:tc>
        <w:tc>
          <w:tcPr>
            <w:tcW w:w="3599" w:type="dxa"/>
            <w:vAlign w:val="center"/>
          </w:tcPr>
          <w:p w14:paraId="564E69C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w:t>
            </w:r>
          </w:p>
        </w:tc>
        <w:tc>
          <w:tcPr>
            <w:tcW w:w="4821" w:type="dxa"/>
            <w:vAlign w:val="center"/>
          </w:tcPr>
          <w:p w14:paraId="42C5B82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合同签订之日起至202</w:t>
            </w:r>
            <w:r>
              <w:rPr>
                <w:rFonts w:hint="eastAsia" w:asciiTheme="minorEastAsia" w:hAnsiTheme="minorEastAsia" w:cstheme="minorEastAsia"/>
                <w:b w:val="0"/>
                <w:bCs w:val="0"/>
                <w:snapToGrid w:val="0"/>
                <w:color w:val="auto"/>
                <w:kern w:val="0"/>
                <w:sz w:val="24"/>
                <w:szCs w:val="24"/>
                <w:highlight w:val="none"/>
                <w:u w:val="single"/>
                <w:vertAlign w:val="baseline"/>
                <w:lang w:val="en-US" w:eastAsia="zh-CN"/>
              </w:rPr>
              <w:t>8</w:t>
            </w: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年</w:t>
            </w:r>
            <w:r>
              <w:rPr>
                <w:rFonts w:hint="eastAsia" w:asciiTheme="minorEastAsia" w:hAnsiTheme="minorEastAsia" w:cstheme="minorEastAsia"/>
                <w:b w:val="0"/>
                <w:bCs w:val="0"/>
                <w:snapToGrid w:val="0"/>
                <w:color w:val="auto"/>
                <w:kern w:val="0"/>
                <w:sz w:val="24"/>
                <w:szCs w:val="24"/>
                <w:highlight w:val="none"/>
                <w:u w:val="single"/>
                <w:vertAlign w:val="baseline"/>
                <w:lang w:val="en-US" w:eastAsia="zh-CN"/>
              </w:rPr>
              <w:t>12</w:t>
            </w: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月30日，实际工期以开工报告、竣工报告为准。</w:t>
            </w:r>
          </w:p>
        </w:tc>
      </w:tr>
    </w:tbl>
    <w:p w14:paraId="04F67DCF">
      <w:pPr>
        <w:pStyle w:val="2"/>
        <w:keepNext w:val="0"/>
        <w:keepLines w:val="0"/>
        <w:pageBreakBefore w:val="0"/>
        <w:shd w:val="clear" w:color="auto" w:fill="auto"/>
        <w:kinsoku/>
        <w:wordWrap/>
        <w:overflowPunct/>
        <w:topLinePunct w:val="0"/>
        <w:bidi w:val="0"/>
        <w:adjustRightInd w:val="0"/>
        <w:snapToGrid w:val="0"/>
        <w:spacing w:line="360" w:lineRule="auto"/>
        <w:ind w:firstLine="422" w:firstLineChars="200"/>
        <w:jc w:val="center"/>
        <w:textAlignment w:val="auto"/>
        <w:outlineLvl w:val="0"/>
        <w:rPr>
          <w:rFonts w:hint="default" w:hAnsi="宋体" w:cs="宋体"/>
          <w:b/>
          <w:color w:val="auto"/>
          <w:sz w:val="21"/>
          <w:szCs w:val="21"/>
          <w:highlight w:val="none"/>
          <w:lang w:val="en-US" w:eastAsia="zh-CN"/>
        </w:rPr>
      </w:pPr>
    </w:p>
    <w:bookmarkEnd w:id="0"/>
    <w:p w14:paraId="62CA2680">
      <w:pPr>
        <w:pStyle w:val="2"/>
        <w:keepNext w:val="0"/>
        <w:keepLines w:val="0"/>
        <w:pageBreakBefore w:val="0"/>
        <w:widowControl w:val="0"/>
        <w:numPr>
          <w:ilvl w:val="0"/>
          <w:numId w:val="3"/>
        </w:numPr>
        <w:shd w:val="clear" w:color="auto" w:fill="auto"/>
        <w:kinsoku/>
        <w:wordWrap/>
        <w:overflowPunct/>
        <w:topLinePunct w:val="0"/>
        <w:bidi w:val="0"/>
        <w:adjustRightInd w:val="0"/>
        <w:snapToGrid w:val="0"/>
        <w:spacing w:line="480" w:lineRule="exact"/>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hAnsi="宋体" w:eastAsia="宋体" w:cs="宋体"/>
          <w:b/>
          <w:color w:val="auto"/>
          <w:sz w:val="24"/>
          <w:szCs w:val="24"/>
          <w:highlight w:val="none"/>
          <w:lang w:val="en-US" w:eastAsia="zh-CN"/>
        </w:rPr>
        <w:t>建设概况</w:t>
      </w:r>
    </w:p>
    <w:p w14:paraId="4558ED4F">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color w:val="auto"/>
          <w:sz w:val="24"/>
          <w:szCs w:val="24"/>
          <w:highlight w:val="none"/>
          <w:lang w:val="en-US" w:eastAsia="zh-CN"/>
        </w:rPr>
      </w:pPr>
      <w:r>
        <w:rPr>
          <w:rFonts w:hint="eastAsia" w:asciiTheme="minorEastAsia" w:hAnsiTheme="minorEastAsia" w:eastAsiaTheme="minorEastAsia" w:cstheme="minorEastAsia"/>
          <w:b/>
          <w:color w:val="auto"/>
          <w:sz w:val="24"/>
          <w:szCs w:val="24"/>
          <w:highlight w:val="none"/>
          <w:lang w:val="en-US" w:eastAsia="zh-CN"/>
        </w:rPr>
        <w:t>※变电部分：</w:t>
      </w:r>
    </w:p>
    <w:p w14:paraId="013482A0">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lang w:val="en-US" w:eastAsia="zh-CN"/>
        </w:rPr>
      </w:pPr>
      <w:r>
        <w:rPr>
          <w:rFonts w:hint="eastAsia" w:asciiTheme="minorEastAsia" w:hAnsiTheme="minorEastAsia" w:eastAsiaTheme="minorEastAsia" w:cstheme="minorEastAsia"/>
          <w:bCs/>
          <w:color w:val="auto"/>
          <w:sz w:val="24"/>
          <w:szCs w:val="24"/>
          <w:highlight w:val="none"/>
          <w:lang w:val="en-US" w:eastAsia="zh-CN"/>
        </w:rPr>
        <w:t>1、110kV湖石变电站工程（电气分册）：本期新建主变压器2×63MVA，110kV出线2回，10kV出线32回，无功补偿4×6012kVar；远期主变压器3×63MVA，110kV出线3回，10kV出线48回，无功补偿4×6012kVar。</w:t>
      </w:r>
    </w:p>
    <w:p w14:paraId="7E869DC0">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lang w:val="en-US" w:eastAsia="zh-CN"/>
        </w:rPr>
      </w:pPr>
      <w:r>
        <w:rPr>
          <w:rFonts w:hint="eastAsia" w:asciiTheme="minorEastAsia" w:hAnsiTheme="minorEastAsia" w:eastAsiaTheme="minorEastAsia" w:cstheme="minorEastAsia"/>
          <w:bCs/>
          <w:color w:val="auto"/>
          <w:sz w:val="24"/>
          <w:szCs w:val="24"/>
          <w:highlight w:val="none"/>
          <w:lang w:val="en-US" w:eastAsia="zh-CN"/>
        </w:rPr>
        <w:t>2、220kV界观站扩建出线间隔工程：本期在220kV界观站扩建110kVGIS出线间隔1个。</w:t>
      </w:r>
    </w:p>
    <w:p w14:paraId="59C758A5">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1"/>
          <w:szCs w:val="21"/>
          <w:highlight w:val="none"/>
          <w:lang w:val="en-US" w:eastAsia="zh-CN"/>
        </w:rPr>
      </w:pPr>
      <w:r>
        <w:rPr>
          <w:rFonts w:hint="eastAsia" w:asciiTheme="minorEastAsia" w:hAnsiTheme="minorEastAsia" w:eastAsiaTheme="minorEastAsia" w:cstheme="minorEastAsia"/>
          <w:bCs/>
          <w:color w:val="auto"/>
          <w:sz w:val="24"/>
          <w:szCs w:val="24"/>
          <w:highlight w:val="none"/>
          <w:lang w:val="en-US" w:eastAsia="zh-CN"/>
        </w:rPr>
        <w:t>3、220kV茶山站间隔改造工程：本期更换2个间隔架空引下线及线夹。</w:t>
      </w:r>
    </w:p>
    <w:p w14:paraId="51F30FF1">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1"/>
          <w:szCs w:val="21"/>
          <w:highlight w:val="none"/>
          <w:lang w:val="en-US" w:eastAsia="zh-CN"/>
        </w:rPr>
      </w:pPr>
      <w:r>
        <w:rPr>
          <w:rFonts w:hint="eastAsia" w:asciiTheme="minorEastAsia" w:hAnsiTheme="minorEastAsia" w:eastAsiaTheme="minorEastAsia" w:cstheme="minorEastAsia"/>
          <w:b/>
          <w:color w:val="auto"/>
          <w:sz w:val="24"/>
          <w:szCs w:val="24"/>
          <w:highlight w:val="none"/>
          <w:lang w:val="en-US" w:eastAsia="zh-CN"/>
        </w:rPr>
        <w:t>※电缆线路部分：</w:t>
      </w:r>
    </w:p>
    <w:p w14:paraId="0F6474B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lang w:val="en-US" w:eastAsia="zh-CN"/>
        </w:rPr>
      </w:pPr>
      <w:r>
        <w:rPr>
          <w:rFonts w:hint="eastAsia" w:asciiTheme="minorEastAsia" w:hAnsiTheme="minorEastAsia" w:eastAsiaTheme="minorEastAsia" w:cstheme="minorEastAsia"/>
          <w:bCs/>
          <w:color w:val="auto"/>
          <w:sz w:val="24"/>
          <w:szCs w:val="24"/>
          <w:highlight w:val="none"/>
          <w:lang w:val="en-US" w:eastAsia="zh-CN"/>
        </w:rPr>
        <w:t>1、110kV湖石接入界观站电缆线路工程：新建单回电缆线路路径长1×5.91km，电缆型号：YJLW03-Z-64/110-1×1200。</w:t>
      </w:r>
    </w:p>
    <w:p w14:paraId="54057DD4">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1"/>
          <w:szCs w:val="21"/>
          <w:highlight w:val="none"/>
          <w:lang w:val="en-US" w:eastAsia="zh-CN"/>
        </w:rPr>
      </w:pPr>
      <w:r>
        <w:rPr>
          <w:rFonts w:hint="eastAsia" w:asciiTheme="minorEastAsia" w:hAnsiTheme="minorEastAsia" w:eastAsiaTheme="minorEastAsia" w:cstheme="minorEastAsia"/>
          <w:bCs/>
          <w:color w:val="auto"/>
          <w:sz w:val="24"/>
          <w:szCs w:val="24"/>
          <w:highlight w:val="none"/>
          <w:lang w:val="en-US" w:eastAsia="zh-CN"/>
        </w:rPr>
        <w:t>2、110kV湖石T接茶汉乙线电缆线路工程：新建单回电缆线路路径长1×3.408km，电缆型号：YJLW03-Z-64/110-1×1200。</w:t>
      </w:r>
    </w:p>
    <w:p w14:paraId="4C019EF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color w:val="auto"/>
          <w:sz w:val="24"/>
          <w:szCs w:val="24"/>
          <w:highlight w:val="none"/>
          <w:lang w:val="en-US" w:eastAsia="zh-CN"/>
        </w:rPr>
      </w:pPr>
      <w:r>
        <w:rPr>
          <w:rFonts w:hint="eastAsia" w:asciiTheme="minorEastAsia" w:hAnsiTheme="minorEastAsia" w:eastAsiaTheme="minorEastAsia" w:cstheme="minorEastAsia"/>
          <w:b/>
          <w:color w:val="auto"/>
          <w:sz w:val="24"/>
          <w:szCs w:val="24"/>
          <w:highlight w:val="none"/>
          <w:lang w:val="en-US" w:eastAsia="zh-CN"/>
        </w:rPr>
        <w:t>※架空线路部分：</w:t>
      </w:r>
    </w:p>
    <w:p w14:paraId="4F4EEC4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1"/>
          <w:szCs w:val="21"/>
          <w:highlight w:val="none"/>
          <w:lang w:val="en-US" w:eastAsia="zh-CN"/>
        </w:rPr>
      </w:pPr>
      <w:r>
        <w:rPr>
          <w:rFonts w:hint="eastAsia" w:asciiTheme="minorEastAsia" w:hAnsiTheme="minorEastAsia" w:eastAsiaTheme="minorEastAsia" w:cstheme="minorEastAsia"/>
          <w:bCs/>
          <w:color w:val="auto"/>
          <w:sz w:val="24"/>
          <w:szCs w:val="24"/>
          <w:highlight w:val="none"/>
          <w:lang w:val="en-US" w:eastAsia="zh-CN"/>
        </w:rPr>
        <w:t>1、110kV茶汉甲线茶观乙线同塔线路增容改造工程：本工程更换110kV茶汉甲茶观乙线茶山站构架～#13塔段，#18～#21塔段，#23～E1塔段三段导线为增容导线，增容导线型号采用JNRLH3/LBY10-200/45，改造线路长约2×4.25km。</w:t>
      </w:r>
    </w:p>
    <w:p w14:paraId="2E6AB99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color w:val="auto"/>
          <w:sz w:val="24"/>
          <w:szCs w:val="24"/>
          <w:highlight w:val="none"/>
          <w:u w:val="single"/>
        </w:rPr>
      </w:pPr>
      <w:r>
        <w:rPr>
          <w:rFonts w:hint="eastAsia" w:asciiTheme="minorEastAsia" w:hAnsiTheme="minorEastAsia" w:eastAsiaTheme="minorEastAsia" w:cstheme="minorEastAsia"/>
          <w:b/>
          <w:color w:val="auto"/>
          <w:sz w:val="24"/>
          <w:szCs w:val="24"/>
          <w:highlight w:val="none"/>
          <w:u w:val="single"/>
        </w:rPr>
        <w:t>具体建设规模以施工图纸为准。</w:t>
      </w:r>
    </w:p>
    <w:p w14:paraId="46F483BC">
      <w:pPr>
        <w:pStyle w:val="2"/>
        <w:keepNext w:val="0"/>
        <w:keepLines w:val="0"/>
        <w:pageBreakBefore w:val="0"/>
        <w:widowControl w:val="0"/>
        <w:numPr>
          <w:ilvl w:val="0"/>
          <w:numId w:val="3"/>
        </w:numPr>
        <w:shd w:val="clear" w:color="auto" w:fill="auto"/>
        <w:kinsoku/>
        <w:wordWrap/>
        <w:overflowPunct/>
        <w:topLinePunct w:val="0"/>
        <w:bidi w:val="0"/>
        <w:adjustRightInd w:val="0"/>
        <w:snapToGrid w:val="0"/>
        <w:spacing w:line="480" w:lineRule="exact"/>
        <w:ind w:left="0" w:leftChars="0" w:firstLine="0" w:firstLineChars="0"/>
        <w:textAlignment w:val="auto"/>
        <w:outlineLvl w:val="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4"/>
          <w:szCs w:val="24"/>
          <w:highlight w:val="none"/>
          <w:lang w:val="en-US" w:eastAsia="zh-CN"/>
        </w:rPr>
        <w:t>采购范围</w:t>
      </w:r>
      <w:bookmarkStart w:id="1" w:name="施工招标范围综合"/>
    </w:p>
    <w:bookmarkEnd w:id="1"/>
    <w:p w14:paraId="3250C4E8">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val="0"/>
        <w:snapToGrid w:val="0"/>
        <w:spacing w:line="360" w:lineRule="auto"/>
        <w:ind w:firstLine="482" w:firstLineChars="200"/>
        <w:jc w:val="both"/>
        <w:textAlignment w:val="auto"/>
        <w:outlineLvl w:val="9"/>
        <w:rPr>
          <w:rFonts w:hint="eastAsia" w:asciiTheme="minorEastAsia" w:hAnsiTheme="minorEastAsia" w:eastAsiaTheme="minorEastAsia" w:cstheme="minorEastAsia"/>
          <w:b w:val="0"/>
          <w:bCs w:val="0"/>
          <w:color w:val="auto"/>
          <w:sz w:val="21"/>
          <w:szCs w:val="21"/>
          <w:highlight w:val="none"/>
          <w:u w:val="single"/>
          <w:lang w:val="en-US" w:eastAsia="zh-CN"/>
        </w:rPr>
      </w:pPr>
      <w:r>
        <w:rPr>
          <w:rFonts w:hint="eastAsia" w:asciiTheme="minorEastAsia" w:hAnsiTheme="minorEastAsia" w:eastAsiaTheme="minorEastAsia" w:cstheme="minorEastAsia"/>
          <w:b/>
          <w:bCs/>
          <w:color w:val="auto"/>
          <w:sz w:val="24"/>
          <w:szCs w:val="24"/>
          <w:highlight w:val="none"/>
          <w:lang w:val="en-US" w:eastAsia="zh-CN"/>
        </w:rPr>
        <w:t>包括施工图范围内的建筑、安装及调试工程。施工图范围内的下列工作内容，无□及</w:t>
      </w:r>
      <w:r>
        <w:rPr>
          <w:rFonts w:hint="eastAsia" w:asciiTheme="minorEastAsia" w:hAnsiTheme="minorEastAsia" w:eastAsiaTheme="minorEastAsia" w:cstheme="minorEastAsia"/>
          <w:b/>
          <w:bCs/>
          <w:color w:val="auto"/>
          <w:sz w:val="24"/>
          <w:szCs w:val="24"/>
          <w:highlight w:val="none"/>
          <w:lang w:val="en-US" w:eastAsia="zh-CN"/>
        </w:rPr>
        <w:fldChar w:fldCharType="begin"/>
      </w:r>
      <w:r>
        <w:rPr>
          <w:rFonts w:hint="eastAsia" w:asciiTheme="minorEastAsia" w:hAnsiTheme="minorEastAsia" w:eastAsiaTheme="minorEastAsia" w:cstheme="minorEastAsia"/>
          <w:b/>
          <w:bCs/>
          <w:color w:val="auto"/>
          <w:sz w:val="24"/>
          <w:szCs w:val="24"/>
          <w:highlight w:val="none"/>
          <w:lang w:val="en-US" w:eastAsia="zh-CN"/>
        </w:rPr>
        <w:instrText xml:space="preserve"> EQ \o\ac(□,√)</w:instrText>
      </w:r>
      <w:r>
        <w:rPr>
          <w:rFonts w:hint="eastAsia" w:asciiTheme="minorEastAsia" w:hAnsiTheme="minorEastAsia" w:eastAsiaTheme="minorEastAsia" w:cstheme="minorEastAsia"/>
          <w:b/>
          <w:bCs/>
          <w:color w:val="auto"/>
          <w:sz w:val="24"/>
          <w:szCs w:val="24"/>
          <w:highlight w:val="none"/>
          <w:lang w:val="en-US" w:eastAsia="zh-CN"/>
        </w:rPr>
        <w:fldChar w:fldCharType="end"/>
      </w:r>
      <w:r>
        <w:rPr>
          <w:rFonts w:hint="eastAsia" w:asciiTheme="minorEastAsia" w:hAnsiTheme="minorEastAsia" w:eastAsiaTheme="minorEastAsia" w:cstheme="minorEastAsia"/>
          <w:b/>
          <w:bCs/>
          <w:color w:val="auto"/>
          <w:sz w:val="24"/>
          <w:szCs w:val="24"/>
          <w:highlight w:val="none"/>
          <w:lang w:val="en-US" w:eastAsia="zh-CN"/>
        </w:rPr>
        <w:t>的为本次范围；□未打√的，不在本次范围内，特殊情况在“其他”中说明。</w:t>
      </w:r>
    </w:p>
    <w:p w14:paraId="72DAA730">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val="0"/>
        <w:snapToGrid w:val="0"/>
        <w:spacing w:line="360" w:lineRule="auto"/>
        <w:ind w:firstLine="482" w:firstLineChars="200"/>
        <w:jc w:val="both"/>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※变电部分</w:t>
      </w:r>
    </w:p>
    <w:p w14:paraId="051165FE">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val="0"/>
        <w:snapToGrid w:val="0"/>
        <w:spacing w:line="360" w:lineRule="auto"/>
        <w:ind w:firstLine="482" w:firstLineChars="200"/>
        <w:jc w:val="both"/>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变电建筑工程：</w:t>
      </w:r>
    </w:p>
    <w:p w14:paraId="5CFF0244">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（一）主要生产工程：</w:t>
      </w:r>
      <w:r>
        <w:rPr>
          <w:rFonts w:hint="eastAsia" w:asciiTheme="minorEastAsia" w:hAnsiTheme="minorEastAsia" w:eastAsiaTheme="minorEastAsia" w:cstheme="minorEastAsia"/>
          <w:color w:val="auto"/>
          <w:kern w:val="0"/>
          <w:sz w:val="24"/>
          <w:szCs w:val="24"/>
          <w:highlight w:val="none"/>
          <w:lang w:val="en-US" w:eastAsia="zh-CN"/>
        </w:rPr>
        <w:t>主要生产建筑，配电装置建筑，供水系统，消防系统；</w:t>
      </w:r>
    </w:p>
    <w:p w14:paraId="5C55F51C">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（二）辅助生产工程：</w:t>
      </w:r>
      <w:r>
        <w:rPr>
          <w:rFonts w:hint="eastAsia" w:asciiTheme="minorEastAsia" w:hAnsiTheme="minorEastAsia" w:eastAsiaTheme="minorEastAsia" w:cstheme="minorEastAsia"/>
          <w:color w:val="auto"/>
          <w:kern w:val="0"/>
          <w:sz w:val="24"/>
          <w:szCs w:val="24"/>
          <w:highlight w:val="none"/>
          <w:lang w:val="en-US" w:eastAsia="zh-CN"/>
        </w:rPr>
        <w:t>辅助生产建筑，站区性建筑，特殊构筑物，全站沉降观测点，站区绿化；</w:t>
      </w:r>
    </w:p>
    <w:p w14:paraId="1299B135">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val="0"/>
        <w:snapToGrid w:val="0"/>
        <w:spacing w:line="360" w:lineRule="auto"/>
        <w:ind w:firstLine="482" w:firstLineChars="200"/>
        <w:jc w:val="both"/>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（三）与站址有关的单项工程：</w:t>
      </w:r>
    </w:p>
    <w:p w14:paraId="4667BBCD">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val="0"/>
        <w:autoSpaceDN w:val="0"/>
        <w:bidi w:val="0"/>
        <w:adjustRightInd w:val="0"/>
        <w:spacing w:line="360" w:lineRule="auto"/>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□地基处理，□站外道路（其中□桥涵），□站外水源，□站外排水，□施工降水，□临时施工电源，□临时施工水源，□临时施工道路，□临时施工通信线路，□临时施工防护工程；</w:t>
      </w:r>
    </w:p>
    <w:p w14:paraId="1EF3CA32">
      <w:pPr>
        <w:keepNext w:val="0"/>
        <w:keepLines w:val="0"/>
        <w:pageBreakBefore w:val="0"/>
        <w:widowControl w:val="0"/>
        <w:kinsoku/>
        <w:wordWrap/>
        <w:overflowPunct/>
        <w:topLinePunct w:val="0"/>
        <w:autoSpaceDE w:val="0"/>
        <w:autoSpaceDN w:val="0"/>
        <w:bidi w:val="0"/>
        <w:adjustRightInd w:val="0"/>
        <w:snapToGrid/>
        <w:spacing w:line="360" w:lineRule="auto"/>
        <w:ind w:firstLine="420"/>
        <w:jc w:val="left"/>
        <w:textAlignment w:val="auto"/>
        <w:outlineLvl w:val="9"/>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（四）其他费用工程：</w:t>
      </w:r>
      <w:r>
        <w:rPr>
          <w:rFonts w:hint="eastAsia" w:asciiTheme="minorEastAsia" w:hAnsiTheme="minorEastAsia" w:eastAsiaTheme="minorEastAsia" w:cstheme="minorEastAsia"/>
          <w:color w:val="auto"/>
          <w:kern w:val="0"/>
          <w:sz w:val="24"/>
          <w:szCs w:val="24"/>
          <w:highlight w:val="none"/>
          <w:lang w:val="en-US" w:eastAsia="zh-CN"/>
        </w:rPr>
        <w:t>☑白蚁防治，☑拆除工程；</w:t>
      </w:r>
    </w:p>
    <w:p w14:paraId="08E80806">
      <w:pPr>
        <w:keepNext w:val="0"/>
        <w:keepLines w:val="0"/>
        <w:pageBreakBefore w:val="0"/>
        <w:widowControl w:val="0"/>
        <w:kinsoku/>
        <w:wordWrap/>
        <w:overflowPunct/>
        <w:topLinePunct w:val="0"/>
        <w:autoSpaceDE w:val="0"/>
        <w:autoSpaceDN w:val="0"/>
        <w:bidi w:val="0"/>
        <w:adjustRightInd w:val="0"/>
        <w:snapToGrid/>
        <w:spacing w:line="360" w:lineRule="auto"/>
        <w:ind w:firstLine="420"/>
        <w:jc w:val="left"/>
        <w:textAlignment w:val="auto"/>
        <w:outlineLvl w:val="9"/>
        <w:rPr>
          <w:rFonts w:hint="eastAsia" w:ascii="宋体" w:hAnsi="宋体" w:eastAsia="宋体" w:cs="宋体"/>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（五）其他：</w:t>
      </w:r>
      <w:r>
        <w:rPr>
          <w:rFonts w:hint="eastAsia" w:asciiTheme="minorEastAsia" w:hAnsiTheme="minorEastAsia" w:eastAsiaTheme="minorEastAsia" w:cstheme="minorEastAsia"/>
          <w:b/>
          <w:bCs/>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临时施工电源不计入正式合同价，按实际工程量并计取中标下浮率进行结算。</w:t>
      </w:r>
    </w:p>
    <w:p w14:paraId="580FB24B">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val="0"/>
        <w:snapToGrid w:val="0"/>
        <w:spacing w:line="360" w:lineRule="auto"/>
        <w:ind w:firstLine="482" w:firstLineChars="200"/>
        <w:jc w:val="both"/>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变电安装工程：</w:t>
      </w:r>
    </w:p>
    <w:p w14:paraId="305F731F">
      <w:pPr>
        <w:keepNext w:val="0"/>
        <w:keepLines w:val="0"/>
        <w:pageBreakBefore w:val="0"/>
        <w:widowControl w:val="0"/>
        <w:numPr>
          <w:ilvl w:val="0"/>
          <w:numId w:val="0"/>
        </w:numPr>
        <w:kinsoku/>
        <w:wordWrap/>
        <w:overflowPunct/>
        <w:topLinePunct w:val="0"/>
        <w:bidi w:val="0"/>
        <w:snapToGrid/>
        <w:spacing w:line="360" w:lineRule="auto"/>
        <w:ind w:firstLine="482" w:firstLineChars="200"/>
        <w:textAlignment w:val="auto"/>
        <w:outlineLvl w:val="9"/>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（一）主要生产工程：</w:t>
      </w:r>
      <w:r>
        <w:rPr>
          <w:rFonts w:hint="eastAsia" w:asciiTheme="minorEastAsia" w:hAnsiTheme="minorEastAsia" w:eastAsiaTheme="minorEastAsia" w:cstheme="minorEastAsia"/>
          <w:color w:val="auto"/>
          <w:kern w:val="0"/>
          <w:sz w:val="24"/>
          <w:szCs w:val="24"/>
          <w:highlight w:val="none"/>
          <w:lang w:val="en-US" w:eastAsia="zh-CN"/>
        </w:rPr>
        <w:t>主变压器系统，配电装置，无功补偿，控制及直流系统，站用电系统，电缆及接地，远动系统（含总调、中调、地调调度端的扩容），计费系统，全站调试（其中特殊调试以合同附件特殊调试项目为准）；</w:t>
      </w:r>
    </w:p>
    <w:p w14:paraId="0FEF09A8">
      <w:pPr>
        <w:keepNext w:val="0"/>
        <w:keepLines w:val="0"/>
        <w:pageBreakBefore w:val="0"/>
        <w:widowControl w:val="0"/>
        <w:kinsoku/>
        <w:wordWrap/>
        <w:overflowPunct/>
        <w:topLinePunct w:val="0"/>
        <w:autoSpaceDE w:val="0"/>
        <w:autoSpaceDN w:val="0"/>
        <w:bidi w:val="0"/>
        <w:adjustRightInd w:val="0"/>
        <w:snapToGrid/>
        <w:spacing w:line="360" w:lineRule="auto"/>
        <w:ind w:firstLine="420"/>
        <w:jc w:val="left"/>
        <w:textAlignment w:val="auto"/>
        <w:outlineLvl w:val="9"/>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（二）与站址有关的单项工程：</w:t>
      </w:r>
      <w:r>
        <w:rPr>
          <w:rFonts w:hint="eastAsia" w:asciiTheme="minorEastAsia" w:hAnsiTheme="minorEastAsia" w:eastAsiaTheme="minorEastAsia" w:cstheme="minorEastAsia"/>
          <w:color w:val="auto"/>
          <w:kern w:val="0"/>
          <w:sz w:val="24"/>
          <w:szCs w:val="24"/>
          <w:highlight w:val="none"/>
          <w:lang w:val="en-US" w:eastAsia="zh-CN"/>
        </w:rPr>
        <w:t>□站外电源，□站外通信；</w:t>
      </w:r>
    </w:p>
    <w:p w14:paraId="514E19AC">
      <w:pPr>
        <w:keepNext w:val="0"/>
        <w:keepLines w:val="0"/>
        <w:pageBreakBefore w:val="0"/>
        <w:widowControl w:val="0"/>
        <w:kinsoku/>
        <w:wordWrap/>
        <w:overflowPunct/>
        <w:topLinePunct w:val="0"/>
        <w:autoSpaceDE w:val="0"/>
        <w:autoSpaceDN w:val="0"/>
        <w:bidi w:val="0"/>
        <w:adjustRightInd w:val="0"/>
        <w:snapToGrid/>
        <w:spacing w:line="360" w:lineRule="auto"/>
        <w:ind w:firstLine="420"/>
        <w:jc w:val="left"/>
        <w:textAlignment w:val="auto"/>
        <w:outlineLvl w:val="9"/>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（三）其他费用工程：</w:t>
      </w:r>
      <w:r>
        <w:rPr>
          <w:rFonts w:hint="eastAsia" w:asciiTheme="minorEastAsia" w:hAnsiTheme="minorEastAsia" w:eastAsiaTheme="minorEastAsia" w:cstheme="minorEastAsia"/>
          <w:color w:val="auto"/>
          <w:kern w:val="0"/>
          <w:sz w:val="24"/>
          <w:szCs w:val="24"/>
          <w:highlight w:val="none"/>
          <w:lang w:val="en-US" w:eastAsia="zh-CN"/>
        </w:rPr>
        <w:t>□标志牌安装，☑拆除工程；</w:t>
      </w:r>
    </w:p>
    <w:p w14:paraId="5F00EEFA">
      <w:pPr>
        <w:keepNext w:val="0"/>
        <w:keepLines w:val="0"/>
        <w:pageBreakBefore w:val="0"/>
        <w:widowControl w:val="0"/>
        <w:kinsoku/>
        <w:wordWrap/>
        <w:overflowPunct/>
        <w:topLinePunct w:val="0"/>
        <w:autoSpaceDE w:val="0"/>
        <w:autoSpaceDN w:val="0"/>
        <w:bidi w:val="0"/>
        <w:adjustRightInd w:val="0"/>
        <w:snapToGrid/>
        <w:spacing w:line="360" w:lineRule="auto"/>
        <w:ind w:firstLine="420"/>
        <w:jc w:val="left"/>
        <w:textAlignment w:val="auto"/>
        <w:outlineLvl w:val="9"/>
        <w:rPr>
          <w:rFonts w:hint="eastAsia" w:ascii="宋体" w:hAnsi="宋体" w:eastAsia="宋体" w:cs="宋体"/>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（四）其他：</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bCs/>
          <w:color w:val="auto"/>
          <w:sz w:val="24"/>
          <w:szCs w:val="24"/>
          <w:highlight w:val="none"/>
          <w:u w:val="single"/>
          <w:lang w:val="en-US" w:eastAsia="zh-CN"/>
        </w:rPr>
        <w:t xml:space="preserve">光伏工程   </w:t>
      </w:r>
      <w:r>
        <w:rPr>
          <w:rFonts w:hint="eastAsia" w:ascii="宋体" w:hAnsi="宋体" w:eastAsia="宋体" w:cs="宋体"/>
          <w:color w:val="auto"/>
          <w:sz w:val="24"/>
          <w:szCs w:val="24"/>
          <w:highlight w:val="none"/>
          <w:u w:val="single"/>
          <w:lang w:val="en-US" w:eastAsia="zh-CN"/>
        </w:rPr>
        <w:t>。</w:t>
      </w:r>
    </w:p>
    <w:p w14:paraId="568769C0">
      <w:pPr>
        <w:pStyle w:val="2"/>
        <w:spacing w:line="360" w:lineRule="auto"/>
        <w:ind w:firstLine="482" w:firstLineChars="200"/>
        <w:jc w:val="left"/>
        <w:rPr>
          <w:rFonts w:hint="eastAsia" w:ascii="宋体" w:hAnsi="宋体" w:eastAsia="宋体" w:cs="宋体"/>
          <w:b/>
          <w:bCs/>
          <w:color w:val="auto"/>
          <w:sz w:val="24"/>
          <w:szCs w:val="24"/>
          <w:highlight w:val="none"/>
        </w:rPr>
      </w:pPr>
    </w:p>
    <w:p w14:paraId="43A43576">
      <w:pPr>
        <w:keepNext w:val="0"/>
        <w:keepLines w:val="0"/>
        <w:pageBreakBefore w:val="0"/>
        <w:widowControl w:val="0"/>
        <w:kinsoku/>
        <w:wordWrap/>
        <w:overflowPunct/>
        <w:topLinePunct w:val="0"/>
        <w:autoSpaceDE w:val="0"/>
        <w:autoSpaceDN w:val="0"/>
        <w:bidi w:val="0"/>
        <w:adjustRightInd w:val="0"/>
        <w:snapToGrid/>
        <w:spacing w:line="360" w:lineRule="auto"/>
        <w:ind w:firstLine="42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※电缆线路部分</w:t>
      </w:r>
    </w:p>
    <w:p w14:paraId="4D8F0161">
      <w:pPr>
        <w:keepNext w:val="0"/>
        <w:keepLines w:val="0"/>
        <w:pageBreakBefore w:val="0"/>
        <w:widowControl w:val="0"/>
        <w:kinsoku/>
        <w:wordWrap/>
        <w:overflowPunct/>
        <w:topLinePunct w:val="0"/>
        <w:autoSpaceDE w:val="0"/>
        <w:autoSpaceDN w:val="0"/>
        <w:bidi w:val="0"/>
        <w:adjustRightInd w:val="0"/>
        <w:snapToGrid/>
        <w:spacing w:line="360" w:lineRule="auto"/>
        <w:ind w:firstLine="42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施工图纸范围内的电缆建筑：</w:t>
      </w:r>
    </w:p>
    <w:p w14:paraId="0EC8FA2A">
      <w:pPr>
        <w:autoSpaceDE w:val="0"/>
        <w:autoSpaceDN w:val="0"/>
        <w:adjustRightInd w:val="0"/>
        <w:spacing w:line="360" w:lineRule="auto"/>
        <w:ind w:firstLine="482" w:firstLineChars="200"/>
        <w:jc w:val="lef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（一）土石方：</w:t>
      </w:r>
      <w:r>
        <w:rPr>
          <w:rFonts w:hint="eastAsia" w:asciiTheme="minorEastAsia" w:hAnsiTheme="minorEastAsia" w:eastAsiaTheme="minorEastAsia" w:cstheme="minorEastAsia"/>
          <w:color w:val="auto"/>
          <w:kern w:val="0"/>
          <w:sz w:val="24"/>
          <w:szCs w:val="24"/>
          <w:highlight w:val="none"/>
          <w:lang w:val="en-US" w:eastAsia="zh-CN"/>
        </w:rPr>
        <w:t>材料运输，土石方挖填，开挖路面，修复路面，隧道挖填；</w:t>
      </w:r>
    </w:p>
    <w:p w14:paraId="4AEBB604">
      <w:pPr>
        <w:autoSpaceDE w:val="0"/>
        <w:autoSpaceDN w:val="0"/>
        <w:adjustRightInd w:val="0"/>
        <w:spacing w:line="360" w:lineRule="auto"/>
        <w:ind w:firstLine="482" w:firstLineChars="200"/>
        <w:jc w:val="left"/>
        <w:rPr>
          <w:rFonts w:hint="eastAsia" w:ascii="宋体" w:hAnsi="宋体" w:eastAsia="宋体" w:cs="宋体"/>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（二）构筑物：</w:t>
      </w:r>
      <w:r>
        <w:rPr>
          <w:rFonts w:hint="eastAsia" w:asciiTheme="minorEastAsia" w:hAnsiTheme="minorEastAsia" w:eastAsiaTheme="minorEastAsia" w:cstheme="minorEastAsia"/>
          <w:color w:val="auto"/>
          <w:kern w:val="0"/>
          <w:sz w:val="24"/>
          <w:szCs w:val="24"/>
          <w:highlight w:val="none"/>
          <w:lang w:val="en-US" w:eastAsia="zh-CN"/>
        </w:rPr>
        <w:t>材料运输，直埋电缆垫层及盖板，电缆沟、浅槽，工作井，电缆埋管，隧道，隧道工作井，栈桥，基础；</w:t>
      </w:r>
    </w:p>
    <w:p w14:paraId="601B3880">
      <w:pPr>
        <w:autoSpaceDE w:val="0"/>
        <w:autoSpaceDN w:val="0"/>
        <w:adjustRightInd w:val="0"/>
        <w:spacing w:line="360" w:lineRule="auto"/>
        <w:ind w:firstLine="482" w:firstLineChars="200"/>
        <w:jc w:val="lef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（三）辅助工程：</w:t>
      </w:r>
      <w:r>
        <w:rPr>
          <w:rFonts w:hint="eastAsia" w:asciiTheme="minorEastAsia" w:hAnsiTheme="minorEastAsia" w:eastAsiaTheme="minorEastAsia" w:cstheme="minorEastAsia"/>
          <w:color w:val="auto"/>
          <w:kern w:val="0"/>
          <w:sz w:val="24"/>
          <w:szCs w:val="24"/>
          <w:highlight w:val="none"/>
          <w:lang w:val="en-US" w:eastAsia="zh-CN"/>
        </w:rPr>
        <w:t>材料运输，通风，照明，排水，消防，围护，地基处理；</w:t>
      </w:r>
    </w:p>
    <w:p w14:paraId="61973CCD">
      <w:pPr>
        <w:pStyle w:val="2"/>
        <w:spacing w:line="360" w:lineRule="auto"/>
        <w:ind w:firstLine="482" w:firstLineChars="200"/>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b/>
          <w:bCs/>
          <w:color w:val="auto"/>
          <w:kern w:val="2"/>
          <w:sz w:val="24"/>
          <w:szCs w:val="24"/>
          <w:highlight w:val="none"/>
          <w:lang w:val="en-US" w:eastAsia="zh-CN" w:bidi="ar-SA"/>
        </w:rPr>
        <w:t>（四）其他费用工程：</w:t>
      </w:r>
      <w:r>
        <w:rPr>
          <w:rFonts w:hint="eastAsia" w:asciiTheme="minorEastAsia" w:hAnsiTheme="minorEastAsia" w:eastAsiaTheme="minorEastAsia" w:cstheme="minorEastAsia"/>
          <w:color w:val="auto"/>
          <w:kern w:val="0"/>
          <w:sz w:val="24"/>
          <w:szCs w:val="24"/>
          <w:highlight w:val="none"/>
          <w:lang w:val="en-US" w:eastAsia="zh-CN" w:bidi="ar-SA"/>
        </w:rPr>
        <w:t>☑白蚁防治，□拆除工程，□电缆走廊绿化赔偿，□沿线建（构）筑物的拆除，☑与城市规划、市政、园林、交警、城监、公路等部门联系办理施工许可手续，□施工临时占用地补偿费；</w:t>
      </w:r>
    </w:p>
    <w:p w14:paraId="17FDF47F">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（五）其他：</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b w:val="0"/>
          <w:bCs/>
          <w:color w:val="auto"/>
          <w:sz w:val="24"/>
          <w:szCs w:val="24"/>
          <w:highlight w:val="none"/>
          <w:u w:val="single"/>
          <w:lang w:val="en-US" w:eastAsia="zh-CN"/>
        </w:rPr>
        <w:t>交通疏解费、市政道路修复</w:t>
      </w:r>
      <w:r>
        <w:rPr>
          <w:rFonts w:hint="eastAsia" w:ascii="宋体" w:hAnsi="宋体" w:cs="宋体"/>
          <w:b w:val="0"/>
          <w:bCs/>
          <w:color w:val="auto"/>
          <w:sz w:val="24"/>
          <w:szCs w:val="24"/>
          <w:highlight w:val="none"/>
          <w:u w:val="single"/>
          <w:lang w:val="en-US" w:eastAsia="zh-CN"/>
        </w:rPr>
        <w:t>等</w:t>
      </w:r>
      <w:r>
        <w:rPr>
          <w:rFonts w:hint="eastAsia" w:ascii="宋体" w:hAnsi="宋体" w:eastAsia="宋体" w:cs="宋体"/>
          <w:b w:val="0"/>
          <w:bCs/>
          <w:color w:val="auto"/>
          <w:sz w:val="24"/>
          <w:szCs w:val="24"/>
          <w:highlight w:val="none"/>
          <w:u w:val="single"/>
          <w:lang w:val="en-US" w:eastAsia="zh-CN"/>
        </w:rPr>
        <w:t>（暂估）按实际工程量并计取中标下浮率进行结算；</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市政道路占用费、惯性陀螺仪检测费用、三维模型精细化校验费用、RTK测量等（暂估）按项目实际发生的费用（经发包人确认）结算</w:t>
      </w:r>
      <w:r>
        <w:rPr>
          <w:rFonts w:hint="eastAsia" w:ascii="宋体" w:hAnsi="宋体" w:eastAsia="宋体" w:cs="宋体"/>
          <w:color w:val="auto"/>
          <w:sz w:val="24"/>
          <w:szCs w:val="24"/>
          <w:highlight w:val="none"/>
          <w:u w:val="single"/>
        </w:rPr>
        <w:t>。</w:t>
      </w:r>
    </w:p>
    <w:p w14:paraId="6BDF2AF6">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val="0"/>
        <w:snapToGrid w:val="0"/>
        <w:spacing w:line="360" w:lineRule="auto"/>
        <w:ind w:firstLine="482" w:firstLineChars="200"/>
        <w:jc w:val="both"/>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施工图纸范围内的电缆安装：</w:t>
      </w:r>
    </w:p>
    <w:p w14:paraId="692B048A">
      <w:pPr>
        <w:spacing w:line="360" w:lineRule="auto"/>
        <w:ind w:firstLine="482" w:firstLineChars="200"/>
        <w:jc w:val="lef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（一）电缆桥、支架制作安装：</w:t>
      </w:r>
      <w:r>
        <w:rPr>
          <w:rFonts w:hint="eastAsia" w:asciiTheme="minorEastAsia" w:hAnsiTheme="minorEastAsia" w:eastAsiaTheme="minorEastAsia" w:cstheme="minorEastAsia"/>
          <w:color w:val="auto"/>
          <w:kern w:val="0"/>
          <w:sz w:val="24"/>
          <w:szCs w:val="24"/>
          <w:highlight w:val="none"/>
          <w:lang w:val="en-US" w:eastAsia="zh-CN"/>
        </w:rPr>
        <w:t>材料运输，电缆桥架，电缆支架；</w:t>
      </w:r>
    </w:p>
    <w:p w14:paraId="3B90A1B3">
      <w:pPr>
        <w:autoSpaceDE w:val="0"/>
        <w:autoSpaceDN w:val="0"/>
        <w:adjustRightInd w:val="0"/>
        <w:spacing w:line="360" w:lineRule="auto"/>
        <w:ind w:firstLine="482" w:firstLineChars="200"/>
        <w:jc w:val="lef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（二）电缆敷设：</w:t>
      </w:r>
      <w:r>
        <w:rPr>
          <w:rFonts w:hint="eastAsia" w:asciiTheme="minorEastAsia" w:hAnsiTheme="minorEastAsia" w:eastAsiaTheme="minorEastAsia" w:cstheme="minorEastAsia"/>
          <w:color w:val="auto"/>
          <w:kern w:val="0"/>
          <w:sz w:val="24"/>
          <w:szCs w:val="24"/>
          <w:highlight w:val="none"/>
          <w:lang w:val="en-US" w:eastAsia="zh-CN"/>
        </w:rPr>
        <w:t>材料运输，直埋敷设，电缆沟、浅槽敷设，埋管内敷设，电缆隧道敷设，桥架敷设，栈桥敷设；</w:t>
      </w:r>
    </w:p>
    <w:p w14:paraId="0B9F2A8A">
      <w:pPr>
        <w:autoSpaceDE w:val="0"/>
        <w:autoSpaceDN w:val="0"/>
        <w:adjustRightInd w:val="0"/>
        <w:spacing w:line="360" w:lineRule="auto"/>
        <w:ind w:firstLine="482" w:firstLineChars="200"/>
        <w:jc w:val="lef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（三）电缆附件：</w:t>
      </w:r>
      <w:r>
        <w:rPr>
          <w:rFonts w:hint="eastAsia" w:asciiTheme="minorEastAsia" w:hAnsiTheme="minorEastAsia" w:eastAsiaTheme="minorEastAsia" w:cstheme="minorEastAsia"/>
          <w:color w:val="auto"/>
          <w:kern w:val="0"/>
          <w:sz w:val="24"/>
          <w:szCs w:val="24"/>
          <w:highlight w:val="none"/>
          <w:lang w:val="en-US" w:eastAsia="zh-CN"/>
        </w:rPr>
        <w:t>材料运输，终端头制作安装，中间接头制作安装，接地安装，设备安装，电缆保护管；</w:t>
      </w:r>
    </w:p>
    <w:p w14:paraId="4796A515">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val="0"/>
        <w:snapToGrid w:val="0"/>
        <w:spacing w:line="360" w:lineRule="auto"/>
        <w:ind w:firstLine="482" w:firstLineChars="200"/>
        <w:jc w:val="both"/>
        <w:textAlignment w:val="auto"/>
        <w:outlineLvl w:val="9"/>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（四）电缆防火：</w:t>
      </w:r>
      <w:r>
        <w:rPr>
          <w:rFonts w:hint="eastAsia" w:asciiTheme="minorEastAsia" w:hAnsiTheme="minorEastAsia" w:eastAsiaTheme="minorEastAsia" w:cstheme="minorEastAsia"/>
          <w:color w:val="auto"/>
          <w:kern w:val="0"/>
          <w:sz w:val="24"/>
          <w:szCs w:val="24"/>
          <w:highlight w:val="none"/>
          <w:lang w:val="en-US" w:eastAsia="zh-CN"/>
        </w:rPr>
        <w:t>材料运输，构筑物防火，电缆本体防火；</w:t>
      </w:r>
    </w:p>
    <w:p w14:paraId="2F41F8DC">
      <w:pPr>
        <w:autoSpaceDE w:val="0"/>
        <w:autoSpaceDN w:val="0"/>
        <w:adjustRightInd w:val="0"/>
        <w:spacing w:line="360" w:lineRule="auto"/>
        <w:ind w:firstLine="482" w:firstLineChars="200"/>
        <w:jc w:val="lef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（五）调试与试验：</w:t>
      </w:r>
      <w:r>
        <w:rPr>
          <w:rFonts w:hint="eastAsia" w:asciiTheme="minorEastAsia" w:hAnsiTheme="minorEastAsia" w:eastAsiaTheme="minorEastAsia" w:cstheme="minorEastAsia"/>
          <w:color w:val="auto"/>
          <w:kern w:val="0"/>
          <w:sz w:val="24"/>
          <w:szCs w:val="24"/>
          <w:highlight w:val="none"/>
          <w:lang w:val="en-US" w:eastAsia="zh-CN"/>
        </w:rPr>
        <w:t>电缆试验（其中：☑电缆局部放电试验，☑电缆参数测定），设备试验；</w:t>
      </w:r>
    </w:p>
    <w:p w14:paraId="042B0766">
      <w:pPr>
        <w:autoSpaceDE w:val="0"/>
        <w:autoSpaceDN w:val="0"/>
        <w:adjustRightInd w:val="0"/>
        <w:spacing w:line="360" w:lineRule="auto"/>
        <w:ind w:firstLine="482" w:firstLineChars="200"/>
        <w:jc w:val="left"/>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（六）电缆监测（控）系统：</w:t>
      </w:r>
      <w:r>
        <w:rPr>
          <w:rFonts w:hint="eastAsia" w:asciiTheme="minorEastAsia" w:hAnsiTheme="minorEastAsia" w:eastAsiaTheme="minorEastAsia" w:cstheme="minorEastAsia"/>
          <w:color w:val="auto"/>
          <w:kern w:val="0"/>
          <w:sz w:val="24"/>
          <w:szCs w:val="24"/>
          <w:highlight w:val="none"/>
          <w:lang w:val="en-US" w:eastAsia="zh-CN"/>
        </w:rPr>
        <w:t>材料运输，在线监测，安保监控；</w:t>
      </w:r>
    </w:p>
    <w:p w14:paraId="5E78D684">
      <w:pPr>
        <w:autoSpaceDE w:val="0"/>
        <w:autoSpaceDN w:val="0"/>
        <w:adjustRightInd w:val="0"/>
        <w:spacing w:line="360" w:lineRule="auto"/>
        <w:ind w:firstLine="482" w:firstLineChars="200"/>
        <w:jc w:val="left"/>
        <w:rPr>
          <w:rFonts w:hint="eastAsia" w:ascii="宋体" w:hAnsi="宋体" w:eastAsia="宋体" w:cs="宋体"/>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（七）其他费用工程：</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标志牌安装，</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rPr>
        <w:t>拆除工程，</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线路牌挂牌；</w:t>
      </w:r>
    </w:p>
    <w:p w14:paraId="36DA58F0">
      <w:pPr>
        <w:autoSpaceDE w:val="0"/>
        <w:autoSpaceDN w:val="0"/>
        <w:adjustRightInd w:val="0"/>
        <w:spacing w:line="360" w:lineRule="auto"/>
        <w:ind w:firstLine="420"/>
        <w:jc w:val="left"/>
        <w:rPr>
          <w:rFonts w:hint="eastAsia" w:ascii="宋体" w:hAnsi="宋体" w:eastAsia="宋体" w:cs="宋体"/>
          <w:color w:val="auto"/>
          <w:sz w:val="24"/>
          <w:szCs w:val="24"/>
          <w:highlight w:val="none"/>
          <w:u w:val="single"/>
          <w:lang w:val="en-US" w:eastAsia="zh-CN"/>
        </w:rPr>
      </w:pPr>
      <w:r>
        <w:rPr>
          <w:rFonts w:hint="eastAsia" w:asciiTheme="minorEastAsia" w:hAnsiTheme="minorEastAsia" w:eastAsiaTheme="minorEastAsia" w:cstheme="minorEastAsia"/>
          <w:b/>
          <w:bCs/>
          <w:color w:val="auto"/>
          <w:sz w:val="24"/>
          <w:szCs w:val="24"/>
          <w:highlight w:val="none"/>
          <w:lang w:val="en-US" w:eastAsia="zh-CN"/>
        </w:rPr>
        <w:t>（八）其他：</w:t>
      </w:r>
      <w:r>
        <w:rPr>
          <w:rFonts w:hint="eastAsia" w:ascii="宋体" w:hAnsi="宋体" w:eastAsia="宋体" w:cs="宋体"/>
          <w:bCs/>
          <w:color w:val="auto"/>
          <w:sz w:val="24"/>
          <w:szCs w:val="24"/>
          <w:highlight w:val="none"/>
          <w:u w:val="single"/>
          <w:lang w:val="en-US" w:eastAsia="zh-CN"/>
        </w:rPr>
        <w:t xml:space="preserve"> 租赁试验套管（GIS）（如有），按项目实际发生的费用（经发包人确认）结算</w:t>
      </w:r>
      <w:r>
        <w:rPr>
          <w:rFonts w:hint="eastAsia" w:ascii="宋体" w:hAnsi="宋体" w:eastAsia="宋体" w:cs="宋体"/>
          <w:color w:val="auto"/>
          <w:sz w:val="24"/>
          <w:szCs w:val="24"/>
          <w:highlight w:val="none"/>
          <w:u w:val="single"/>
          <w:lang w:val="en-US" w:eastAsia="zh-CN"/>
        </w:rPr>
        <w:t>。</w:t>
      </w:r>
    </w:p>
    <w:p w14:paraId="1AE62790">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val="0"/>
        <w:snapToGrid w:val="0"/>
        <w:spacing w:line="360" w:lineRule="auto"/>
        <w:ind w:firstLine="482" w:firstLineChars="200"/>
        <w:jc w:val="both"/>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※架空线路部分</w:t>
      </w:r>
    </w:p>
    <w:p w14:paraId="348FE805">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（一）基础工程：</w:t>
      </w:r>
      <w:r>
        <w:rPr>
          <w:rFonts w:hint="eastAsia" w:ascii="宋体" w:hAnsi="宋体" w:eastAsia="宋体" w:cs="宋体"/>
          <w:b w:val="0"/>
          <w:bCs w:val="0"/>
          <w:color w:val="auto"/>
          <w:sz w:val="24"/>
          <w:szCs w:val="24"/>
          <w:highlight w:val="none"/>
          <w:lang w:eastAsia="zh-CN"/>
        </w:rPr>
        <w:t>基础工程材料工地运输，土石方工程，基础砌筑，基础防腐，</w:t>
      </w:r>
      <w:r>
        <w:rPr>
          <w:rFonts w:hint="eastAsia" w:ascii="宋体" w:hAnsi="宋体" w:cs="宋体"/>
          <w:b w:val="0"/>
          <w:bCs w:val="0"/>
          <w:color w:val="auto"/>
          <w:sz w:val="24"/>
          <w:szCs w:val="24"/>
          <w:highlight w:val="none"/>
          <w:lang w:eastAsia="zh-CN"/>
        </w:rPr>
        <w:t>基础防护，</w:t>
      </w:r>
      <w:r>
        <w:rPr>
          <w:rFonts w:hint="eastAsia" w:ascii="宋体" w:hAnsi="宋体" w:eastAsia="宋体" w:cs="宋体"/>
          <w:b w:val="0"/>
          <w:bCs w:val="0"/>
          <w:color w:val="auto"/>
          <w:sz w:val="24"/>
          <w:szCs w:val="24"/>
          <w:highlight w:val="none"/>
          <w:lang w:eastAsia="zh-CN"/>
        </w:rPr>
        <w:t>地基处理；</w:t>
      </w:r>
    </w:p>
    <w:p w14:paraId="4A97FD59">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（二）杆塔工程：</w:t>
      </w:r>
      <w:r>
        <w:rPr>
          <w:rFonts w:hint="eastAsia" w:ascii="宋体" w:hAnsi="宋体" w:eastAsia="宋体" w:cs="宋体"/>
          <w:b w:val="0"/>
          <w:bCs w:val="0"/>
          <w:color w:val="auto"/>
          <w:sz w:val="24"/>
          <w:szCs w:val="24"/>
          <w:highlight w:val="none"/>
          <w:lang w:eastAsia="zh-CN"/>
        </w:rPr>
        <w:t>杆塔工程材料工地运输，杆塔组立；</w:t>
      </w:r>
    </w:p>
    <w:p w14:paraId="59F1E7D7">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（三）接地工程：</w:t>
      </w:r>
      <w:r>
        <w:rPr>
          <w:rFonts w:hint="eastAsia" w:ascii="宋体" w:hAnsi="宋体" w:eastAsia="宋体" w:cs="宋体"/>
          <w:b w:val="0"/>
          <w:bCs w:val="0"/>
          <w:color w:val="auto"/>
          <w:sz w:val="24"/>
          <w:szCs w:val="24"/>
          <w:highlight w:val="none"/>
          <w:lang w:eastAsia="zh-CN"/>
        </w:rPr>
        <w:t>接地工程材料工地运输，接地土石方，接地安装；</w:t>
      </w:r>
    </w:p>
    <w:p w14:paraId="12DDA27D">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（四）架线工程：</w:t>
      </w:r>
      <w:r>
        <w:rPr>
          <w:rFonts w:hint="eastAsia" w:ascii="宋体" w:hAnsi="宋体" w:eastAsia="宋体" w:cs="宋体"/>
          <w:b w:val="0"/>
          <w:bCs w:val="0"/>
          <w:color w:val="auto"/>
          <w:sz w:val="24"/>
          <w:szCs w:val="24"/>
          <w:highlight w:val="none"/>
          <w:lang w:eastAsia="zh-CN"/>
        </w:rPr>
        <w:t>架线工程材料工地运输，导地线架设，导地线跨越架设（其中</w:t>
      </w:r>
      <w:r>
        <w:rPr>
          <w:rFonts w:hint="eastAsia" w:ascii="宋体" w:hAnsi="宋体" w:eastAsia="宋体" w:cs="宋体"/>
          <w:color w:val="auto"/>
          <w:sz w:val="24"/>
          <w:szCs w:val="24"/>
          <w:highlight w:val="none"/>
          <w:u w:val="none"/>
          <w:lang w:eastAsia="zh-CN"/>
        </w:rPr>
        <w:t>□带电</w:t>
      </w:r>
      <w:r>
        <w:rPr>
          <w:rFonts w:hint="eastAsia" w:ascii="宋体" w:hAnsi="宋体" w:eastAsia="宋体" w:cs="宋体"/>
          <w:bCs/>
          <w:color w:val="auto"/>
          <w:sz w:val="24"/>
          <w:szCs w:val="24"/>
          <w:highlight w:val="none"/>
        </w:rPr>
        <w:t>跨越</w:t>
      </w:r>
      <w:r>
        <w:rPr>
          <w:rFonts w:hint="eastAsia" w:ascii="宋体" w:hAnsi="宋体" w:eastAsia="宋体" w:cs="宋体"/>
          <w:bCs/>
          <w:color w:val="auto"/>
          <w:sz w:val="24"/>
          <w:szCs w:val="24"/>
          <w:highlight w:val="none"/>
          <w:lang w:val="en-US" w:eastAsia="zh-CN"/>
        </w:rPr>
        <w:t>10千伏及以下</w:t>
      </w:r>
      <w:r>
        <w:rPr>
          <w:rFonts w:hint="eastAsia" w:ascii="宋体" w:hAnsi="宋体" w:eastAsia="宋体" w:cs="宋体"/>
          <w:bCs/>
          <w:color w:val="auto"/>
          <w:sz w:val="24"/>
          <w:szCs w:val="24"/>
          <w:highlight w:val="none"/>
        </w:rPr>
        <w:t>电力线路</w:t>
      </w:r>
      <w:r>
        <w:rPr>
          <w:rFonts w:hint="eastAsia" w:ascii="宋体" w:hAnsi="宋体" w:eastAsia="宋体" w:cs="宋体"/>
          <w:bCs/>
          <w:color w:val="auto"/>
          <w:sz w:val="24"/>
          <w:szCs w:val="24"/>
          <w:highlight w:val="none"/>
          <w:lang w:eastAsia="zh-CN"/>
        </w:rPr>
        <w:t>、</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eastAsia="zh-CN"/>
        </w:rPr>
        <w:t>带电</w:t>
      </w:r>
      <w:r>
        <w:rPr>
          <w:rFonts w:hint="eastAsia" w:ascii="宋体" w:hAnsi="宋体" w:eastAsia="宋体" w:cs="宋体"/>
          <w:bCs/>
          <w:color w:val="auto"/>
          <w:sz w:val="24"/>
          <w:szCs w:val="24"/>
          <w:highlight w:val="none"/>
        </w:rPr>
        <w:t>跨越</w:t>
      </w:r>
      <w:r>
        <w:rPr>
          <w:rFonts w:hint="eastAsia" w:ascii="宋体" w:hAnsi="宋体" w:eastAsia="宋体" w:cs="宋体"/>
          <w:bCs/>
          <w:color w:val="auto"/>
          <w:sz w:val="24"/>
          <w:szCs w:val="24"/>
          <w:highlight w:val="none"/>
          <w:lang w:val="en-US" w:eastAsia="zh-CN"/>
        </w:rPr>
        <w:t>35千伏及以上</w:t>
      </w:r>
      <w:r>
        <w:rPr>
          <w:rFonts w:hint="eastAsia" w:ascii="宋体" w:hAnsi="宋体" w:eastAsia="宋体" w:cs="宋体"/>
          <w:bCs/>
          <w:color w:val="auto"/>
          <w:sz w:val="24"/>
          <w:szCs w:val="24"/>
          <w:highlight w:val="none"/>
        </w:rPr>
        <w:t>电力线路</w:t>
      </w:r>
      <w:r>
        <w:rPr>
          <w:rFonts w:hint="eastAsia" w:ascii="宋体" w:hAnsi="宋体" w:eastAsia="宋体" w:cs="宋体"/>
          <w:bCs/>
          <w:color w:val="auto"/>
          <w:sz w:val="24"/>
          <w:szCs w:val="24"/>
          <w:highlight w:val="none"/>
          <w:lang w:eastAsia="zh-CN"/>
        </w:rPr>
        <w:t>、</w:t>
      </w:r>
      <w:r>
        <w:rPr>
          <w:rFonts w:hint="eastAsia" w:ascii="宋体" w:hAnsi="宋体" w:eastAsia="宋体" w:cs="宋体"/>
          <w:color w:val="auto"/>
          <w:sz w:val="24"/>
          <w:szCs w:val="24"/>
          <w:highlight w:val="none"/>
          <w:u w:val="none"/>
          <w:lang w:eastAsia="zh-CN"/>
        </w:rPr>
        <w:t>□</w:t>
      </w:r>
      <w:r>
        <w:rPr>
          <w:rFonts w:hint="eastAsia" w:ascii="宋体" w:hAnsi="宋体" w:eastAsia="宋体" w:cs="宋体"/>
          <w:bCs/>
          <w:color w:val="auto"/>
          <w:sz w:val="24"/>
          <w:szCs w:val="24"/>
          <w:highlight w:val="none"/>
        </w:rPr>
        <w:t>跨越铁路</w:t>
      </w:r>
      <w:r>
        <w:rPr>
          <w:rFonts w:hint="eastAsia" w:ascii="宋体" w:hAnsi="宋体" w:eastAsia="宋体" w:cs="宋体"/>
          <w:bCs/>
          <w:color w:val="auto"/>
          <w:sz w:val="24"/>
          <w:szCs w:val="24"/>
          <w:highlight w:val="none"/>
          <w:lang w:eastAsia="zh-CN"/>
        </w:rPr>
        <w:t>、</w:t>
      </w:r>
      <w:r>
        <w:rPr>
          <w:rFonts w:hint="eastAsia" w:ascii="宋体" w:hAnsi="宋体" w:eastAsia="宋体" w:cs="宋体"/>
          <w:color w:val="auto"/>
          <w:sz w:val="24"/>
          <w:szCs w:val="24"/>
          <w:highlight w:val="none"/>
          <w:u w:val="none"/>
          <w:lang w:eastAsia="zh-CN"/>
        </w:rPr>
        <w:t>□高速公路</w:t>
      </w:r>
      <w:r>
        <w:rPr>
          <w:rFonts w:hint="eastAsia" w:ascii="宋体" w:hAnsi="宋体" w:eastAsia="宋体" w:cs="宋体"/>
          <w:bCs/>
          <w:color w:val="auto"/>
          <w:sz w:val="24"/>
          <w:szCs w:val="24"/>
          <w:highlight w:val="none"/>
          <w:lang w:eastAsia="zh-CN"/>
        </w:rPr>
        <w:t>、</w:t>
      </w:r>
      <w:r>
        <w:rPr>
          <w:rFonts w:hint="eastAsia" w:ascii="宋体" w:hAnsi="宋体" w:eastAsia="宋体" w:cs="宋体"/>
          <w:color w:val="auto"/>
          <w:sz w:val="24"/>
          <w:szCs w:val="24"/>
          <w:highlight w:val="none"/>
          <w:u w:val="none"/>
          <w:lang w:eastAsia="zh-CN"/>
        </w:rPr>
        <w:t>☑一、二级公路</w:t>
      </w:r>
      <w:r>
        <w:rPr>
          <w:rFonts w:hint="eastAsia" w:ascii="宋体" w:hAnsi="宋体" w:eastAsia="宋体" w:cs="宋体"/>
          <w:bCs/>
          <w:color w:val="auto"/>
          <w:sz w:val="24"/>
          <w:szCs w:val="24"/>
          <w:highlight w:val="none"/>
          <w:lang w:eastAsia="zh-CN"/>
        </w:rPr>
        <w:t>、</w:t>
      </w:r>
      <w:r>
        <w:rPr>
          <w:rFonts w:hint="eastAsia" w:ascii="宋体" w:hAnsi="宋体" w:eastAsia="宋体" w:cs="宋体"/>
          <w:color w:val="auto"/>
          <w:sz w:val="24"/>
          <w:szCs w:val="24"/>
          <w:highlight w:val="none"/>
          <w:u w:val="none"/>
          <w:lang w:eastAsia="zh-CN"/>
        </w:rPr>
        <w:t>☑</w:t>
      </w:r>
      <w:r>
        <w:rPr>
          <w:rFonts w:hint="eastAsia" w:ascii="宋体" w:hAnsi="宋体" w:eastAsia="宋体" w:cs="宋体"/>
          <w:bCs/>
          <w:strike w:val="0"/>
          <w:dstrike w:val="0"/>
          <w:color w:val="auto"/>
          <w:sz w:val="24"/>
          <w:szCs w:val="24"/>
          <w:highlight w:val="none"/>
        </w:rPr>
        <w:t>河流</w:t>
      </w:r>
      <w:r>
        <w:rPr>
          <w:rFonts w:hint="eastAsia" w:ascii="宋体" w:hAnsi="宋体" w:eastAsia="宋体" w:cs="宋体"/>
          <w:b w:val="0"/>
          <w:bCs w:val="0"/>
          <w:color w:val="auto"/>
          <w:sz w:val="24"/>
          <w:szCs w:val="24"/>
          <w:highlight w:val="none"/>
          <w:lang w:eastAsia="zh-CN"/>
        </w:rPr>
        <w:t>），其他架线工程；</w:t>
      </w:r>
    </w:p>
    <w:p w14:paraId="349195A3">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val="0"/>
        <w:snapToGrid w:val="0"/>
        <w:spacing w:line="360" w:lineRule="auto"/>
        <w:ind w:firstLine="482" w:firstLineChars="200"/>
        <w:jc w:val="both"/>
        <w:textAlignment w:val="auto"/>
        <w:outlineLvl w:val="9"/>
        <w:rPr>
          <w:rFonts w:hint="eastAsia" w:ascii="宋体" w:hAnsi="宋体" w:eastAsia="宋体" w:cs="宋体"/>
          <w:b/>
          <w:bCs/>
          <w:color w:val="auto"/>
          <w:sz w:val="24"/>
          <w:szCs w:val="24"/>
          <w:highlight w:val="none"/>
          <w:lang w:eastAsia="zh-CN"/>
        </w:rPr>
      </w:pPr>
      <w:r>
        <w:rPr>
          <w:rFonts w:hint="eastAsia" w:asciiTheme="minorEastAsia" w:hAnsiTheme="minorEastAsia" w:cstheme="minorEastAsia"/>
          <w:b/>
          <w:bCs/>
          <w:color w:val="auto"/>
          <w:sz w:val="24"/>
          <w:szCs w:val="24"/>
          <w:highlight w:val="none"/>
          <w:lang w:val="en-US" w:eastAsia="zh-CN"/>
        </w:rPr>
        <w:t>（五）</w:t>
      </w:r>
      <w:r>
        <w:rPr>
          <w:rFonts w:hint="eastAsia" w:asciiTheme="minorEastAsia" w:hAnsiTheme="minorEastAsia" w:eastAsiaTheme="minorEastAsia" w:cstheme="minorEastAsia"/>
          <w:b/>
          <w:bCs/>
          <w:color w:val="auto"/>
          <w:sz w:val="24"/>
          <w:szCs w:val="24"/>
          <w:highlight w:val="none"/>
          <w:lang w:val="en-US" w:eastAsia="zh-CN"/>
        </w:rPr>
        <w:t>附件安装工程：</w:t>
      </w:r>
      <w:r>
        <w:rPr>
          <w:rFonts w:hint="eastAsia" w:ascii="宋体" w:hAnsi="宋体" w:eastAsia="宋体" w:cs="宋体"/>
          <w:b w:val="0"/>
          <w:bCs w:val="0"/>
          <w:color w:val="auto"/>
          <w:sz w:val="24"/>
          <w:szCs w:val="24"/>
          <w:highlight w:val="none"/>
          <w:lang w:eastAsia="zh-CN"/>
        </w:rPr>
        <w:t>附件安装工程材料工地运输，绝缘子串及金具安装；</w:t>
      </w:r>
    </w:p>
    <w:p w14:paraId="4C4510F0">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（六）辅助工程：</w:t>
      </w:r>
      <w:r>
        <w:rPr>
          <w:rFonts w:hint="eastAsia" w:hAnsi="宋体" w:cs="宋体"/>
          <w:color w:val="auto"/>
          <w:sz w:val="24"/>
          <w:szCs w:val="24"/>
          <w:highlight w:val="none"/>
          <w:u w:val="none"/>
          <w:lang w:eastAsia="zh-CN"/>
        </w:rPr>
        <w:t>永久</w:t>
      </w:r>
      <w:r>
        <w:rPr>
          <w:rFonts w:hint="eastAsia" w:hAnsi="宋体" w:cs="宋体"/>
          <w:color w:val="auto"/>
          <w:sz w:val="24"/>
          <w:szCs w:val="24"/>
          <w:highlight w:val="none"/>
          <w:u w:val="none"/>
        </w:rPr>
        <w:t>施工道路</w:t>
      </w:r>
      <w:r>
        <w:rPr>
          <w:rFonts w:hint="eastAsia" w:hAnsi="宋体" w:cs="宋体"/>
          <w:color w:val="auto"/>
          <w:sz w:val="24"/>
          <w:szCs w:val="24"/>
          <w:highlight w:val="none"/>
          <w:u w:val="none"/>
          <w:lang w:eastAsia="zh-CN"/>
        </w:rPr>
        <w:t>修筑，</w:t>
      </w:r>
      <w:r>
        <w:rPr>
          <w:rFonts w:hint="eastAsia" w:hAnsi="宋体"/>
          <w:bCs/>
          <w:color w:val="auto"/>
          <w:sz w:val="24"/>
          <w:szCs w:val="24"/>
          <w:highlight w:val="none"/>
          <w:lang w:eastAsia="zh-CN"/>
        </w:rPr>
        <w:t>尖峰、施工基面</w:t>
      </w:r>
      <w:r>
        <w:rPr>
          <w:rFonts w:hint="eastAsia" w:ascii="宋体" w:hAnsi="宋体" w:cs="宋体"/>
          <w:b w:val="0"/>
          <w:bCs w:val="0"/>
          <w:color w:val="auto"/>
          <w:sz w:val="24"/>
          <w:szCs w:val="24"/>
          <w:highlight w:val="none"/>
          <w:lang w:eastAsia="zh-CN"/>
        </w:rPr>
        <w:t>土石方工程，护坡、挡土墙及排洪沟，基础永久性围堰，索道站安装，杆塔上装的各类辅助生产装置（其中：</w:t>
      </w:r>
      <w:r>
        <w:rPr>
          <w:rFonts w:hint="eastAsia" w:ascii="宋体" w:hAnsi="宋体" w:eastAsia="宋体" w:cs="宋体"/>
          <w:color w:val="auto"/>
          <w:sz w:val="24"/>
          <w:szCs w:val="24"/>
          <w:highlight w:val="none"/>
          <w:u w:val="none"/>
          <w:lang w:eastAsia="zh-CN"/>
        </w:rPr>
        <w:t>☑</w:t>
      </w:r>
      <w:r>
        <w:rPr>
          <w:rFonts w:hint="eastAsia"/>
          <w:color w:val="auto"/>
          <w:sz w:val="24"/>
          <w:szCs w:val="24"/>
          <w:highlight w:val="none"/>
          <w:u w:val="none"/>
          <w:lang w:eastAsia="zh-CN"/>
        </w:rPr>
        <w:t>标志牌</w:t>
      </w:r>
      <w:r>
        <w:rPr>
          <w:rFonts w:hint="eastAsia"/>
          <w:color w:val="auto"/>
          <w:sz w:val="24"/>
          <w:szCs w:val="24"/>
          <w:highlight w:val="none"/>
          <w:u w:val="none"/>
        </w:rPr>
        <w:t>安</w:t>
      </w:r>
      <w:r>
        <w:rPr>
          <w:rFonts w:hint="eastAsia"/>
          <w:color w:val="auto"/>
          <w:sz w:val="24"/>
          <w:szCs w:val="24"/>
          <w:highlight w:val="none"/>
          <w:u w:val="none"/>
          <w:lang w:eastAsia="zh-CN"/>
        </w:rPr>
        <w:t>装，</w:t>
      </w:r>
      <w:r>
        <w:rPr>
          <w:rFonts w:hint="eastAsia" w:ascii="宋体" w:hAnsi="宋体" w:eastAsia="宋体" w:cs="宋体"/>
          <w:color w:val="auto"/>
          <w:sz w:val="24"/>
          <w:szCs w:val="24"/>
          <w:highlight w:val="none"/>
          <w:u w:val="none"/>
          <w:lang w:eastAsia="zh-CN"/>
        </w:rPr>
        <w:t>☑</w:t>
      </w:r>
      <w:r>
        <w:rPr>
          <w:rFonts w:hint="eastAsia" w:hAnsi="宋体" w:cs="宋体"/>
          <w:color w:val="auto"/>
          <w:sz w:val="24"/>
          <w:szCs w:val="24"/>
          <w:highlight w:val="none"/>
          <w:u w:val="none"/>
          <w:lang w:eastAsia="zh-CN"/>
        </w:rPr>
        <w:t>防坠地装置，</w:t>
      </w:r>
      <w:r>
        <w:rPr>
          <w:rFonts w:hint="eastAsia" w:hAnsi="宋体" w:cs="宋体"/>
          <w:color w:val="auto"/>
          <w:sz w:val="24"/>
          <w:szCs w:val="24"/>
          <w:highlight w:val="none"/>
          <w:u w:val="none"/>
        </w:rPr>
        <w:t>□</w:t>
      </w:r>
      <w:r>
        <w:rPr>
          <w:rFonts w:hint="eastAsia" w:hAnsi="宋体" w:cs="宋体"/>
          <w:color w:val="auto"/>
          <w:sz w:val="24"/>
          <w:szCs w:val="24"/>
          <w:highlight w:val="none"/>
          <w:u w:val="none"/>
          <w:lang w:eastAsia="zh-CN"/>
        </w:rPr>
        <w:t>防鸟刺装置</w:t>
      </w:r>
      <w:r>
        <w:rPr>
          <w:rFonts w:hint="eastAsia" w:ascii="宋体" w:hAnsi="宋体" w:cs="宋体"/>
          <w:b w:val="0"/>
          <w:bCs w:val="0"/>
          <w:color w:val="auto"/>
          <w:sz w:val="24"/>
          <w:szCs w:val="24"/>
          <w:highlight w:val="none"/>
          <w:lang w:eastAsia="zh-CN"/>
        </w:rPr>
        <w:t>），</w:t>
      </w:r>
      <w:r>
        <w:rPr>
          <w:rFonts w:hint="eastAsia" w:ascii="宋体" w:hAnsi="宋体" w:eastAsia="宋体" w:cs="宋体"/>
          <w:color w:val="auto"/>
          <w:sz w:val="24"/>
          <w:szCs w:val="24"/>
          <w:highlight w:val="none"/>
          <w:u w:val="none"/>
          <w:lang w:eastAsia="zh-CN"/>
        </w:rPr>
        <w:t>☑</w:t>
      </w:r>
      <w:r>
        <w:rPr>
          <w:rFonts w:hint="eastAsia" w:ascii="宋体" w:hAnsi="宋体" w:cs="宋体"/>
          <w:b w:val="0"/>
          <w:bCs w:val="0"/>
          <w:color w:val="auto"/>
          <w:sz w:val="24"/>
          <w:szCs w:val="24"/>
          <w:highlight w:val="none"/>
          <w:lang w:eastAsia="zh-CN"/>
        </w:rPr>
        <w:t>输、送电线路试运；</w:t>
      </w:r>
    </w:p>
    <w:p w14:paraId="20B6330B">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color w:val="auto"/>
          <w:sz w:val="24"/>
          <w:szCs w:val="24"/>
          <w:highlight w:val="none"/>
          <w:u w:val="none"/>
          <w:lang w:eastAsia="zh-CN"/>
        </w:rPr>
      </w:pPr>
      <w:r>
        <w:rPr>
          <w:rFonts w:hint="eastAsia" w:asciiTheme="minorEastAsia" w:hAnsiTheme="minorEastAsia" w:cstheme="minorEastAsia"/>
          <w:b/>
          <w:bCs/>
          <w:color w:val="auto"/>
          <w:sz w:val="24"/>
          <w:szCs w:val="24"/>
          <w:highlight w:val="none"/>
          <w:lang w:val="en-US" w:eastAsia="zh-CN"/>
        </w:rPr>
        <w:t>（七）其他费用工程：</w:t>
      </w:r>
      <w:r>
        <w:rPr>
          <w:rFonts w:hint="eastAsia" w:ascii="宋体" w:hAnsi="宋体" w:eastAsia="宋体" w:cs="宋体"/>
          <w:color w:val="auto"/>
          <w:sz w:val="24"/>
          <w:szCs w:val="24"/>
          <w:highlight w:val="none"/>
          <w:u w:val="none"/>
          <w:lang w:eastAsia="zh-CN"/>
        </w:rPr>
        <w:t>☑</w:t>
      </w:r>
      <w:r>
        <w:rPr>
          <w:rFonts w:hint="eastAsia" w:hAnsi="宋体" w:cs="宋体"/>
          <w:color w:val="auto"/>
          <w:sz w:val="24"/>
          <w:szCs w:val="24"/>
          <w:highlight w:val="none"/>
          <w:u w:val="none"/>
          <w:lang w:eastAsia="zh-CN"/>
        </w:rPr>
        <w:t>拆除工程</w:t>
      </w:r>
      <w:r>
        <w:rPr>
          <w:rFonts w:hint="eastAsia" w:hAnsi="宋体" w:cs="宋体"/>
          <w:color w:val="auto"/>
          <w:sz w:val="24"/>
          <w:szCs w:val="24"/>
          <w:highlight w:val="none"/>
          <w:u w:val="none"/>
          <w:lang w:val="en-US" w:eastAsia="zh-CN"/>
        </w:rPr>
        <w:t>，</w:t>
      </w:r>
      <w:r>
        <w:rPr>
          <w:rFonts w:hint="eastAsia" w:ascii="宋体" w:hAnsi="宋体" w:eastAsia="宋体" w:cs="宋体"/>
          <w:color w:val="auto"/>
          <w:sz w:val="24"/>
          <w:szCs w:val="24"/>
          <w:highlight w:val="none"/>
          <w:u w:val="none"/>
          <w:lang w:eastAsia="zh-CN"/>
        </w:rPr>
        <w:t>☑</w:t>
      </w:r>
      <w:r>
        <w:rPr>
          <w:rFonts w:hint="eastAsia" w:hAnsi="宋体" w:cs="宋体"/>
          <w:color w:val="auto"/>
          <w:sz w:val="24"/>
          <w:szCs w:val="24"/>
          <w:highlight w:val="none"/>
          <w:u w:val="none"/>
        </w:rPr>
        <w:t>施工临时占用地</w:t>
      </w:r>
      <w:r>
        <w:rPr>
          <w:rFonts w:hint="eastAsia" w:hAnsi="宋体" w:cs="宋体"/>
          <w:color w:val="auto"/>
          <w:sz w:val="24"/>
          <w:szCs w:val="24"/>
          <w:highlight w:val="none"/>
          <w:u w:val="none"/>
          <w:lang w:eastAsia="zh-CN"/>
        </w:rPr>
        <w:t>补偿</w:t>
      </w:r>
      <w:r>
        <w:rPr>
          <w:rFonts w:hint="eastAsia" w:hAnsi="宋体" w:cs="宋体"/>
          <w:color w:val="auto"/>
          <w:sz w:val="24"/>
          <w:szCs w:val="24"/>
          <w:highlight w:val="none"/>
          <w:u w:val="none"/>
        </w:rPr>
        <w:t>（含牵引场地租用</w:t>
      </w:r>
      <w:r>
        <w:rPr>
          <w:rFonts w:hint="eastAsia" w:hAnsi="宋体" w:cs="宋体"/>
          <w:color w:val="auto"/>
          <w:sz w:val="24"/>
          <w:szCs w:val="24"/>
          <w:highlight w:val="none"/>
          <w:u w:val="none"/>
          <w:lang w:eastAsia="zh-CN"/>
        </w:rPr>
        <w:t>费</w:t>
      </w:r>
      <w:r>
        <w:rPr>
          <w:rFonts w:hint="eastAsia" w:hAnsi="宋体" w:cs="宋体"/>
          <w:color w:val="auto"/>
          <w:sz w:val="24"/>
          <w:szCs w:val="24"/>
          <w:highlight w:val="none"/>
          <w:u w:val="none"/>
        </w:rPr>
        <w:t>）</w:t>
      </w:r>
      <w:r>
        <w:rPr>
          <w:rFonts w:hint="eastAsia" w:hAnsi="宋体" w:cs="宋体"/>
          <w:color w:val="auto"/>
          <w:sz w:val="24"/>
          <w:szCs w:val="24"/>
          <w:highlight w:val="none"/>
          <w:u w:val="none"/>
          <w:lang w:eastAsia="zh-CN"/>
        </w:rPr>
        <w:t>，</w:t>
      </w:r>
      <w:r>
        <w:rPr>
          <w:rFonts w:hint="eastAsia" w:hAnsi="宋体" w:cs="宋体"/>
          <w:color w:val="auto"/>
          <w:sz w:val="24"/>
          <w:szCs w:val="24"/>
          <w:highlight w:val="none"/>
          <w:u w:val="none"/>
        </w:rPr>
        <w:t>□施工临时占用地（含牵引场地）青苗赔偿，□</w:t>
      </w:r>
      <w:r>
        <w:rPr>
          <w:rFonts w:hint="eastAsia" w:hAnsi="宋体" w:cs="宋体"/>
          <w:color w:val="auto"/>
          <w:sz w:val="24"/>
          <w:szCs w:val="24"/>
          <w:highlight w:val="none"/>
          <w:u w:val="none"/>
          <w:lang w:eastAsia="zh-CN"/>
        </w:rPr>
        <w:t>临时</w:t>
      </w:r>
      <w:r>
        <w:rPr>
          <w:rFonts w:hint="eastAsia" w:hAnsi="宋体" w:cs="宋体"/>
          <w:color w:val="auto"/>
          <w:sz w:val="24"/>
          <w:szCs w:val="24"/>
          <w:highlight w:val="none"/>
          <w:u w:val="none"/>
        </w:rPr>
        <w:t>施工道路的青苗赔偿，□塔基占地及其青苗赔偿，□架线青苗赔偿，□接地线铺设的青苗赔偿，</w:t>
      </w:r>
      <w:r>
        <w:rPr>
          <w:rFonts w:hint="eastAsia" w:ascii="宋体" w:hAnsi="宋体" w:eastAsia="宋体" w:cs="宋体"/>
          <w:color w:val="auto"/>
          <w:sz w:val="24"/>
          <w:szCs w:val="24"/>
          <w:highlight w:val="none"/>
          <w:u w:val="none"/>
          <w:lang w:eastAsia="zh-CN"/>
        </w:rPr>
        <w:t>☑</w:t>
      </w:r>
      <w:r>
        <w:rPr>
          <w:rFonts w:hint="eastAsia" w:hAnsi="宋体" w:cs="宋体"/>
          <w:color w:val="auto"/>
          <w:sz w:val="24"/>
          <w:szCs w:val="24"/>
          <w:highlight w:val="none"/>
          <w:u w:val="none"/>
        </w:rPr>
        <w:t>塔基绿化恢复</w:t>
      </w:r>
      <w:r>
        <w:rPr>
          <w:rFonts w:hint="eastAsia" w:hAnsi="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eastAsia="zh-CN"/>
        </w:rPr>
        <w:t>□</w:t>
      </w:r>
      <w:r>
        <w:rPr>
          <w:rFonts w:hint="eastAsia" w:hAnsi="宋体" w:cs="宋体"/>
          <w:color w:val="auto"/>
          <w:sz w:val="24"/>
          <w:szCs w:val="24"/>
          <w:highlight w:val="none"/>
          <w:u w:val="none"/>
          <w:lang w:eastAsia="zh-CN"/>
        </w:rPr>
        <w:t>临时</w:t>
      </w:r>
      <w:r>
        <w:rPr>
          <w:rFonts w:hint="eastAsia" w:hAnsi="宋体" w:cs="宋体"/>
          <w:color w:val="auto"/>
          <w:sz w:val="24"/>
          <w:szCs w:val="24"/>
          <w:highlight w:val="none"/>
          <w:u w:val="none"/>
        </w:rPr>
        <w:t>施工道路</w:t>
      </w:r>
      <w:r>
        <w:rPr>
          <w:rFonts w:hint="eastAsia" w:hAnsi="宋体" w:cs="宋体"/>
          <w:color w:val="auto"/>
          <w:sz w:val="24"/>
          <w:szCs w:val="24"/>
          <w:highlight w:val="none"/>
          <w:u w:val="none"/>
          <w:lang w:eastAsia="zh-CN"/>
        </w:rPr>
        <w:t>修筑费（</w:t>
      </w:r>
      <w:r>
        <w:rPr>
          <w:rFonts w:hint="eastAsia" w:hAnsi="宋体" w:cs="宋体"/>
          <w:color w:val="auto"/>
          <w:sz w:val="24"/>
          <w:szCs w:val="24"/>
          <w:highlight w:val="none"/>
          <w:u w:val="none"/>
          <w:lang w:val="en-US" w:eastAsia="zh-CN"/>
        </w:rPr>
        <w:t>单价/总价均报</w:t>
      </w:r>
      <w:r>
        <w:rPr>
          <w:rFonts w:hint="eastAsia" w:hAnsi="宋体" w:cs="宋体"/>
          <w:color w:val="auto"/>
          <w:sz w:val="24"/>
          <w:szCs w:val="24"/>
          <w:highlight w:val="none"/>
          <w:u w:val="none"/>
          <w:lang w:eastAsia="zh-CN"/>
        </w:rPr>
        <w:t>），输电线路</w:t>
      </w:r>
      <w:r>
        <w:rPr>
          <w:rFonts w:hint="eastAsia" w:ascii="宋体" w:hAnsi="宋体" w:cs="宋体"/>
          <w:b w:val="0"/>
          <w:bCs w:val="0"/>
          <w:color w:val="auto"/>
          <w:sz w:val="24"/>
          <w:szCs w:val="24"/>
          <w:highlight w:val="none"/>
          <w:lang w:eastAsia="zh-CN"/>
        </w:rPr>
        <w:t>跨越补偿费（</w:t>
      </w:r>
      <w:r>
        <w:rPr>
          <w:rFonts w:hint="eastAsia" w:hAnsi="宋体" w:cs="宋体"/>
          <w:color w:val="auto"/>
          <w:sz w:val="24"/>
          <w:szCs w:val="24"/>
          <w:highlight w:val="none"/>
          <w:u w:val="none"/>
          <w:lang w:eastAsia="zh-CN"/>
        </w:rPr>
        <w:t>□</w:t>
      </w:r>
      <w:r>
        <w:rPr>
          <w:rFonts w:hint="eastAsia" w:hAnsi="宋体"/>
          <w:bCs/>
          <w:color w:val="auto"/>
          <w:sz w:val="24"/>
          <w:szCs w:val="24"/>
          <w:highlight w:val="none"/>
          <w:u w:val="none"/>
        </w:rPr>
        <w:t>跨越铁路</w:t>
      </w:r>
      <w:r>
        <w:rPr>
          <w:rFonts w:hint="eastAsia" w:hAnsi="宋体"/>
          <w:bCs/>
          <w:color w:val="auto"/>
          <w:sz w:val="24"/>
          <w:szCs w:val="24"/>
          <w:highlight w:val="none"/>
          <w:u w:val="none"/>
          <w:lang w:eastAsia="zh-CN"/>
        </w:rPr>
        <w:t>补偿费、</w:t>
      </w:r>
      <w:r>
        <w:rPr>
          <w:rFonts w:hint="eastAsia" w:hAnsi="宋体" w:cs="宋体"/>
          <w:color w:val="auto"/>
          <w:sz w:val="24"/>
          <w:szCs w:val="24"/>
          <w:highlight w:val="none"/>
          <w:u w:val="none"/>
          <w:lang w:eastAsia="zh-CN"/>
        </w:rPr>
        <w:t>□</w:t>
      </w:r>
      <w:r>
        <w:rPr>
          <w:rFonts w:hint="eastAsia" w:hAnsi="宋体"/>
          <w:bCs/>
          <w:color w:val="auto"/>
          <w:sz w:val="24"/>
          <w:szCs w:val="24"/>
          <w:highlight w:val="none"/>
          <w:u w:val="none"/>
        </w:rPr>
        <w:t>跨越</w:t>
      </w:r>
      <w:r>
        <w:rPr>
          <w:rFonts w:hint="eastAsia" w:hAnsi="宋体" w:cs="宋体"/>
          <w:color w:val="auto"/>
          <w:sz w:val="24"/>
          <w:szCs w:val="24"/>
          <w:highlight w:val="none"/>
          <w:u w:val="none"/>
          <w:lang w:eastAsia="zh-CN"/>
        </w:rPr>
        <w:t>高速公路</w:t>
      </w:r>
      <w:r>
        <w:rPr>
          <w:rFonts w:hint="eastAsia" w:hAnsi="宋体"/>
          <w:bCs/>
          <w:color w:val="auto"/>
          <w:sz w:val="24"/>
          <w:szCs w:val="24"/>
          <w:highlight w:val="none"/>
          <w:u w:val="none"/>
          <w:lang w:eastAsia="zh-CN"/>
        </w:rPr>
        <w:t>补偿费、</w:t>
      </w:r>
      <w:r>
        <w:rPr>
          <w:rFonts w:hint="eastAsia" w:ascii="宋体" w:hAnsi="宋体" w:eastAsia="宋体" w:cs="宋体"/>
          <w:color w:val="auto"/>
          <w:sz w:val="24"/>
          <w:szCs w:val="24"/>
          <w:highlight w:val="none"/>
          <w:u w:val="none"/>
          <w:lang w:eastAsia="zh-CN"/>
        </w:rPr>
        <w:t>□</w:t>
      </w:r>
      <w:r>
        <w:rPr>
          <w:rFonts w:hint="eastAsia" w:hAnsi="宋体"/>
          <w:bCs/>
          <w:color w:val="auto"/>
          <w:sz w:val="24"/>
          <w:szCs w:val="24"/>
          <w:highlight w:val="none"/>
          <w:u w:val="none"/>
        </w:rPr>
        <w:t>跨越</w:t>
      </w:r>
      <w:r>
        <w:rPr>
          <w:rFonts w:hint="eastAsia" w:hAnsi="宋体" w:cs="宋体"/>
          <w:color w:val="auto"/>
          <w:sz w:val="24"/>
          <w:szCs w:val="24"/>
          <w:highlight w:val="none"/>
          <w:u w:val="none"/>
          <w:lang w:eastAsia="zh-CN"/>
        </w:rPr>
        <w:t>一、二级公路</w:t>
      </w:r>
      <w:r>
        <w:rPr>
          <w:rFonts w:hint="eastAsia" w:hAnsi="宋体"/>
          <w:bCs/>
          <w:color w:val="auto"/>
          <w:sz w:val="24"/>
          <w:szCs w:val="24"/>
          <w:highlight w:val="none"/>
          <w:u w:val="none"/>
          <w:lang w:eastAsia="zh-CN"/>
        </w:rPr>
        <w:t>补偿费、</w:t>
      </w:r>
      <w:r>
        <w:rPr>
          <w:rFonts w:hint="eastAsia" w:hAnsi="宋体" w:cs="宋体"/>
          <w:color w:val="auto"/>
          <w:sz w:val="24"/>
          <w:szCs w:val="24"/>
          <w:highlight w:val="none"/>
          <w:u w:val="none"/>
          <w:lang w:eastAsia="zh-CN"/>
        </w:rPr>
        <w:t>□跨越通</w:t>
      </w:r>
      <w:r>
        <w:rPr>
          <w:rFonts w:hint="eastAsia" w:hAnsi="宋体"/>
          <w:bCs/>
          <w:color w:val="auto"/>
          <w:sz w:val="24"/>
          <w:szCs w:val="24"/>
          <w:highlight w:val="none"/>
          <w:u w:val="none"/>
        </w:rPr>
        <w:t>航河流</w:t>
      </w:r>
      <w:r>
        <w:rPr>
          <w:rFonts w:hint="eastAsia" w:hAnsi="宋体"/>
          <w:bCs/>
          <w:color w:val="auto"/>
          <w:sz w:val="24"/>
          <w:szCs w:val="24"/>
          <w:highlight w:val="none"/>
          <w:u w:val="none"/>
          <w:lang w:eastAsia="zh-CN"/>
        </w:rPr>
        <w:t>补偿费</w:t>
      </w:r>
      <w:r>
        <w:rPr>
          <w:rFonts w:hint="eastAsia" w:ascii="宋体" w:hAnsi="宋体" w:cs="宋体"/>
          <w:b w:val="0"/>
          <w:bCs w:val="0"/>
          <w:color w:val="auto"/>
          <w:sz w:val="24"/>
          <w:szCs w:val="24"/>
          <w:highlight w:val="none"/>
          <w:lang w:eastAsia="zh-CN"/>
        </w:rPr>
        <w:t>）；</w:t>
      </w:r>
    </w:p>
    <w:p w14:paraId="576A3CA1">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rPr>
          <w:rFonts w:hint="eastAsia" w:ascii="宋体" w:hAnsi="宋体" w:eastAsia="宋体" w:cs="宋体"/>
          <w:b/>
          <w:bCs/>
          <w:color w:val="auto"/>
          <w:sz w:val="24"/>
          <w:szCs w:val="24"/>
          <w:highlight w:val="none"/>
        </w:rPr>
      </w:pPr>
      <w:r>
        <w:rPr>
          <w:rFonts w:hint="eastAsia" w:asciiTheme="minorEastAsia" w:hAnsiTheme="minorEastAsia" w:cstheme="minorEastAsia"/>
          <w:b/>
          <w:bCs/>
          <w:color w:val="auto"/>
          <w:sz w:val="24"/>
          <w:szCs w:val="24"/>
          <w:highlight w:val="none"/>
          <w:lang w:val="en-US" w:eastAsia="zh-CN"/>
        </w:rPr>
        <w:t>（八）其他：</w:t>
      </w:r>
      <w:r>
        <w:rPr>
          <w:rFonts w:hint="eastAsia" w:ascii="宋体" w:hAnsi="宋体" w:cs="宋体"/>
          <w:b/>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bCs/>
          <w:color w:val="auto"/>
          <w:sz w:val="24"/>
          <w:szCs w:val="24"/>
          <w:highlight w:val="none"/>
          <w:u w:val="single"/>
          <w:lang w:val="en-US" w:eastAsia="zh-CN"/>
        </w:rPr>
        <w:t>三维模型精细化校验费用、跨越10kV转供电措施费等（暂估）按项目实际发生的费用（经发包人确认）结算</w:t>
      </w:r>
      <w:r>
        <w:rPr>
          <w:rFonts w:hint="eastAsia" w:hAnsi="宋体" w:cs="宋体"/>
          <w:color w:val="auto"/>
          <w:sz w:val="24"/>
          <w:szCs w:val="24"/>
          <w:highlight w:val="none"/>
          <w:u w:val="single"/>
        </w:rPr>
        <w:t>。</w:t>
      </w:r>
    </w:p>
    <w:p w14:paraId="0013FE7D">
      <w:pPr>
        <w:pStyle w:val="2"/>
        <w:keepNext w:val="0"/>
        <w:keepLines w:val="0"/>
        <w:pageBreakBefore w:val="0"/>
        <w:widowControl w:val="0"/>
        <w:numPr>
          <w:ilvl w:val="0"/>
          <w:numId w:val="3"/>
        </w:numPr>
        <w:shd w:val="clear" w:color="auto" w:fill="auto"/>
        <w:kinsoku/>
        <w:wordWrap/>
        <w:overflowPunct/>
        <w:topLinePunct w:val="0"/>
        <w:bidi w:val="0"/>
        <w:adjustRightInd w:val="0"/>
        <w:snapToGrid w:val="0"/>
        <w:spacing w:line="480" w:lineRule="exact"/>
        <w:ind w:left="0" w:leftChars="0" w:firstLine="0" w:firstLineChars="0"/>
        <w:textAlignment w:val="auto"/>
        <w:outlineLvl w:val="0"/>
        <w:rPr>
          <w:rFonts w:hint="eastAsia" w:asciiTheme="minorEastAsia" w:hAnsiTheme="minorEastAsia" w:eastAsiaTheme="minorEastAsia" w:cstheme="minorEastAsia"/>
          <w:b/>
          <w:bCs/>
          <w:color w:val="auto"/>
          <w:kern w:val="2"/>
          <w:sz w:val="24"/>
          <w:szCs w:val="24"/>
          <w:highlight w:val="none"/>
          <w:lang w:val="en-US" w:eastAsia="zh-CN" w:bidi="ar-SA"/>
        </w:rPr>
      </w:pPr>
      <w:r>
        <w:rPr>
          <w:rFonts w:hint="eastAsia" w:asciiTheme="minorEastAsia" w:hAnsiTheme="minorEastAsia" w:eastAsiaTheme="minorEastAsia" w:cstheme="minorEastAsia"/>
          <w:b/>
          <w:bCs/>
          <w:color w:val="auto"/>
          <w:kern w:val="2"/>
          <w:sz w:val="24"/>
          <w:szCs w:val="24"/>
          <w:highlight w:val="none"/>
          <w:lang w:val="en-US" w:eastAsia="zh-CN" w:bidi="ar-SA"/>
        </w:rPr>
        <w:t>承包方式</w:t>
      </w:r>
    </w:p>
    <w:p w14:paraId="32E72E70">
      <w:pPr>
        <w:pStyle w:val="2"/>
        <w:keepNext w:val="0"/>
        <w:keepLines w:val="0"/>
        <w:pageBreakBefore w:val="0"/>
        <w:widowControl w:val="0"/>
        <w:kinsoku/>
        <w:wordWrap/>
        <w:overflowPunct/>
        <w:topLinePunct w:val="0"/>
        <w:bidi w:val="0"/>
        <w:spacing w:line="480" w:lineRule="exact"/>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包工、部分包料，施工图纸范围内如有下列设备、材料，无□及</w:t>
      </w:r>
      <w:r>
        <w:rPr>
          <w:rFonts w:hint="eastAsia" w:asciiTheme="minorEastAsia" w:hAnsiTheme="minorEastAsia" w:eastAsiaTheme="minorEastAsia" w:cstheme="minorEastAsia"/>
          <w:b/>
          <w:bCs/>
          <w:color w:val="auto"/>
          <w:sz w:val="24"/>
          <w:szCs w:val="24"/>
          <w:highlight w:val="none"/>
          <w:lang w:val="en-US" w:eastAsia="zh-CN"/>
        </w:rPr>
        <w:fldChar w:fldCharType="begin"/>
      </w:r>
      <w:r>
        <w:rPr>
          <w:rFonts w:hint="eastAsia" w:asciiTheme="minorEastAsia" w:hAnsiTheme="minorEastAsia" w:eastAsiaTheme="minorEastAsia" w:cstheme="minorEastAsia"/>
          <w:b/>
          <w:bCs/>
          <w:color w:val="auto"/>
          <w:sz w:val="24"/>
          <w:szCs w:val="24"/>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6"/>
          <w:szCs w:val="24"/>
          <w:highlight w:val="none"/>
          <w:lang w:val="en-US" w:eastAsia="zh-CN"/>
        </w:rPr>
        <w:instrText xml:space="preserve">□</w:instrText>
      </w:r>
      <w:r>
        <w:rPr>
          <w:rFonts w:hint="eastAsia" w:asciiTheme="minorEastAsia" w:hAnsiTheme="minorEastAsia" w:eastAsiaTheme="minorEastAsia" w:cstheme="minorEastAsia"/>
          <w:b/>
          <w:bCs/>
          <w:color w:val="auto"/>
          <w:position w:val="0"/>
          <w:sz w:val="24"/>
          <w:szCs w:val="24"/>
          <w:highlight w:val="none"/>
          <w:lang w:val="en-US" w:eastAsia="zh-CN"/>
        </w:rPr>
        <w:instrText xml:space="preserve">,√)</w:instrText>
      </w:r>
      <w:r>
        <w:rPr>
          <w:rFonts w:hint="eastAsia" w:asciiTheme="minorEastAsia" w:hAnsiTheme="minorEastAsia" w:eastAsiaTheme="minorEastAsia" w:cstheme="minorEastAsia"/>
          <w:b/>
          <w:bCs/>
          <w:color w:val="auto"/>
          <w:sz w:val="24"/>
          <w:szCs w:val="24"/>
          <w:highlight w:val="none"/>
          <w:lang w:val="en-US" w:eastAsia="zh-CN"/>
        </w:rPr>
        <w:fldChar w:fldCharType="end"/>
      </w:r>
      <w:r>
        <w:rPr>
          <w:rFonts w:hint="eastAsia" w:asciiTheme="minorEastAsia" w:hAnsiTheme="minorEastAsia" w:eastAsiaTheme="minorEastAsia" w:cstheme="minorEastAsia"/>
          <w:b/>
          <w:bCs/>
          <w:color w:val="auto"/>
          <w:sz w:val="24"/>
          <w:szCs w:val="24"/>
          <w:highlight w:val="none"/>
          <w:lang w:val="en-US" w:eastAsia="zh-CN"/>
        </w:rPr>
        <w:t>的为甲供，□未打√的及不在下列的为乙供。建设单位根据最新的南方电网公司和广州供电局有限公司物资集中采购目录文件提供相应物资，目录外的设备、材料采购由中标人负责，本项目正式合同价实际甲供物资以《甲供设备材料明细表》为准。若在项目建设过程中网省公司或局物资集中采购目录文件有更新，则按新的文件执行，同时由建设单位以书面或签证形式，重新明确调整后的甲乙供范围，作为结算依据。</w:t>
      </w:r>
    </w:p>
    <w:p w14:paraId="61BF05F5">
      <w:pPr>
        <w:keepNext w:val="0"/>
        <w:keepLines w:val="0"/>
        <w:pageBreakBefore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※变电部分</w:t>
      </w:r>
    </w:p>
    <w:p w14:paraId="02872BCF">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（一）甲供物资：</w:t>
      </w:r>
    </w:p>
    <w:p w14:paraId="5E1C8988">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变电建筑工程：</w:t>
      </w:r>
    </w:p>
    <w:p w14:paraId="4253468B">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cs="宋体"/>
          <w:iCs/>
          <w:color w:val="auto"/>
          <w:sz w:val="24"/>
          <w:szCs w:val="24"/>
          <w:highlight w:val="none"/>
          <w:lang w:val="en-US" w:eastAsia="zh-CN"/>
        </w:rPr>
        <w:t>无</w:t>
      </w:r>
      <w:r>
        <w:rPr>
          <w:rFonts w:hint="eastAsia" w:ascii="宋体" w:hAnsi="宋体" w:eastAsia="宋体" w:cs="宋体"/>
          <w:color w:val="auto"/>
          <w:sz w:val="24"/>
          <w:szCs w:val="24"/>
          <w:highlight w:val="none"/>
          <w:lang w:eastAsia="zh-CN"/>
        </w:rPr>
        <w:t>。</w:t>
      </w:r>
    </w:p>
    <w:p w14:paraId="328F5AEF">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变电安装工程：</w:t>
      </w:r>
    </w:p>
    <w:p w14:paraId="23434D1C">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电气一、二次设备，预制舱配电房，机载高速光电吊舱设备，铝镁合金管形母线及其配套金具，红外热像仪，变电站智能巡检机器人，独立五防系统，检修隔离装置，视频及环境监控系统，监测装置，变压器配电箱（SMC材质、不锈钢材质），不锈钢材质端子箱，不锈钢材质检修电源箱，不锈钢材质发电车开关箱，不锈钢材质配电箱（含照明和动力配电箱），电力电缆，控制电缆，计量用电线，10kV及以上电缆头，各种类型绝缘子，封闭母线桥，10kV绝缘铜管母线，穿墙套管，电缆支架（铝合金、角钢、复合材质）、铝合金电缆桥架、计量接引装置、电抗器接地装置、小电流接地选线装置、通用型标志牌（包括：禁止攀登、高压危险、禁止抛物、高压危险等提醒类标志牌及相线牌、安装支架，不涉及资产名称、编号或位置）</w:t>
      </w:r>
      <w:r>
        <w:rPr>
          <w:rFonts w:hint="eastAsia" w:ascii="宋体" w:hAnsi="宋体" w:eastAsia="宋体" w:cs="宋体"/>
          <w:iCs/>
          <w:color w:val="auto"/>
          <w:sz w:val="24"/>
          <w:szCs w:val="24"/>
          <w:highlight w:val="none"/>
          <w:lang w:eastAsia="zh-CN"/>
        </w:rPr>
        <w:t>。</w:t>
      </w:r>
    </w:p>
    <w:p w14:paraId="7E335A9F">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bCs/>
          <w:color w:val="auto"/>
          <w:sz w:val="24"/>
          <w:szCs w:val="24"/>
          <w:highlight w:val="none"/>
        </w:rPr>
        <w:t>□</w:t>
      </w:r>
      <w:r>
        <w:rPr>
          <w:rFonts w:hint="eastAsia" w:ascii="宋体" w:hAnsi="宋体" w:cs="宋体"/>
          <w:bCs/>
          <w:color w:val="auto"/>
          <w:sz w:val="24"/>
          <w:szCs w:val="24"/>
          <w:highlight w:val="none"/>
          <w:lang w:val="en-US" w:eastAsia="zh-CN"/>
        </w:rPr>
        <w:t>吊车</w:t>
      </w:r>
      <w:r>
        <w:rPr>
          <w:rFonts w:hint="eastAsia" w:ascii="宋体" w:hAnsi="宋体" w:eastAsia="宋体" w:cs="宋体"/>
          <w:bCs/>
          <w:color w:val="auto"/>
          <w:sz w:val="24"/>
          <w:szCs w:val="24"/>
          <w:highlight w:val="none"/>
          <w:lang w:eastAsia="zh-CN"/>
        </w:rPr>
        <w:t>。</w:t>
      </w:r>
    </w:p>
    <w:p w14:paraId="3DB2782F">
      <w:pPr>
        <w:keepNext w:val="0"/>
        <w:keepLines w:val="0"/>
        <w:pageBreakBefore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Cs/>
          <w:color w:val="auto"/>
          <w:sz w:val="24"/>
          <w:szCs w:val="24"/>
          <w:highlight w:val="none"/>
          <w:u w:val="single"/>
        </w:rPr>
      </w:pPr>
      <w:r>
        <w:rPr>
          <w:rFonts w:hint="eastAsia" w:ascii="宋体" w:hAnsi="宋体" w:eastAsia="宋体" w:cs="宋体"/>
          <w:b/>
          <w:color w:val="auto"/>
          <w:sz w:val="24"/>
          <w:szCs w:val="24"/>
          <w:highlight w:val="none"/>
          <w:lang w:eastAsia="zh-CN"/>
        </w:rPr>
        <w:t>（二）</w:t>
      </w:r>
      <w:r>
        <w:rPr>
          <w:rFonts w:hint="eastAsia" w:ascii="宋体" w:hAnsi="宋体" w:eastAsia="宋体" w:cs="宋体"/>
          <w:b/>
          <w:color w:val="auto"/>
          <w:sz w:val="24"/>
          <w:szCs w:val="24"/>
          <w:highlight w:val="none"/>
        </w:rPr>
        <w:t>其他</w:t>
      </w:r>
      <w:r>
        <w:rPr>
          <w:rFonts w:hint="eastAsia" w:ascii="宋体" w:hAnsi="宋体" w:eastAsia="宋体" w:cs="宋体"/>
          <w:b/>
          <w:color w:val="auto"/>
          <w:sz w:val="24"/>
          <w:szCs w:val="24"/>
          <w:highlight w:val="none"/>
          <w:lang w:eastAsia="zh-CN"/>
        </w:rPr>
        <w:t>甲供物资</w:t>
      </w:r>
      <w:r>
        <w:rPr>
          <w:rFonts w:hint="eastAsia" w:ascii="宋体" w:hAnsi="宋体" w:eastAsia="宋体" w:cs="宋体"/>
          <w:b/>
          <w:color w:val="auto"/>
          <w:sz w:val="24"/>
          <w:szCs w:val="24"/>
          <w:highlight w:val="none"/>
        </w:rPr>
        <w:t>：</w:t>
      </w:r>
      <w:r>
        <w:rPr>
          <w:rFonts w:hint="eastAsia" w:ascii="宋体" w:hAnsi="宋体" w:eastAsia="宋体" w:cs="宋体"/>
          <w:bCs/>
          <w:color w:val="auto"/>
          <w:sz w:val="24"/>
          <w:szCs w:val="24"/>
          <w:highlight w:val="none"/>
          <w:u w:val="single"/>
          <w:lang w:val="en-US" w:eastAsia="zh-CN"/>
        </w:rPr>
        <w:t xml:space="preserve">     /    </w:t>
      </w:r>
      <w:r>
        <w:rPr>
          <w:rFonts w:hint="eastAsia" w:ascii="宋体" w:hAnsi="宋体" w:eastAsia="宋体" w:cs="宋体"/>
          <w:bCs/>
          <w:color w:val="auto"/>
          <w:sz w:val="24"/>
          <w:szCs w:val="24"/>
          <w:highlight w:val="none"/>
          <w:u w:val="single"/>
        </w:rPr>
        <w:t>。</w:t>
      </w:r>
    </w:p>
    <w:p w14:paraId="1EC016FF">
      <w:pPr>
        <w:keepNext w:val="0"/>
        <w:keepLines w:val="0"/>
        <w:pageBreakBefore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rPr>
        <w:t>※电缆线路部分</w:t>
      </w:r>
    </w:p>
    <w:p w14:paraId="3BDFE3FD">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（一）甲供物资：</w:t>
      </w:r>
    </w:p>
    <w:p w14:paraId="41027852">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rPr>
        <w:t>电力电缆，电缆终端头，电缆直通接头，电缆绝缘接头，电缆T接头，带保护器接地箱，直接接地箱，同轴电缆，接地线，回流线，接地箱，避雷器，故障指示器，故障精确定位装置，监测装置，电缆隧道装置（含电缆隧道综合监测系统、隧道专用LED灯具、电缆隧道巡检机器人轨道、电缆隧道智能巡检机器人、电缆隧道户外动力箱（IP66）），海缆保护区航标，智能围栏，标志牌（电缆标志牌、警示牌、标示桩、走向标志、安装支架）</w:t>
      </w:r>
      <w:r>
        <w:rPr>
          <w:rFonts w:hint="eastAsia" w:ascii="宋体" w:hAnsi="宋体" w:eastAsia="宋体" w:cs="宋体"/>
          <w:b w:val="0"/>
          <w:bCs/>
          <w:color w:val="auto"/>
          <w:sz w:val="24"/>
          <w:szCs w:val="24"/>
          <w:highlight w:val="none"/>
          <w:lang w:eastAsia="zh-CN"/>
        </w:rPr>
        <w:t>。</w:t>
      </w:r>
    </w:p>
    <w:p w14:paraId="7C9B381B">
      <w:pPr>
        <w:keepNext w:val="0"/>
        <w:keepLines w:val="0"/>
        <w:pageBreakBefore w:val="0"/>
        <w:numPr>
          <w:ilvl w:val="0"/>
          <w:numId w:val="0"/>
        </w:numPr>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宋体" w:hAnsi="宋体" w:eastAsia="宋体" w:cs="宋体"/>
          <w:b w:val="0"/>
          <w:bCs/>
          <w:color w:val="auto"/>
          <w:sz w:val="24"/>
          <w:szCs w:val="24"/>
          <w:highlight w:val="none"/>
          <w:u w:val="none"/>
          <w:lang w:val="en-US"/>
        </w:rPr>
      </w:pP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装配式</w:t>
      </w:r>
      <w:r>
        <w:rPr>
          <w:rFonts w:hint="eastAsia" w:ascii="宋体" w:hAnsi="宋体" w:eastAsia="宋体" w:cs="宋体"/>
          <w:color w:val="auto"/>
          <w:sz w:val="24"/>
          <w:szCs w:val="24"/>
          <w:highlight w:val="none"/>
          <w:lang w:val="en-US" w:eastAsia="zh-CN"/>
        </w:rPr>
        <w:t>电缆沟，</w:t>
      </w:r>
      <w:r>
        <w:rPr>
          <w:rFonts w:hint="eastAsia" w:ascii="宋体" w:hAnsi="宋体" w:eastAsia="宋体" w:cs="宋体"/>
          <w:b w:val="0"/>
          <w:bCs/>
          <w:color w:val="auto"/>
          <w:sz w:val="24"/>
          <w:szCs w:val="24"/>
          <w:highlight w:val="none"/>
          <w:u w:val="none"/>
        </w:rPr>
        <w:t>□玻璃钢管。</w:t>
      </w:r>
    </w:p>
    <w:p w14:paraId="0DD535C2">
      <w:pPr>
        <w:keepNext w:val="0"/>
        <w:keepLines w:val="0"/>
        <w:pageBreakBefore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lang w:eastAsia="zh-CN"/>
        </w:rPr>
        <w:t>（二）</w:t>
      </w:r>
      <w:r>
        <w:rPr>
          <w:rFonts w:hint="eastAsia" w:ascii="宋体" w:hAnsi="宋体" w:eastAsia="宋体" w:cs="宋体"/>
          <w:b/>
          <w:color w:val="auto"/>
          <w:sz w:val="24"/>
          <w:szCs w:val="24"/>
          <w:highlight w:val="none"/>
        </w:rPr>
        <w:t>其他</w:t>
      </w:r>
      <w:r>
        <w:rPr>
          <w:rFonts w:hint="eastAsia" w:ascii="宋体" w:hAnsi="宋体" w:eastAsia="宋体" w:cs="宋体"/>
          <w:b/>
          <w:color w:val="auto"/>
          <w:sz w:val="24"/>
          <w:szCs w:val="24"/>
          <w:highlight w:val="none"/>
          <w:lang w:eastAsia="zh-CN"/>
        </w:rPr>
        <w:t>甲供物资</w:t>
      </w:r>
      <w:r>
        <w:rPr>
          <w:rFonts w:hint="eastAsia" w:ascii="宋体" w:hAnsi="宋体" w:eastAsia="宋体" w:cs="宋体"/>
          <w:b/>
          <w:color w:val="auto"/>
          <w:sz w:val="24"/>
          <w:szCs w:val="24"/>
          <w:highlight w:val="none"/>
        </w:rPr>
        <w:t>：</w:t>
      </w:r>
      <w:r>
        <w:rPr>
          <w:rFonts w:hint="eastAsia" w:ascii="宋体" w:hAnsi="宋体" w:eastAsia="宋体" w:cs="宋体"/>
          <w:bCs/>
          <w:color w:val="auto"/>
          <w:sz w:val="24"/>
          <w:szCs w:val="24"/>
          <w:highlight w:val="none"/>
          <w:u w:val="single"/>
          <w:lang w:val="en-US" w:eastAsia="zh-CN"/>
        </w:rPr>
        <w:t xml:space="preserve">     /    </w:t>
      </w:r>
      <w:r>
        <w:rPr>
          <w:rFonts w:hint="eastAsia" w:ascii="宋体" w:hAnsi="宋体" w:eastAsia="宋体" w:cs="宋体"/>
          <w:bCs/>
          <w:color w:val="auto"/>
          <w:sz w:val="24"/>
          <w:szCs w:val="24"/>
          <w:highlight w:val="none"/>
          <w:u w:val="single"/>
        </w:rPr>
        <w:t>。</w:t>
      </w:r>
      <w:r>
        <w:rPr>
          <w:rFonts w:hint="eastAsia" w:ascii="宋体" w:hAnsi="宋体" w:eastAsia="宋体" w:cs="宋体"/>
          <w:b w:val="0"/>
          <w:bCs/>
          <w:color w:val="auto"/>
          <w:sz w:val="24"/>
          <w:szCs w:val="24"/>
          <w:highlight w:val="none"/>
          <w:u w:val="single"/>
          <w:lang w:val="en-US" w:eastAsia="zh-CN"/>
        </w:rPr>
        <w:t xml:space="preserve"> </w:t>
      </w:r>
    </w:p>
    <w:p w14:paraId="3D9E3BA3">
      <w:pPr>
        <w:keepNext w:val="0"/>
        <w:keepLines w:val="0"/>
        <w:pageBreakBefore w:val="0"/>
        <w:widowControl/>
        <w:kinsoku/>
        <w:wordWrap/>
        <w:overflowPunct/>
        <w:topLinePunct w:val="0"/>
        <w:bidi w:val="0"/>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※架空线路部分</w:t>
      </w:r>
    </w:p>
    <w:p w14:paraId="3A33EB80">
      <w:pPr>
        <w:keepNext w:val="0"/>
        <w:keepLines w:val="0"/>
        <w:pageBreakBefore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（一）甲供物资：</w:t>
      </w:r>
    </w:p>
    <w:p w14:paraId="2745AA63">
      <w:pPr>
        <w:keepNext w:val="0"/>
        <w:keepLines w:val="0"/>
        <w:pageBreakBefore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rPr>
        <w:t>导地线，绝缘子，金具</w:t>
      </w:r>
      <w:r>
        <w:rPr>
          <w:rFonts w:hint="eastAsia" w:ascii="宋体" w:hAnsi="宋体" w:eastAsia="宋体" w:cs="宋体"/>
          <w:b w:val="0"/>
          <w:bCs/>
          <w:color w:val="auto"/>
          <w:sz w:val="24"/>
          <w:szCs w:val="24"/>
          <w:highlight w:val="none"/>
          <w:lang w:eastAsia="zh-CN"/>
        </w:rPr>
        <w:t>。</w:t>
      </w:r>
    </w:p>
    <w:p w14:paraId="5737CFF2">
      <w:pPr>
        <w:keepNext w:val="0"/>
        <w:keepLines w:val="0"/>
        <w:pageBreakBefore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2、</w:t>
      </w:r>
      <w:r>
        <w:rPr>
          <w:rFonts w:hint="eastAsia" w:ascii="宋体" w:hAnsi="宋体" w:eastAsia="宋体" w:cs="宋体"/>
          <w:color w:val="auto"/>
          <w:sz w:val="24"/>
          <w:szCs w:val="24"/>
          <w:highlight w:val="none"/>
          <w:u w:val="none"/>
          <w:lang w:eastAsia="zh-CN"/>
        </w:rPr>
        <w:t>□</w:t>
      </w:r>
      <w:r>
        <w:rPr>
          <w:rFonts w:hint="eastAsia" w:ascii="宋体" w:hAnsi="宋体" w:eastAsia="宋体" w:cs="宋体"/>
          <w:b w:val="0"/>
          <w:bCs/>
          <w:color w:val="auto"/>
          <w:sz w:val="24"/>
          <w:szCs w:val="24"/>
          <w:highlight w:val="none"/>
        </w:rPr>
        <w:t>地脚螺栓</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直升机巡视作业标志</w:t>
      </w:r>
      <w:r>
        <w:rPr>
          <w:rFonts w:hint="eastAsia" w:ascii="宋体" w:hAnsi="宋体" w:eastAsia="宋体" w:cs="宋体"/>
          <w:b w:val="0"/>
          <w:bCs/>
          <w:color w:val="auto"/>
          <w:sz w:val="24"/>
          <w:szCs w:val="24"/>
          <w:highlight w:val="none"/>
          <w:lang w:eastAsia="zh-CN"/>
        </w:rPr>
        <w:t>牌</w:t>
      </w:r>
      <w:r>
        <w:rPr>
          <w:rFonts w:hint="eastAsia" w:ascii="宋体" w:hAnsi="宋体" w:eastAsia="宋体" w:cs="宋体"/>
          <w:b w:val="0"/>
          <w:bCs/>
          <w:color w:val="auto"/>
          <w:sz w:val="24"/>
          <w:szCs w:val="24"/>
          <w:highlight w:val="none"/>
        </w:rPr>
        <w:t>。</w:t>
      </w:r>
    </w:p>
    <w:p w14:paraId="50EE0A2E">
      <w:pPr>
        <w:keepNext w:val="0"/>
        <w:keepLines w:val="0"/>
        <w:pageBreakBefore w:val="0"/>
        <w:kinsoku/>
        <w:wordWrap/>
        <w:overflowPunct/>
        <w:topLinePunct w:val="0"/>
        <w:autoSpaceDE w:val="0"/>
        <w:autoSpaceDN w:val="0"/>
        <w:bidi w:val="0"/>
        <w:adjustRightInd w:val="0"/>
        <w:snapToGrid/>
        <w:spacing w:line="360" w:lineRule="auto"/>
        <w:ind w:firstLine="482"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lang w:eastAsia="zh-CN"/>
        </w:rPr>
        <w:t>（二）</w:t>
      </w:r>
      <w:r>
        <w:rPr>
          <w:rFonts w:hint="eastAsia" w:ascii="宋体" w:hAnsi="宋体" w:eastAsia="宋体" w:cs="宋体"/>
          <w:b/>
          <w:color w:val="auto"/>
          <w:sz w:val="24"/>
          <w:szCs w:val="24"/>
          <w:highlight w:val="none"/>
        </w:rPr>
        <w:t>其他</w:t>
      </w:r>
      <w:r>
        <w:rPr>
          <w:rFonts w:hint="eastAsia" w:ascii="宋体" w:hAnsi="宋体" w:eastAsia="宋体" w:cs="宋体"/>
          <w:b/>
          <w:color w:val="auto"/>
          <w:sz w:val="24"/>
          <w:szCs w:val="24"/>
          <w:highlight w:val="none"/>
          <w:lang w:eastAsia="zh-CN"/>
        </w:rPr>
        <w:t>甲供物资</w:t>
      </w:r>
      <w:r>
        <w:rPr>
          <w:rFonts w:hint="eastAsia" w:ascii="宋体" w:hAnsi="宋体" w:eastAsia="宋体" w:cs="宋体"/>
          <w:b/>
          <w:color w:val="auto"/>
          <w:sz w:val="24"/>
          <w:szCs w:val="24"/>
          <w:highlight w:val="none"/>
        </w:rPr>
        <w:t>：</w:t>
      </w:r>
      <w:r>
        <w:rPr>
          <w:rFonts w:hint="eastAsia" w:ascii="宋体" w:hAnsi="宋体" w:eastAsia="宋体" w:cs="宋体"/>
          <w:bCs/>
          <w:color w:val="auto"/>
          <w:sz w:val="24"/>
          <w:szCs w:val="24"/>
          <w:highlight w:val="none"/>
          <w:u w:val="single"/>
          <w:lang w:val="en-US" w:eastAsia="zh-CN"/>
        </w:rPr>
        <w:t xml:space="preserve">    /     </w:t>
      </w:r>
      <w:r>
        <w:rPr>
          <w:rFonts w:hint="eastAsia" w:ascii="宋体" w:hAnsi="宋体" w:eastAsia="宋体" w:cs="宋体"/>
          <w:bCs/>
          <w:color w:val="auto"/>
          <w:sz w:val="24"/>
          <w:szCs w:val="24"/>
          <w:highlight w:val="none"/>
          <w:u w:val="single"/>
        </w:rPr>
        <w:t>。</w:t>
      </w:r>
    </w:p>
    <w:p w14:paraId="3FA3D9DC">
      <w:pPr>
        <w:pStyle w:val="2"/>
        <w:keepNext w:val="0"/>
        <w:keepLines w:val="0"/>
        <w:pageBreakBefore w:val="0"/>
        <w:widowControl w:val="0"/>
        <w:kinsoku/>
        <w:wordWrap/>
        <w:overflowPunct/>
        <w:topLinePunct w:val="0"/>
        <w:bidi w:val="0"/>
        <w:spacing w:line="480" w:lineRule="exact"/>
        <w:textAlignment w:val="auto"/>
        <w:rPr>
          <w:rFonts w:hint="eastAsia" w:eastAsia="宋体"/>
          <w:color w:val="auto"/>
          <w:sz w:val="24"/>
          <w:szCs w:val="24"/>
          <w:highlight w:val="none"/>
          <w:lang w:val="en-US" w:eastAsia="zh-CN"/>
        </w:rPr>
      </w:pPr>
      <w:r>
        <w:rPr>
          <w:rFonts w:hint="eastAsia" w:ascii="宋体" w:hAnsi="宋体" w:cs="宋体"/>
          <w:b/>
          <w:bCs/>
          <w:snapToGrid w:val="0"/>
          <w:color w:val="auto"/>
          <w:kern w:val="0"/>
          <w:sz w:val="24"/>
          <w:szCs w:val="24"/>
          <w:highlight w:val="none"/>
          <w:u w:val="none"/>
          <w:lang w:val="en-US" w:eastAsia="zh-CN"/>
        </w:rPr>
        <w:t>注：建设单位提供的设备、材料以正式合同价提供的《甲供设备材料明细表》为准</w:t>
      </w:r>
      <w:r>
        <w:rPr>
          <w:rFonts w:hint="eastAsia" w:eastAsia="宋体"/>
          <w:color w:val="auto"/>
          <w:sz w:val="24"/>
          <w:szCs w:val="24"/>
          <w:highlight w:val="none"/>
          <w:lang w:val="en-US" w:eastAsia="zh-CN"/>
        </w:rPr>
        <w:t>。</w:t>
      </w:r>
    </w:p>
    <w:p w14:paraId="6884FA5A">
      <w:pPr>
        <w:rPr>
          <w:rFonts w:hint="default" w:eastAsia="宋体"/>
          <w:color w:val="auto"/>
          <w:sz w:val="24"/>
          <w:szCs w:val="24"/>
          <w:highlight w:val="none"/>
          <w:lang w:val="en-US" w:eastAsia="zh-CN"/>
        </w:rPr>
      </w:pPr>
      <w:r>
        <w:rPr>
          <w:rFonts w:hint="default" w:eastAsia="宋体"/>
          <w:color w:val="auto"/>
          <w:sz w:val="24"/>
          <w:szCs w:val="24"/>
          <w:highlight w:val="none"/>
          <w:lang w:val="en-US" w:eastAsia="zh-CN"/>
        </w:rPr>
        <w:br w:type="page"/>
      </w:r>
    </w:p>
    <w:p w14:paraId="7B324F35">
      <w:pPr>
        <w:pStyle w:val="2"/>
        <w:keepNext w:val="0"/>
        <w:keepLines w:val="0"/>
        <w:pageBreakBefore w:val="0"/>
        <w:numPr>
          <w:ilvl w:val="0"/>
          <w:numId w:val="0"/>
        </w:numPr>
        <w:shd w:val="clear" w:color="auto" w:fill="auto"/>
        <w:kinsoku/>
        <w:wordWrap/>
        <w:overflowPunct/>
        <w:topLinePunct w:val="0"/>
        <w:bidi w:val="0"/>
        <w:adjustRightInd w:val="0"/>
        <w:snapToGrid w:val="0"/>
        <w:spacing w:line="360" w:lineRule="auto"/>
        <w:ind w:leftChars="0"/>
        <w:textAlignment w:val="auto"/>
        <w:outlineLvl w:val="0"/>
        <w:rPr>
          <w:rFonts w:hint="eastAsia"/>
          <w:color w:val="FF0000"/>
          <w:sz w:val="21"/>
          <w:szCs w:val="21"/>
          <w:highlight w:val="none"/>
          <w:lang w:val="en-US" w:eastAsia="zh-CN"/>
        </w:rPr>
      </w:pPr>
      <w:r>
        <w:rPr>
          <w:rFonts w:hint="eastAsia" w:hAnsi="宋体" w:eastAsia="宋体" w:cs="宋体"/>
          <w:b/>
          <w:color w:val="auto"/>
          <w:sz w:val="24"/>
          <w:szCs w:val="24"/>
          <w:highlight w:val="none"/>
          <w:lang w:val="en-US" w:eastAsia="zh-CN"/>
        </w:rPr>
        <w:t>四、</w:t>
      </w:r>
      <w:r>
        <w:rPr>
          <w:rFonts w:hint="eastAsia" w:ascii="宋体" w:hAnsi="宋体" w:eastAsia="宋体" w:cs="宋体"/>
          <w:b/>
          <w:color w:val="auto"/>
          <w:sz w:val="24"/>
          <w:szCs w:val="24"/>
          <w:highlight w:val="none"/>
          <w:lang w:val="en-US" w:eastAsia="zh-CN"/>
        </w:rPr>
        <w:t>报价表</w:t>
      </w:r>
    </w:p>
    <w:p w14:paraId="21463C6E">
      <w:pPr>
        <w:pStyle w:val="2"/>
        <w:keepNext w:val="0"/>
        <w:keepLines w:val="0"/>
        <w:pageBreakBefore w:val="0"/>
        <w:numPr>
          <w:ilvl w:val="0"/>
          <w:numId w:val="0"/>
        </w:numPr>
        <w:shd w:val="clear" w:color="auto" w:fill="auto"/>
        <w:kinsoku/>
        <w:wordWrap/>
        <w:overflowPunct/>
        <w:topLinePunct w:val="0"/>
        <w:bidi w:val="0"/>
        <w:adjustRightInd w:val="0"/>
        <w:snapToGrid w:val="0"/>
        <w:spacing w:line="360" w:lineRule="auto"/>
        <w:ind w:leftChars="0"/>
        <w:jc w:val="center"/>
        <w:textAlignment w:val="auto"/>
        <w:outlineLvl w:val="0"/>
        <w:rPr>
          <w:rFonts w:hint="default"/>
          <w:color w:val="auto"/>
          <w:sz w:val="24"/>
          <w:szCs w:val="24"/>
          <w:highlight w:val="none"/>
          <w:lang w:val="en-US" w:eastAsia="zh-CN"/>
        </w:rPr>
      </w:pPr>
      <w:r>
        <w:rPr>
          <w:rFonts w:hint="eastAsia" w:hAnsi="宋体" w:eastAsia="宋体" w:cs="宋体"/>
          <w:b/>
          <w:color w:val="auto"/>
          <w:sz w:val="24"/>
          <w:szCs w:val="24"/>
          <w:highlight w:val="none"/>
          <w:lang w:val="en-US" w:eastAsia="zh-CN"/>
        </w:rPr>
        <w:t>总报价表</w:t>
      </w:r>
    </w:p>
    <w:tbl>
      <w:tblPr>
        <w:tblStyle w:val="12"/>
        <w:tblW w:w="9885" w:type="dxa"/>
        <w:tblInd w:w="-8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433"/>
        <w:gridCol w:w="2141"/>
        <w:gridCol w:w="1004"/>
        <w:gridCol w:w="869"/>
        <w:gridCol w:w="817"/>
        <w:gridCol w:w="869"/>
        <w:gridCol w:w="624"/>
        <w:gridCol w:w="612"/>
        <w:gridCol w:w="720"/>
        <w:gridCol w:w="720"/>
        <w:gridCol w:w="612"/>
        <w:gridCol w:w="464"/>
      </w:tblGrid>
      <w:tr w14:paraId="0013F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3" w:hRule="atLeast"/>
        </w:trPr>
        <w:tc>
          <w:tcPr>
            <w:tcW w:w="9885" w:type="dxa"/>
            <w:gridSpan w:val="12"/>
            <w:tcBorders>
              <w:top w:val="single" w:color="auto" w:sz="4" w:space="0"/>
              <w:left w:val="single" w:color="auto" w:sz="4" w:space="0"/>
              <w:bottom w:val="single" w:color="auto" w:sz="4" w:space="0"/>
              <w:right w:val="single" w:color="auto" w:sz="4" w:space="0"/>
            </w:tcBorders>
            <w:vAlign w:val="center"/>
          </w:tcPr>
          <w:p w14:paraId="204A5CC7">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i w:val="0"/>
                <w:iCs w:val="0"/>
                <w:color w:val="auto"/>
                <w:kern w:val="0"/>
                <w:sz w:val="15"/>
                <w:szCs w:val="15"/>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基建施工报价表</w:t>
            </w:r>
          </w:p>
        </w:tc>
      </w:tr>
      <w:tr w14:paraId="0F6B2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trPr>
        <w:tc>
          <w:tcPr>
            <w:tcW w:w="433" w:type="dxa"/>
            <w:vMerge w:val="restart"/>
            <w:tcBorders>
              <w:top w:val="single" w:color="auto" w:sz="4" w:space="0"/>
              <w:left w:val="single" w:color="auto" w:sz="4" w:space="0"/>
              <w:right w:val="single" w:color="auto" w:sz="4" w:space="0"/>
            </w:tcBorders>
            <w:vAlign w:val="center"/>
          </w:tcPr>
          <w:p w14:paraId="5E7FE433">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i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序　号</w:t>
            </w:r>
          </w:p>
        </w:tc>
        <w:tc>
          <w:tcPr>
            <w:tcW w:w="2141" w:type="dxa"/>
            <w:vMerge w:val="restart"/>
            <w:tcBorders>
              <w:top w:val="single" w:color="auto" w:sz="4" w:space="0"/>
              <w:left w:val="single" w:color="auto" w:sz="4" w:space="0"/>
              <w:right w:val="single" w:color="auto" w:sz="4" w:space="0"/>
            </w:tcBorders>
            <w:vAlign w:val="center"/>
          </w:tcPr>
          <w:p w14:paraId="364FC901">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i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工程或费用名称</w:t>
            </w:r>
          </w:p>
        </w:tc>
        <w:tc>
          <w:tcPr>
            <w:tcW w:w="1004" w:type="dxa"/>
            <w:vMerge w:val="restart"/>
            <w:tcBorders>
              <w:top w:val="single" w:color="auto" w:sz="4" w:space="0"/>
              <w:left w:val="single" w:color="auto" w:sz="4" w:space="0"/>
              <w:right w:val="single" w:color="auto" w:sz="4" w:space="0"/>
            </w:tcBorders>
            <w:vAlign w:val="center"/>
          </w:tcPr>
          <w:p w14:paraId="51357F0E">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限价金额（元）</w:t>
            </w:r>
          </w:p>
        </w:tc>
        <w:tc>
          <w:tcPr>
            <w:tcW w:w="2555" w:type="dxa"/>
            <w:gridSpan w:val="3"/>
            <w:tcBorders>
              <w:top w:val="single" w:color="auto" w:sz="4" w:space="0"/>
              <w:left w:val="single" w:color="auto" w:sz="4" w:space="0"/>
              <w:bottom w:val="single" w:color="auto" w:sz="4" w:space="0"/>
              <w:right w:val="single" w:color="auto" w:sz="4" w:space="0"/>
            </w:tcBorders>
            <w:vAlign w:val="center"/>
          </w:tcPr>
          <w:p w14:paraId="17B99510">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i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其中</w:t>
            </w:r>
          </w:p>
        </w:tc>
        <w:tc>
          <w:tcPr>
            <w:tcW w:w="624" w:type="dxa"/>
            <w:vMerge w:val="restart"/>
            <w:tcBorders>
              <w:top w:val="single" w:color="auto" w:sz="4" w:space="0"/>
              <w:left w:val="single" w:color="auto" w:sz="4" w:space="0"/>
              <w:right w:val="single" w:color="auto" w:sz="4" w:space="0"/>
            </w:tcBorders>
            <w:vAlign w:val="center"/>
          </w:tcPr>
          <w:p w14:paraId="45D33869">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i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投标下浮率（%）</w:t>
            </w:r>
          </w:p>
        </w:tc>
        <w:tc>
          <w:tcPr>
            <w:tcW w:w="612" w:type="dxa"/>
            <w:vMerge w:val="restart"/>
            <w:tcBorders>
              <w:top w:val="single" w:color="auto" w:sz="4" w:space="0"/>
              <w:left w:val="single" w:color="auto" w:sz="4" w:space="0"/>
              <w:right w:val="single" w:color="auto" w:sz="4" w:space="0"/>
            </w:tcBorders>
            <w:vAlign w:val="center"/>
          </w:tcPr>
          <w:p w14:paraId="5A1EE90F">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i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投标报价（元）</w:t>
            </w:r>
          </w:p>
        </w:tc>
        <w:tc>
          <w:tcPr>
            <w:tcW w:w="720" w:type="dxa"/>
            <w:vMerge w:val="restart"/>
            <w:tcBorders>
              <w:top w:val="single" w:color="auto" w:sz="4" w:space="0"/>
              <w:left w:val="single" w:color="auto" w:sz="4" w:space="0"/>
              <w:right w:val="single" w:color="auto" w:sz="4" w:space="0"/>
            </w:tcBorders>
            <w:vAlign w:val="center"/>
          </w:tcPr>
          <w:p w14:paraId="58C3D9DB">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i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其中安全文明施工费（元）</w:t>
            </w:r>
          </w:p>
        </w:tc>
        <w:tc>
          <w:tcPr>
            <w:tcW w:w="720" w:type="dxa"/>
            <w:vMerge w:val="restart"/>
            <w:tcBorders>
              <w:top w:val="single" w:color="auto" w:sz="4" w:space="0"/>
              <w:left w:val="single" w:color="auto" w:sz="4" w:space="0"/>
              <w:right w:val="single" w:color="auto" w:sz="4" w:space="0"/>
            </w:tcBorders>
            <w:vAlign w:val="center"/>
          </w:tcPr>
          <w:p w14:paraId="1F5A5D7E">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i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其中施工专项补助费（元）</w:t>
            </w:r>
          </w:p>
        </w:tc>
        <w:tc>
          <w:tcPr>
            <w:tcW w:w="612" w:type="dxa"/>
            <w:vMerge w:val="restart"/>
            <w:tcBorders>
              <w:top w:val="single" w:color="auto" w:sz="4" w:space="0"/>
              <w:left w:val="single" w:color="auto" w:sz="4" w:space="0"/>
              <w:right w:val="single" w:color="auto" w:sz="4" w:space="0"/>
            </w:tcBorders>
            <w:vAlign w:val="center"/>
          </w:tcPr>
          <w:p w14:paraId="0ADAAC86">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其中暂估价（元）</w:t>
            </w:r>
          </w:p>
        </w:tc>
        <w:tc>
          <w:tcPr>
            <w:tcW w:w="464" w:type="dxa"/>
            <w:vMerge w:val="restart"/>
            <w:tcBorders>
              <w:top w:val="single" w:color="auto" w:sz="4" w:space="0"/>
              <w:left w:val="single" w:color="auto" w:sz="4" w:space="0"/>
              <w:right w:val="single" w:color="auto" w:sz="4" w:space="0"/>
            </w:tcBorders>
            <w:vAlign w:val="center"/>
          </w:tcPr>
          <w:p w14:paraId="58A961E1">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备  注</w:t>
            </w:r>
          </w:p>
        </w:tc>
      </w:tr>
      <w:tr w14:paraId="33360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12" w:hRule="atLeast"/>
        </w:trPr>
        <w:tc>
          <w:tcPr>
            <w:tcW w:w="433" w:type="dxa"/>
            <w:vMerge w:val="continue"/>
            <w:tcBorders>
              <w:left w:val="single" w:color="auto" w:sz="4" w:space="0"/>
              <w:bottom w:val="single" w:color="auto" w:sz="4" w:space="0"/>
              <w:right w:val="single" w:color="auto" w:sz="4" w:space="0"/>
            </w:tcBorders>
            <w:vAlign w:val="center"/>
          </w:tcPr>
          <w:p w14:paraId="2BAC711F">
            <w:pPr>
              <w:keepNext w:val="0"/>
              <w:keepLines w:val="0"/>
              <w:pageBreakBefore w:val="0"/>
              <w:widowControl/>
              <w:suppressLineNumbers w:val="0"/>
              <w:kinsoku/>
              <w:wordWrap/>
              <w:overflowPunct/>
              <w:topLinePunct w:val="0"/>
              <w:autoSpaceDE/>
              <w:autoSpaceDN/>
              <w:bidi w:val="0"/>
              <w:spacing w:line="400" w:lineRule="exact"/>
              <w:jc w:val="center"/>
              <w:textAlignment w:val="center"/>
            </w:pPr>
          </w:p>
        </w:tc>
        <w:tc>
          <w:tcPr>
            <w:tcW w:w="2141" w:type="dxa"/>
            <w:vMerge w:val="continue"/>
            <w:tcBorders>
              <w:left w:val="single" w:color="auto" w:sz="4" w:space="0"/>
              <w:bottom w:val="single" w:color="auto" w:sz="4" w:space="0"/>
              <w:right w:val="single" w:color="auto" w:sz="4" w:space="0"/>
            </w:tcBorders>
            <w:vAlign w:val="center"/>
          </w:tcPr>
          <w:p w14:paraId="3175E5DD">
            <w:pPr>
              <w:keepNext w:val="0"/>
              <w:keepLines w:val="0"/>
              <w:pageBreakBefore w:val="0"/>
              <w:widowControl/>
              <w:suppressLineNumbers w:val="0"/>
              <w:kinsoku/>
              <w:wordWrap/>
              <w:overflowPunct/>
              <w:topLinePunct w:val="0"/>
              <w:autoSpaceDE/>
              <w:autoSpaceDN/>
              <w:bidi w:val="0"/>
              <w:spacing w:line="400" w:lineRule="exact"/>
              <w:jc w:val="center"/>
              <w:textAlignment w:val="center"/>
            </w:pPr>
          </w:p>
        </w:tc>
        <w:tc>
          <w:tcPr>
            <w:tcW w:w="1004" w:type="dxa"/>
            <w:vMerge w:val="continue"/>
            <w:tcBorders>
              <w:left w:val="single" w:color="auto" w:sz="4" w:space="0"/>
              <w:bottom w:val="single" w:color="auto" w:sz="4" w:space="0"/>
              <w:right w:val="single" w:color="auto" w:sz="4" w:space="0"/>
            </w:tcBorders>
            <w:vAlign w:val="center"/>
          </w:tcPr>
          <w:p w14:paraId="7F646780">
            <w:pPr>
              <w:keepNext w:val="0"/>
              <w:keepLines w:val="0"/>
              <w:pageBreakBefore w:val="0"/>
              <w:widowControl/>
              <w:suppressLineNumbers w:val="0"/>
              <w:kinsoku/>
              <w:wordWrap/>
              <w:overflowPunct/>
              <w:topLinePunct w:val="0"/>
              <w:autoSpaceDE/>
              <w:autoSpaceDN/>
              <w:bidi w:val="0"/>
              <w:spacing w:line="400" w:lineRule="exact"/>
              <w:jc w:val="center"/>
              <w:textAlignment w:val="center"/>
            </w:pPr>
          </w:p>
        </w:tc>
        <w:tc>
          <w:tcPr>
            <w:tcW w:w="869" w:type="dxa"/>
            <w:tcBorders>
              <w:top w:val="single" w:color="auto" w:sz="4" w:space="0"/>
              <w:left w:val="single" w:color="auto" w:sz="4" w:space="0"/>
              <w:bottom w:val="single" w:color="auto" w:sz="4" w:space="0"/>
              <w:right w:val="single" w:color="auto" w:sz="4" w:space="0"/>
            </w:tcBorders>
            <w:vAlign w:val="center"/>
          </w:tcPr>
          <w:p w14:paraId="19ED95CD">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安全文明施工费</w:t>
            </w:r>
          </w:p>
          <w:p w14:paraId="00B915A8">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（元）</w:t>
            </w:r>
          </w:p>
        </w:tc>
        <w:tc>
          <w:tcPr>
            <w:tcW w:w="817" w:type="dxa"/>
            <w:tcBorders>
              <w:left w:val="single" w:color="auto" w:sz="4" w:space="0"/>
              <w:bottom w:val="single" w:color="auto" w:sz="4" w:space="0"/>
              <w:right w:val="single" w:color="auto" w:sz="4" w:space="0"/>
            </w:tcBorders>
            <w:vAlign w:val="center"/>
          </w:tcPr>
          <w:p w14:paraId="1C630360">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施工专项补助费</w:t>
            </w:r>
          </w:p>
          <w:p w14:paraId="683B3A91">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（元）</w:t>
            </w:r>
          </w:p>
        </w:tc>
        <w:tc>
          <w:tcPr>
            <w:tcW w:w="869" w:type="dxa"/>
            <w:tcBorders>
              <w:left w:val="single" w:color="auto" w:sz="4" w:space="0"/>
              <w:bottom w:val="single" w:color="auto" w:sz="4" w:space="0"/>
              <w:right w:val="single" w:color="auto" w:sz="4" w:space="0"/>
            </w:tcBorders>
            <w:vAlign w:val="center"/>
          </w:tcPr>
          <w:p w14:paraId="36B4D7A7">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暂估价（元）</w:t>
            </w:r>
          </w:p>
        </w:tc>
        <w:tc>
          <w:tcPr>
            <w:tcW w:w="624" w:type="dxa"/>
            <w:vMerge w:val="continue"/>
            <w:tcBorders>
              <w:left w:val="single" w:color="auto" w:sz="4" w:space="0"/>
              <w:bottom w:val="single" w:color="auto" w:sz="4" w:space="0"/>
              <w:right w:val="single" w:color="auto" w:sz="4" w:space="0"/>
            </w:tcBorders>
            <w:vAlign w:val="center"/>
          </w:tcPr>
          <w:p w14:paraId="4F99E470">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p>
        </w:tc>
        <w:tc>
          <w:tcPr>
            <w:tcW w:w="612" w:type="dxa"/>
            <w:vMerge w:val="continue"/>
            <w:tcBorders>
              <w:left w:val="single" w:color="auto" w:sz="4" w:space="0"/>
              <w:bottom w:val="single" w:color="auto" w:sz="4" w:space="0"/>
              <w:right w:val="single" w:color="auto" w:sz="4" w:space="0"/>
            </w:tcBorders>
            <w:vAlign w:val="center"/>
          </w:tcPr>
          <w:p w14:paraId="40907DAC">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p>
        </w:tc>
        <w:tc>
          <w:tcPr>
            <w:tcW w:w="720" w:type="dxa"/>
            <w:vMerge w:val="continue"/>
            <w:tcBorders>
              <w:left w:val="single" w:color="auto" w:sz="4" w:space="0"/>
              <w:bottom w:val="single" w:color="auto" w:sz="4" w:space="0"/>
              <w:right w:val="single" w:color="auto" w:sz="4" w:space="0"/>
            </w:tcBorders>
            <w:vAlign w:val="center"/>
          </w:tcPr>
          <w:p w14:paraId="09A196D5">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p>
        </w:tc>
        <w:tc>
          <w:tcPr>
            <w:tcW w:w="720" w:type="dxa"/>
            <w:vMerge w:val="continue"/>
            <w:tcBorders>
              <w:left w:val="single" w:color="auto" w:sz="4" w:space="0"/>
              <w:bottom w:val="single" w:color="auto" w:sz="4" w:space="0"/>
              <w:right w:val="single" w:color="auto" w:sz="4" w:space="0"/>
            </w:tcBorders>
            <w:vAlign w:val="center"/>
          </w:tcPr>
          <w:p w14:paraId="7FFD82F3">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p>
        </w:tc>
        <w:tc>
          <w:tcPr>
            <w:tcW w:w="612" w:type="dxa"/>
            <w:vMerge w:val="continue"/>
            <w:tcBorders>
              <w:left w:val="single" w:color="auto" w:sz="4" w:space="0"/>
              <w:bottom w:val="single" w:color="auto" w:sz="4" w:space="0"/>
              <w:right w:val="single" w:color="auto" w:sz="4" w:space="0"/>
            </w:tcBorders>
            <w:vAlign w:val="center"/>
          </w:tcPr>
          <w:p w14:paraId="0D2F60C1">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p>
        </w:tc>
        <w:tc>
          <w:tcPr>
            <w:tcW w:w="464" w:type="dxa"/>
            <w:vMerge w:val="continue"/>
            <w:tcBorders>
              <w:left w:val="single" w:color="auto" w:sz="4" w:space="0"/>
              <w:bottom w:val="single" w:color="auto" w:sz="4" w:space="0"/>
              <w:right w:val="single" w:color="auto" w:sz="4" w:space="0"/>
            </w:tcBorders>
            <w:vAlign w:val="center"/>
          </w:tcPr>
          <w:p w14:paraId="63BD4512">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p>
        </w:tc>
      </w:tr>
      <w:tr w14:paraId="640BD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8" w:hRule="atLeast"/>
        </w:trPr>
        <w:tc>
          <w:tcPr>
            <w:tcW w:w="433" w:type="dxa"/>
            <w:tcBorders>
              <w:top w:val="single" w:color="auto" w:sz="4" w:space="0"/>
              <w:left w:val="single" w:color="auto" w:sz="4" w:space="0"/>
              <w:bottom w:val="single" w:color="auto" w:sz="4" w:space="0"/>
              <w:right w:val="single" w:color="auto" w:sz="4" w:space="0"/>
            </w:tcBorders>
            <w:vAlign w:val="center"/>
          </w:tcPr>
          <w:p w14:paraId="2FAF4C41">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r>
              <w:rPr>
                <w:rFonts w:hint="eastAsia" w:ascii="宋体" w:hAnsi="宋体" w:eastAsia="宋体" w:cs="宋体"/>
                <w:b/>
                <w:bCs/>
                <w:i w:val="0"/>
                <w:iCs w:val="0"/>
                <w:color w:val="000000"/>
                <w:kern w:val="0"/>
                <w:sz w:val="15"/>
                <w:szCs w:val="15"/>
                <w:u w:val="none"/>
                <w:lang w:val="en-US" w:eastAsia="zh-CN" w:bidi="ar"/>
              </w:rPr>
              <w:t>一</w:t>
            </w:r>
          </w:p>
        </w:tc>
        <w:tc>
          <w:tcPr>
            <w:tcW w:w="2141" w:type="dxa"/>
            <w:tcBorders>
              <w:top w:val="single" w:color="auto" w:sz="4" w:space="0"/>
              <w:left w:val="single" w:color="auto" w:sz="4" w:space="0"/>
              <w:bottom w:val="single" w:color="auto" w:sz="4" w:space="0"/>
              <w:right w:val="single" w:color="auto" w:sz="4" w:space="0"/>
            </w:tcBorders>
            <w:vAlign w:val="center"/>
          </w:tcPr>
          <w:p w14:paraId="457B6249">
            <w:pPr>
              <w:keepNext w:val="0"/>
              <w:keepLines w:val="0"/>
              <w:widowControl/>
              <w:suppressLineNumbers w:val="0"/>
              <w:jc w:val="left"/>
              <w:textAlignment w:val="center"/>
              <w:rPr>
                <w:rFonts w:hint="eastAsia" w:ascii="宋体" w:hAnsi="宋体" w:eastAsia="宋体" w:cs="宋体"/>
                <w:b w:val="0"/>
                <w:bCs w:val="0"/>
                <w:i w:val="0"/>
                <w:iCs w:val="0"/>
                <w:color w:val="auto"/>
                <w:kern w:val="0"/>
                <w:sz w:val="15"/>
                <w:szCs w:val="15"/>
                <w:highlight w:val="none"/>
                <w:u w:val="none"/>
                <w:lang w:val="en-US" w:eastAsia="zh-CN" w:bidi="ar"/>
              </w:rPr>
            </w:pPr>
            <w:r>
              <w:rPr>
                <w:rFonts w:hint="eastAsia" w:ascii="宋体" w:hAnsi="宋体" w:eastAsia="宋体" w:cs="宋体"/>
                <w:b/>
                <w:bCs/>
                <w:i w:val="0"/>
                <w:iCs w:val="0"/>
                <w:color w:val="000000"/>
                <w:kern w:val="0"/>
                <w:sz w:val="15"/>
                <w:szCs w:val="15"/>
                <w:u w:val="none"/>
                <w:lang w:val="en-US" w:eastAsia="zh-CN" w:bidi="ar"/>
              </w:rPr>
              <w:t>变电工程</w:t>
            </w:r>
          </w:p>
        </w:tc>
        <w:tc>
          <w:tcPr>
            <w:tcW w:w="1004" w:type="dxa"/>
            <w:tcBorders>
              <w:top w:val="single" w:color="auto" w:sz="4" w:space="0"/>
              <w:left w:val="single" w:color="auto" w:sz="4" w:space="0"/>
              <w:bottom w:val="single" w:color="auto" w:sz="4" w:space="0"/>
              <w:right w:val="single" w:color="auto" w:sz="4" w:space="0"/>
            </w:tcBorders>
            <w:vAlign w:val="center"/>
          </w:tcPr>
          <w:p w14:paraId="42151E3C">
            <w:pPr>
              <w:keepNext w:val="0"/>
              <w:keepLines w:val="0"/>
              <w:widowControl/>
              <w:suppressLineNumbers w:val="0"/>
              <w:jc w:val="center"/>
              <w:textAlignment w:val="center"/>
              <w:rPr>
                <w:rFonts w:hint="eastAsia" w:ascii="宋体" w:hAnsi="宋体" w:eastAsia="宋体" w:cs="宋体"/>
                <w:b w:val="0"/>
                <w:bCs w:val="0"/>
                <w:i w:val="0"/>
                <w:iCs w:val="0"/>
                <w:color w:val="auto"/>
                <w:kern w:val="0"/>
                <w:sz w:val="15"/>
                <w:szCs w:val="15"/>
                <w:highlight w:val="none"/>
                <w:u w:val="none"/>
                <w:lang w:val="en-US" w:eastAsia="zh-CN" w:bidi="ar"/>
              </w:rPr>
            </w:pPr>
            <w:r>
              <w:rPr>
                <w:rFonts w:hint="eastAsia" w:ascii="宋体" w:hAnsi="宋体" w:eastAsia="宋体" w:cs="宋体"/>
                <w:b/>
                <w:bCs/>
                <w:i w:val="0"/>
                <w:iCs w:val="0"/>
                <w:color w:val="000000"/>
                <w:kern w:val="0"/>
                <w:sz w:val="15"/>
                <w:szCs w:val="15"/>
                <w:u w:val="none"/>
                <w:lang w:val="en-US" w:eastAsia="zh-CN" w:bidi="ar"/>
              </w:rPr>
              <w:t xml:space="preserve">6846050.84 </w:t>
            </w:r>
          </w:p>
        </w:tc>
        <w:tc>
          <w:tcPr>
            <w:tcW w:w="869" w:type="dxa"/>
            <w:tcBorders>
              <w:top w:val="single" w:color="auto" w:sz="4" w:space="0"/>
              <w:left w:val="single" w:color="auto" w:sz="4" w:space="0"/>
              <w:bottom w:val="single" w:color="auto" w:sz="4" w:space="0"/>
              <w:right w:val="single" w:color="auto" w:sz="4" w:space="0"/>
            </w:tcBorders>
            <w:vAlign w:val="center"/>
          </w:tcPr>
          <w:p w14:paraId="5F6FBD98">
            <w:pPr>
              <w:keepNext w:val="0"/>
              <w:keepLines w:val="0"/>
              <w:widowControl/>
              <w:suppressLineNumbers w:val="0"/>
              <w:jc w:val="center"/>
              <w:textAlignment w:val="center"/>
              <w:rPr>
                <w:rFonts w:hint="eastAsia" w:ascii="宋体" w:hAnsi="宋体" w:eastAsia="宋体" w:cs="宋体"/>
                <w:b w:val="0"/>
                <w:bCs w:val="0"/>
                <w:i w:val="0"/>
                <w:iCs w:val="0"/>
                <w:color w:val="auto"/>
                <w:kern w:val="0"/>
                <w:sz w:val="15"/>
                <w:szCs w:val="15"/>
                <w:highlight w:val="none"/>
                <w:u w:val="none"/>
                <w:lang w:val="en-US" w:eastAsia="zh-CN" w:bidi="ar"/>
              </w:rPr>
            </w:pPr>
            <w:r>
              <w:rPr>
                <w:rFonts w:hint="eastAsia" w:ascii="宋体" w:hAnsi="宋体" w:eastAsia="宋体" w:cs="宋体"/>
                <w:b/>
                <w:bCs/>
                <w:i w:val="0"/>
                <w:iCs w:val="0"/>
                <w:color w:val="000000"/>
                <w:kern w:val="0"/>
                <w:sz w:val="15"/>
                <w:szCs w:val="15"/>
                <w:u w:val="none"/>
                <w:lang w:val="en-US" w:eastAsia="zh-CN" w:bidi="ar"/>
              </w:rPr>
              <w:t xml:space="preserve">134214.00 </w:t>
            </w:r>
          </w:p>
        </w:tc>
        <w:tc>
          <w:tcPr>
            <w:tcW w:w="817" w:type="dxa"/>
            <w:tcBorders>
              <w:top w:val="single" w:color="auto" w:sz="4" w:space="0"/>
              <w:left w:val="single" w:color="auto" w:sz="4" w:space="0"/>
              <w:bottom w:val="single" w:color="auto" w:sz="4" w:space="0"/>
              <w:right w:val="single" w:color="auto" w:sz="4" w:space="0"/>
            </w:tcBorders>
            <w:vAlign w:val="center"/>
          </w:tcPr>
          <w:p w14:paraId="35408AF9">
            <w:pPr>
              <w:keepNext w:val="0"/>
              <w:keepLines w:val="0"/>
              <w:widowControl/>
              <w:suppressLineNumbers w:val="0"/>
              <w:jc w:val="center"/>
              <w:textAlignment w:val="center"/>
              <w:rPr>
                <w:rFonts w:hint="eastAsia" w:ascii="宋体" w:hAnsi="宋体" w:eastAsia="宋体" w:cs="宋体"/>
                <w:b w:val="0"/>
                <w:bCs w:val="0"/>
                <w:i w:val="0"/>
                <w:iCs w:val="0"/>
                <w:color w:val="auto"/>
                <w:kern w:val="0"/>
                <w:sz w:val="15"/>
                <w:szCs w:val="15"/>
                <w:highlight w:val="none"/>
                <w:u w:val="none"/>
                <w:lang w:val="en-US" w:eastAsia="zh-CN" w:bidi="ar"/>
              </w:rPr>
            </w:pPr>
            <w:r>
              <w:rPr>
                <w:rFonts w:hint="eastAsia" w:ascii="宋体" w:hAnsi="宋体" w:eastAsia="宋体" w:cs="宋体"/>
                <w:b/>
                <w:bCs/>
                <w:i w:val="0"/>
                <w:iCs w:val="0"/>
                <w:color w:val="000000"/>
                <w:kern w:val="0"/>
                <w:sz w:val="15"/>
                <w:szCs w:val="15"/>
                <w:u w:val="none"/>
                <w:lang w:val="en-US" w:eastAsia="zh-CN" w:bidi="ar"/>
              </w:rPr>
              <w:t xml:space="preserve">20400.00 </w:t>
            </w:r>
          </w:p>
        </w:tc>
        <w:tc>
          <w:tcPr>
            <w:tcW w:w="869" w:type="dxa"/>
            <w:tcBorders>
              <w:top w:val="single" w:color="auto" w:sz="4" w:space="0"/>
              <w:left w:val="single" w:color="auto" w:sz="4" w:space="0"/>
              <w:bottom w:val="single" w:color="auto" w:sz="4" w:space="0"/>
              <w:right w:val="single" w:color="auto" w:sz="4" w:space="0"/>
            </w:tcBorders>
            <w:vAlign w:val="center"/>
          </w:tcPr>
          <w:p w14:paraId="2BE5F3B2">
            <w:pPr>
              <w:keepNext w:val="0"/>
              <w:keepLines w:val="0"/>
              <w:widowControl/>
              <w:suppressLineNumbers w:val="0"/>
              <w:jc w:val="center"/>
              <w:textAlignment w:val="center"/>
              <w:rPr>
                <w:rFonts w:hint="eastAsia" w:ascii="宋体" w:hAnsi="宋体" w:eastAsia="宋体" w:cs="宋体"/>
                <w:b w:val="0"/>
                <w:bCs w:val="0"/>
                <w:i w:val="0"/>
                <w:color w:val="auto"/>
                <w:sz w:val="15"/>
                <w:szCs w:val="15"/>
                <w:highlight w:val="none"/>
                <w:u w:val="none"/>
                <w:lang w:val="en-US" w:eastAsia="zh-CN"/>
              </w:rPr>
            </w:pPr>
            <w:r>
              <w:rPr>
                <w:rFonts w:hint="eastAsia" w:ascii="宋体" w:hAnsi="宋体" w:eastAsia="宋体" w:cs="宋体"/>
                <w:b/>
                <w:bCs/>
                <w:i w:val="0"/>
                <w:iCs w:val="0"/>
                <w:color w:val="000000"/>
                <w:kern w:val="0"/>
                <w:sz w:val="15"/>
                <w:szCs w:val="15"/>
                <w:u w:val="none"/>
                <w:lang w:val="en-US" w:eastAsia="zh-CN" w:bidi="ar"/>
              </w:rPr>
              <w:t xml:space="preserve">0.00 </w:t>
            </w:r>
          </w:p>
        </w:tc>
        <w:tc>
          <w:tcPr>
            <w:tcW w:w="624" w:type="dxa"/>
            <w:vMerge w:val="restart"/>
            <w:tcBorders>
              <w:top w:val="single" w:color="auto" w:sz="4" w:space="0"/>
              <w:left w:val="single" w:color="auto" w:sz="4" w:space="0"/>
              <w:bottom w:val="single" w:color="auto" w:sz="4" w:space="0"/>
              <w:right w:val="single" w:color="auto" w:sz="4" w:space="0"/>
            </w:tcBorders>
            <w:vAlign w:val="center"/>
          </w:tcPr>
          <w:p w14:paraId="0020B55A">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rPr>
            </w:pPr>
          </w:p>
        </w:tc>
        <w:tc>
          <w:tcPr>
            <w:tcW w:w="612" w:type="dxa"/>
            <w:tcBorders>
              <w:top w:val="single" w:color="auto" w:sz="4" w:space="0"/>
              <w:left w:val="single" w:color="auto" w:sz="4" w:space="0"/>
              <w:bottom w:val="single" w:color="auto" w:sz="4" w:space="0"/>
              <w:right w:val="single" w:color="auto" w:sz="4" w:space="0"/>
            </w:tcBorders>
            <w:vAlign w:val="center"/>
          </w:tcPr>
          <w:p w14:paraId="432A70F5">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2C29A3C6">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lang w:val="en-US" w:eastAsia="zh-CN"/>
              </w:rPr>
            </w:pPr>
          </w:p>
        </w:tc>
        <w:tc>
          <w:tcPr>
            <w:tcW w:w="720" w:type="dxa"/>
            <w:tcBorders>
              <w:top w:val="single" w:color="auto" w:sz="4" w:space="0"/>
              <w:left w:val="single" w:color="auto" w:sz="4" w:space="0"/>
              <w:bottom w:val="single" w:color="auto" w:sz="4" w:space="0"/>
              <w:right w:val="single" w:color="auto" w:sz="4" w:space="0"/>
            </w:tcBorders>
            <w:vAlign w:val="center"/>
          </w:tcPr>
          <w:p w14:paraId="07FA14E8">
            <w:pPr>
              <w:keepNext w:val="0"/>
              <w:keepLines w:val="0"/>
              <w:pageBreakBefore w:val="0"/>
              <w:kinsoku/>
              <w:wordWrap/>
              <w:overflowPunct/>
              <w:topLinePunct w:val="0"/>
              <w:autoSpaceDE/>
              <w:autoSpaceDN/>
              <w:bidi w:val="0"/>
              <w:spacing w:before="0" w:after="0" w:line="400" w:lineRule="exact"/>
              <w:jc w:val="center"/>
              <w:rPr>
                <w:rFonts w:hint="eastAsia" w:ascii="宋体" w:hAnsi="宋体" w:eastAsia="宋体" w:cs="宋体"/>
                <w:b w:val="0"/>
                <w:bCs w:val="0"/>
                <w:color w:val="auto"/>
                <w:sz w:val="15"/>
                <w:szCs w:val="15"/>
                <w:highlight w:val="none"/>
              </w:rPr>
            </w:pPr>
          </w:p>
        </w:tc>
        <w:tc>
          <w:tcPr>
            <w:tcW w:w="612" w:type="dxa"/>
            <w:tcBorders>
              <w:top w:val="single" w:color="auto" w:sz="4" w:space="0"/>
              <w:left w:val="single" w:color="auto" w:sz="4" w:space="0"/>
              <w:bottom w:val="single" w:color="auto" w:sz="4" w:space="0"/>
              <w:right w:val="single" w:color="auto" w:sz="4" w:space="0"/>
            </w:tcBorders>
            <w:vAlign w:val="center"/>
          </w:tcPr>
          <w:p w14:paraId="56875F41">
            <w:pPr>
              <w:pStyle w:val="8"/>
              <w:keepNext w:val="0"/>
              <w:keepLines w:val="0"/>
              <w:pageBreakBefore w:val="0"/>
              <w:kinsoku/>
              <w:wordWrap/>
              <w:overflowPunct/>
              <w:topLinePunct w:val="0"/>
              <w:autoSpaceDE/>
              <w:autoSpaceDN/>
              <w:bidi w:val="0"/>
              <w:spacing w:before="0" w:after="0" w:line="400" w:lineRule="exact"/>
              <w:ind w:left="0" w:leftChars="0" w:firstLine="0" w:firstLineChars="0"/>
              <w:jc w:val="center"/>
              <w:rPr>
                <w:rFonts w:hint="eastAsia" w:ascii="宋体" w:hAnsi="宋体" w:eastAsia="宋体" w:cs="宋体"/>
                <w:b w:val="0"/>
                <w:bCs w:val="0"/>
                <w:color w:val="auto"/>
                <w:sz w:val="15"/>
                <w:szCs w:val="15"/>
                <w:highlight w:val="none"/>
                <w:lang w:val="en-US" w:eastAsia="zh-CN"/>
              </w:rPr>
            </w:pPr>
          </w:p>
        </w:tc>
        <w:tc>
          <w:tcPr>
            <w:tcW w:w="464" w:type="dxa"/>
            <w:tcBorders>
              <w:top w:val="single" w:color="auto" w:sz="4" w:space="0"/>
              <w:left w:val="single" w:color="auto" w:sz="4" w:space="0"/>
              <w:bottom w:val="single" w:color="auto" w:sz="4" w:space="0"/>
              <w:right w:val="single" w:color="auto" w:sz="4" w:space="0"/>
            </w:tcBorders>
            <w:vAlign w:val="center"/>
          </w:tcPr>
          <w:p w14:paraId="5A0E6C36">
            <w:pPr>
              <w:pStyle w:val="8"/>
              <w:keepNext w:val="0"/>
              <w:keepLines w:val="0"/>
              <w:pageBreakBefore w:val="0"/>
              <w:kinsoku/>
              <w:wordWrap/>
              <w:overflowPunct/>
              <w:topLinePunct w:val="0"/>
              <w:autoSpaceDE/>
              <w:autoSpaceDN/>
              <w:bidi w:val="0"/>
              <w:spacing w:before="0" w:after="0" w:line="400" w:lineRule="exact"/>
              <w:rPr>
                <w:rFonts w:hint="eastAsia" w:ascii="宋体" w:hAnsi="宋体" w:eastAsia="宋体" w:cs="宋体"/>
                <w:color w:val="auto"/>
                <w:sz w:val="15"/>
                <w:szCs w:val="15"/>
                <w:highlight w:val="none"/>
              </w:rPr>
            </w:pPr>
          </w:p>
        </w:tc>
      </w:tr>
      <w:tr w14:paraId="42A39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6" w:hRule="atLeast"/>
        </w:trPr>
        <w:tc>
          <w:tcPr>
            <w:tcW w:w="433" w:type="dxa"/>
            <w:tcBorders>
              <w:top w:val="single" w:color="auto" w:sz="4" w:space="0"/>
              <w:left w:val="single" w:color="auto" w:sz="4" w:space="0"/>
              <w:bottom w:val="single" w:color="auto" w:sz="4" w:space="0"/>
              <w:right w:val="single" w:color="auto" w:sz="4" w:space="0"/>
            </w:tcBorders>
            <w:vAlign w:val="center"/>
          </w:tcPr>
          <w:p w14:paraId="2FB2CE79">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r>
              <w:rPr>
                <w:rFonts w:hint="eastAsia" w:ascii="宋体" w:hAnsi="宋体" w:eastAsia="宋体" w:cs="宋体"/>
                <w:i w:val="0"/>
                <w:iCs w:val="0"/>
                <w:color w:val="000000"/>
                <w:kern w:val="0"/>
                <w:sz w:val="15"/>
                <w:szCs w:val="15"/>
                <w:u w:val="none"/>
                <w:lang w:val="en-US" w:eastAsia="zh-CN" w:bidi="ar"/>
              </w:rPr>
              <w:t>1</w:t>
            </w:r>
          </w:p>
        </w:tc>
        <w:tc>
          <w:tcPr>
            <w:tcW w:w="2141" w:type="dxa"/>
            <w:tcBorders>
              <w:top w:val="single" w:color="auto" w:sz="4" w:space="0"/>
              <w:left w:val="single" w:color="auto" w:sz="4" w:space="0"/>
              <w:bottom w:val="single" w:color="auto" w:sz="4" w:space="0"/>
              <w:right w:val="single" w:color="auto" w:sz="4" w:space="0"/>
            </w:tcBorders>
            <w:vAlign w:val="center"/>
          </w:tcPr>
          <w:p w14:paraId="394A650B">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110kV湖石变电站工程（电气分册）</w:t>
            </w:r>
          </w:p>
        </w:tc>
        <w:tc>
          <w:tcPr>
            <w:tcW w:w="1004" w:type="dxa"/>
            <w:tcBorders>
              <w:top w:val="single" w:color="auto" w:sz="4" w:space="0"/>
              <w:left w:val="single" w:color="auto" w:sz="4" w:space="0"/>
              <w:bottom w:val="single" w:color="auto" w:sz="4" w:space="0"/>
              <w:right w:val="single" w:color="auto" w:sz="4" w:space="0"/>
            </w:tcBorders>
            <w:vAlign w:val="center"/>
          </w:tcPr>
          <w:p w14:paraId="0DC18373">
            <w:pPr>
              <w:keepNext w:val="0"/>
              <w:keepLines w:val="0"/>
              <w:widowControl/>
              <w:suppressLineNumbers w:val="0"/>
              <w:jc w:val="center"/>
              <w:textAlignment w:val="center"/>
              <w:rPr>
                <w:rFonts w:hint="eastAsia" w:ascii="宋体" w:hAnsi="宋体" w:eastAsia="宋体" w:cs="宋体"/>
                <w:b/>
                <w:bCs/>
                <w:i w:val="0"/>
                <w:iCs w:val="0"/>
                <w:color w:val="000000"/>
                <w:kern w:val="2"/>
                <w:sz w:val="15"/>
                <w:szCs w:val="15"/>
                <w:highlight w:val="none"/>
                <w:u w:val="none"/>
                <w:lang w:val="en-US" w:eastAsia="zh-CN" w:bidi="ar-SA"/>
              </w:rPr>
            </w:pPr>
            <w:r>
              <w:rPr>
                <w:rFonts w:hint="eastAsia" w:ascii="宋体" w:hAnsi="宋体" w:eastAsia="宋体" w:cs="宋体"/>
                <w:i w:val="0"/>
                <w:iCs w:val="0"/>
                <w:color w:val="000000"/>
                <w:kern w:val="0"/>
                <w:sz w:val="15"/>
                <w:szCs w:val="15"/>
                <w:u w:val="none"/>
                <w:lang w:val="en-US" w:eastAsia="zh-CN" w:bidi="ar"/>
              </w:rPr>
              <w:t xml:space="preserve">6392117.54 </w:t>
            </w:r>
          </w:p>
        </w:tc>
        <w:tc>
          <w:tcPr>
            <w:tcW w:w="869" w:type="dxa"/>
            <w:tcBorders>
              <w:top w:val="single" w:color="auto" w:sz="4" w:space="0"/>
              <w:left w:val="single" w:color="auto" w:sz="4" w:space="0"/>
              <w:bottom w:val="single" w:color="auto" w:sz="4" w:space="0"/>
              <w:right w:val="single" w:color="auto" w:sz="4" w:space="0"/>
            </w:tcBorders>
            <w:vAlign w:val="center"/>
          </w:tcPr>
          <w:p w14:paraId="5304E99C">
            <w:pPr>
              <w:keepNext w:val="0"/>
              <w:keepLines w:val="0"/>
              <w:widowControl/>
              <w:suppressLineNumbers w:val="0"/>
              <w:jc w:val="center"/>
              <w:textAlignment w:val="center"/>
              <w:rPr>
                <w:rFonts w:hint="eastAsia" w:ascii="宋体" w:hAnsi="宋体" w:eastAsia="宋体" w:cs="宋体"/>
                <w:b/>
                <w:bCs/>
                <w:color w:val="auto"/>
                <w:kern w:val="0"/>
                <w:sz w:val="15"/>
                <w:szCs w:val="15"/>
                <w:highlight w:val="none"/>
                <w:lang w:val="en-US" w:eastAsia="zh-CN" w:bidi="ar"/>
              </w:rPr>
            </w:pPr>
            <w:r>
              <w:rPr>
                <w:rFonts w:hint="eastAsia" w:ascii="宋体" w:hAnsi="宋体" w:eastAsia="宋体" w:cs="宋体"/>
                <w:i w:val="0"/>
                <w:iCs w:val="0"/>
                <w:color w:val="000000"/>
                <w:kern w:val="0"/>
                <w:sz w:val="15"/>
                <w:szCs w:val="15"/>
                <w:u w:val="none"/>
                <w:lang w:val="en-US" w:eastAsia="zh-CN" w:bidi="ar"/>
              </w:rPr>
              <w:t xml:space="preserve">125995.00 </w:t>
            </w:r>
          </w:p>
        </w:tc>
        <w:tc>
          <w:tcPr>
            <w:tcW w:w="817" w:type="dxa"/>
            <w:tcBorders>
              <w:top w:val="single" w:color="auto" w:sz="4" w:space="0"/>
              <w:left w:val="single" w:color="auto" w:sz="4" w:space="0"/>
              <w:bottom w:val="single" w:color="auto" w:sz="4" w:space="0"/>
              <w:right w:val="single" w:color="auto" w:sz="4" w:space="0"/>
            </w:tcBorders>
            <w:vAlign w:val="center"/>
          </w:tcPr>
          <w:p w14:paraId="53C59A92">
            <w:pPr>
              <w:keepNext w:val="0"/>
              <w:keepLines w:val="0"/>
              <w:widowControl/>
              <w:suppressLineNumbers w:val="0"/>
              <w:jc w:val="center"/>
              <w:textAlignment w:val="center"/>
              <w:rPr>
                <w:rFonts w:hint="eastAsia" w:ascii="宋体" w:hAnsi="宋体" w:cs="宋体"/>
                <w:b/>
                <w:bCs/>
                <w:color w:val="auto"/>
                <w:kern w:val="2"/>
                <w:sz w:val="15"/>
                <w:szCs w:val="15"/>
                <w:highlight w:val="none"/>
                <w:lang w:val="en-US" w:eastAsia="zh-CN" w:bidi="ar-SA"/>
              </w:rPr>
            </w:pPr>
            <w:r>
              <w:rPr>
                <w:rFonts w:hint="eastAsia" w:ascii="宋体" w:hAnsi="宋体" w:eastAsia="宋体" w:cs="宋体"/>
                <w:i w:val="0"/>
                <w:iCs w:val="0"/>
                <w:color w:val="000000"/>
                <w:kern w:val="0"/>
                <w:sz w:val="15"/>
                <w:szCs w:val="15"/>
                <w:u w:val="none"/>
                <w:lang w:val="en-US" w:eastAsia="zh-CN" w:bidi="ar"/>
              </w:rPr>
              <w:t xml:space="preserve">0.00 </w:t>
            </w:r>
          </w:p>
        </w:tc>
        <w:tc>
          <w:tcPr>
            <w:tcW w:w="869" w:type="dxa"/>
            <w:tcBorders>
              <w:top w:val="single" w:color="auto" w:sz="4" w:space="0"/>
              <w:left w:val="single" w:color="auto" w:sz="4" w:space="0"/>
              <w:bottom w:val="single" w:color="auto" w:sz="4" w:space="0"/>
              <w:right w:val="single" w:color="auto" w:sz="4" w:space="0"/>
            </w:tcBorders>
            <w:vAlign w:val="center"/>
          </w:tcPr>
          <w:p w14:paraId="3BAA218E">
            <w:pPr>
              <w:keepNext w:val="0"/>
              <w:keepLines w:val="0"/>
              <w:widowControl/>
              <w:suppressLineNumbers w:val="0"/>
              <w:jc w:val="center"/>
              <w:textAlignment w:val="center"/>
              <w:rPr>
                <w:rFonts w:hint="eastAsia" w:ascii="宋体" w:hAnsi="宋体" w:eastAsia="宋体" w:cs="宋体"/>
                <w:b/>
                <w:bCs/>
                <w:color w:val="auto"/>
                <w:kern w:val="2"/>
                <w:sz w:val="15"/>
                <w:szCs w:val="15"/>
                <w:highlight w:val="none"/>
                <w:lang w:val="en-US" w:eastAsia="zh-CN" w:bidi="ar-SA"/>
              </w:rPr>
            </w:pPr>
            <w:r>
              <w:rPr>
                <w:rFonts w:hint="eastAsia" w:ascii="宋体" w:hAnsi="宋体" w:eastAsia="宋体" w:cs="宋体"/>
                <w:i w:val="0"/>
                <w:iCs w:val="0"/>
                <w:color w:val="000000"/>
                <w:kern w:val="0"/>
                <w:sz w:val="15"/>
                <w:szCs w:val="15"/>
                <w:u w:val="none"/>
                <w:lang w:val="en-US" w:eastAsia="zh-CN" w:bidi="ar"/>
              </w:rPr>
              <w:t xml:space="preserve">0.00 </w:t>
            </w:r>
          </w:p>
        </w:tc>
        <w:tc>
          <w:tcPr>
            <w:tcW w:w="624" w:type="dxa"/>
            <w:vMerge w:val="continue"/>
            <w:tcBorders>
              <w:left w:val="single" w:color="auto" w:sz="4" w:space="0"/>
              <w:right w:val="single" w:color="auto" w:sz="4" w:space="0"/>
            </w:tcBorders>
            <w:vAlign w:val="center"/>
          </w:tcPr>
          <w:p w14:paraId="0C9B6304">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rPr>
            </w:pPr>
          </w:p>
        </w:tc>
        <w:tc>
          <w:tcPr>
            <w:tcW w:w="612" w:type="dxa"/>
            <w:tcBorders>
              <w:top w:val="single" w:color="auto" w:sz="4" w:space="0"/>
              <w:left w:val="single" w:color="auto" w:sz="4" w:space="0"/>
              <w:bottom w:val="single" w:color="auto" w:sz="4" w:space="0"/>
              <w:right w:val="single" w:color="auto" w:sz="4" w:space="0"/>
            </w:tcBorders>
            <w:vAlign w:val="center"/>
          </w:tcPr>
          <w:p w14:paraId="13D0DE86">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6D5688A6">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lang w:val="en-US" w:eastAsia="zh-CN"/>
              </w:rPr>
            </w:pPr>
          </w:p>
        </w:tc>
        <w:tc>
          <w:tcPr>
            <w:tcW w:w="720" w:type="dxa"/>
            <w:tcBorders>
              <w:top w:val="single" w:color="auto" w:sz="4" w:space="0"/>
              <w:left w:val="single" w:color="auto" w:sz="4" w:space="0"/>
              <w:bottom w:val="single" w:color="auto" w:sz="4" w:space="0"/>
              <w:right w:val="single" w:color="auto" w:sz="4" w:space="0"/>
            </w:tcBorders>
            <w:vAlign w:val="center"/>
          </w:tcPr>
          <w:p w14:paraId="3B8971C3">
            <w:pPr>
              <w:keepNext w:val="0"/>
              <w:keepLines w:val="0"/>
              <w:pageBreakBefore w:val="0"/>
              <w:kinsoku/>
              <w:wordWrap/>
              <w:overflowPunct/>
              <w:topLinePunct w:val="0"/>
              <w:autoSpaceDE/>
              <w:autoSpaceDN/>
              <w:bidi w:val="0"/>
              <w:spacing w:before="0" w:after="0" w:line="400" w:lineRule="exact"/>
              <w:jc w:val="center"/>
              <w:rPr>
                <w:rFonts w:hint="eastAsia" w:ascii="宋体" w:hAnsi="宋体" w:eastAsia="宋体" w:cs="宋体"/>
                <w:b w:val="0"/>
                <w:bCs w:val="0"/>
                <w:color w:val="auto"/>
                <w:sz w:val="15"/>
                <w:szCs w:val="15"/>
                <w:highlight w:val="none"/>
                <w:lang w:val="en-US" w:eastAsia="zh-CN"/>
              </w:rPr>
            </w:pPr>
          </w:p>
        </w:tc>
        <w:tc>
          <w:tcPr>
            <w:tcW w:w="612" w:type="dxa"/>
            <w:tcBorders>
              <w:top w:val="single" w:color="auto" w:sz="4" w:space="0"/>
              <w:left w:val="single" w:color="auto" w:sz="4" w:space="0"/>
              <w:bottom w:val="single" w:color="auto" w:sz="4" w:space="0"/>
              <w:right w:val="single" w:color="auto" w:sz="4" w:space="0"/>
            </w:tcBorders>
            <w:vAlign w:val="center"/>
          </w:tcPr>
          <w:p w14:paraId="1AD433C9">
            <w:pPr>
              <w:pStyle w:val="8"/>
              <w:keepNext w:val="0"/>
              <w:keepLines w:val="0"/>
              <w:pageBreakBefore w:val="0"/>
              <w:kinsoku/>
              <w:wordWrap/>
              <w:overflowPunct/>
              <w:topLinePunct w:val="0"/>
              <w:autoSpaceDE/>
              <w:autoSpaceDN/>
              <w:bidi w:val="0"/>
              <w:spacing w:before="0" w:after="0" w:line="400" w:lineRule="exact"/>
              <w:ind w:left="0" w:leftChars="0" w:firstLine="0" w:firstLineChars="0"/>
              <w:jc w:val="center"/>
              <w:rPr>
                <w:rFonts w:hint="eastAsia" w:ascii="宋体" w:hAnsi="宋体" w:eastAsia="宋体" w:cs="宋体"/>
                <w:b w:val="0"/>
                <w:bCs w:val="0"/>
                <w:color w:val="auto"/>
                <w:sz w:val="15"/>
                <w:szCs w:val="15"/>
                <w:highlight w:val="none"/>
                <w:lang w:val="en-US" w:eastAsia="zh-CN"/>
              </w:rPr>
            </w:pPr>
          </w:p>
        </w:tc>
        <w:tc>
          <w:tcPr>
            <w:tcW w:w="464" w:type="dxa"/>
            <w:tcBorders>
              <w:top w:val="single" w:color="auto" w:sz="4" w:space="0"/>
              <w:left w:val="single" w:color="auto" w:sz="4" w:space="0"/>
              <w:bottom w:val="single" w:color="auto" w:sz="4" w:space="0"/>
              <w:right w:val="single" w:color="auto" w:sz="4" w:space="0"/>
            </w:tcBorders>
            <w:vAlign w:val="center"/>
          </w:tcPr>
          <w:p w14:paraId="574F61E2">
            <w:pPr>
              <w:pStyle w:val="8"/>
              <w:keepNext w:val="0"/>
              <w:keepLines w:val="0"/>
              <w:pageBreakBefore w:val="0"/>
              <w:kinsoku/>
              <w:wordWrap/>
              <w:overflowPunct/>
              <w:topLinePunct w:val="0"/>
              <w:autoSpaceDE/>
              <w:autoSpaceDN/>
              <w:bidi w:val="0"/>
              <w:spacing w:before="0" w:after="0" w:line="400" w:lineRule="exact"/>
              <w:rPr>
                <w:rFonts w:hint="eastAsia" w:ascii="宋体" w:hAnsi="宋体" w:eastAsia="宋体" w:cs="宋体"/>
                <w:color w:val="auto"/>
                <w:sz w:val="15"/>
                <w:szCs w:val="15"/>
                <w:highlight w:val="none"/>
              </w:rPr>
            </w:pPr>
          </w:p>
        </w:tc>
      </w:tr>
      <w:tr w14:paraId="457FF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0" w:hRule="atLeast"/>
        </w:trPr>
        <w:tc>
          <w:tcPr>
            <w:tcW w:w="433" w:type="dxa"/>
            <w:tcBorders>
              <w:top w:val="single" w:color="auto" w:sz="4" w:space="0"/>
              <w:left w:val="single" w:color="auto" w:sz="4" w:space="0"/>
              <w:bottom w:val="single" w:color="auto" w:sz="4" w:space="0"/>
              <w:right w:val="single" w:color="auto" w:sz="4" w:space="0"/>
            </w:tcBorders>
            <w:vAlign w:val="center"/>
          </w:tcPr>
          <w:p w14:paraId="71E680F2">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r>
              <w:rPr>
                <w:rFonts w:hint="eastAsia" w:ascii="宋体" w:hAnsi="宋体" w:eastAsia="宋体" w:cs="宋体"/>
                <w:i w:val="0"/>
                <w:iCs w:val="0"/>
                <w:color w:val="000000"/>
                <w:kern w:val="0"/>
                <w:sz w:val="15"/>
                <w:szCs w:val="15"/>
                <w:u w:val="none"/>
                <w:lang w:val="en-US" w:eastAsia="zh-CN" w:bidi="ar"/>
              </w:rPr>
              <w:t>2</w:t>
            </w:r>
          </w:p>
        </w:tc>
        <w:tc>
          <w:tcPr>
            <w:tcW w:w="2141" w:type="dxa"/>
            <w:tcBorders>
              <w:top w:val="single" w:color="auto" w:sz="4" w:space="0"/>
              <w:left w:val="single" w:color="auto" w:sz="4" w:space="0"/>
              <w:bottom w:val="single" w:color="auto" w:sz="4" w:space="0"/>
              <w:right w:val="single" w:color="auto" w:sz="4" w:space="0"/>
            </w:tcBorders>
            <w:vAlign w:val="center"/>
          </w:tcPr>
          <w:p w14:paraId="713252F6">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220kV界观站扩建出线间隔工程</w:t>
            </w:r>
          </w:p>
        </w:tc>
        <w:tc>
          <w:tcPr>
            <w:tcW w:w="1004" w:type="dxa"/>
            <w:tcBorders>
              <w:top w:val="single" w:color="auto" w:sz="4" w:space="0"/>
              <w:left w:val="single" w:color="auto" w:sz="4" w:space="0"/>
              <w:bottom w:val="single" w:color="auto" w:sz="4" w:space="0"/>
              <w:right w:val="single" w:color="auto" w:sz="4" w:space="0"/>
            </w:tcBorders>
            <w:vAlign w:val="center"/>
          </w:tcPr>
          <w:p w14:paraId="564F446A">
            <w:pPr>
              <w:keepNext w:val="0"/>
              <w:keepLines w:val="0"/>
              <w:widowControl/>
              <w:suppressLineNumbers w:val="0"/>
              <w:jc w:val="center"/>
              <w:textAlignment w:val="center"/>
              <w:rPr>
                <w:rFonts w:hint="eastAsia" w:ascii="宋体" w:hAnsi="宋体" w:eastAsia="宋体" w:cs="宋体"/>
                <w:b/>
                <w:bCs/>
                <w:i w:val="0"/>
                <w:iCs w:val="0"/>
                <w:color w:val="000000"/>
                <w:kern w:val="2"/>
                <w:sz w:val="15"/>
                <w:szCs w:val="15"/>
                <w:highlight w:val="none"/>
                <w:u w:val="none"/>
                <w:lang w:val="en-US" w:eastAsia="zh-CN" w:bidi="ar-SA"/>
              </w:rPr>
            </w:pPr>
            <w:r>
              <w:rPr>
                <w:rFonts w:hint="eastAsia" w:ascii="宋体" w:hAnsi="宋体" w:eastAsia="宋体" w:cs="宋体"/>
                <w:i w:val="0"/>
                <w:iCs w:val="0"/>
                <w:color w:val="000000"/>
                <w:kern w:val="0"/>
                <w:sz w:val="15"/>
                <w:szCs w:val="15"/>
                <w:u w:val="none"/>
                <w:lang w:val="en-US" w:eastAsia="zh-CN" w:bidi="ar"/>
              </w:rPr>
              <w:t xml:space="preserve">440205.99 </w:t>
            </w:r>
          </w:p>
        </w:tc>
        <w:tc>
          <w:tcPr>
            <w:tcW w:w="869" w:type="dxa"/>
            <w:tcBorders>
              <w:top w:val="single" w:color="auto" w:sz="4" w:space="0"/>
              <w:left w:val="single" w:color="auto" w:sz="4" w:space="0"/>
              <w:bottom w:val="single" w:color="auto" w:sz="4" w:space="0"/>
              <w:right w:val="single" w:color="auto" w:sz="4" w:space="0"/>
            </w:tcBorders>
            <w:vAlign w:val="center"/>
          </w:tcPr>
          <w:p w14:paraId="2DB41033">
            <w:pPr>
              <w:keepNext w:val="0"/>
              <w:keepLines w:val="0"/>
              <w:widowControl/>
              <w:suppressLineNumbers w:val="0"/>
              <w:jc w:val="center"/>
              <w:textAlignment w:val="center"/>
              <w:rPr>
                <w:rFonts w:hint="eastAsia" w:ascii="宋体" w:hAnsi="宋体" w:eastAsia="宋体" w:cs="宋体"/>
                <w:b/>
                <w:bCs/>
                <w:color w:val="auto"/>
                <w:kern w:val="0"/>
                <w:sz w:val="15"/>
                <w:szCs w:val="15"/>
                <w:highlight w:val="none"/>
                <w:lang w:val="en-US" w:eastAsia="zh-CN" w:bidi="ar"/>
              </w:rPr>
            </w:pPr>
            <w:r>
              <w:rPr>
                <w:rFonts w:hint="eastAsia" w:ascii="宋体" w:hAnsi="宋体" w:eastAsia="宋体" w:cs="宋体"/>
                <w:i w:val="0"/>
                <w:iCs w:val="0"/>
                <w:color w:val="000000"/>
                <w:kern w:val="0"/>
                <w:sz w:val="15"/>
                <w:szCs w:val="15"/>
                <w:u w:val="none"/>
                <w:lang w:val="en-US" w:eastAsia="zh-CN" w:bidi="ar"/>
              </w:rPr>
              <w:t xml:space="preserve">7995.00 </w:t>
            </w:r>
          </w:p>
        </w:tc>
        <w:tc>
          <w:tcPr>
            <w:tcW w:w="817" w:type="dxa"/>
            <w:tcBorders>
              <w:top w:val="single" w:color="auto" w:sz="4" w:space="0"/>
              <w:left w:val="single" w:color="auto" w:sz="4" w:space="0"/>
              <w:bottom w:val="single" w:color="auto" w:sz="4" w:space="0"/>
              <w:right w:val="single" w:color="auto" w:sz="4" w:space="0"/>
            </w:tcBorders>
            <w:vAlign w:val="center"/>
          </w:tcPr>
          <w:p w14:paraId="7D0BA2F4">
            <w:pPr>
              <w:keepNext w:val="0"/>
              <w:keepLines w:val="0"/>
              <w:widowControl/>
              <w:suppressLineNumbers w:val="0"/>
              <w:jc w:val="center"/>
              <w:textAlignment w:val="center"/>
              <w:rPr>
                <w:rFonts w:hint="eastAsia" w:ascii="宋体" w:hAnsi="宋体" w:cs="宋体"/>
                <w:b/>
                <w:bCs/>
                <w:color w:val="auto"/>
                <w:kern w:val="2"/>
                <w:sz w:val="15"/>
                <w:szCs w:val="15"/>
                <w:highlight w:val="none"/>
                <w:lang w:val="en-US" w:eastAsia="zh-CN" w:bidi="ar-SA"/>
              </w:rPr>
            </w:pPr>
            <w:r>
              <w:rPr>
                <w:rFonts w:hint="eastAsia" w:ascii="宋体" w:hAnsi="宋体" w:eastAsia="宋体" w:cs="宋体"/>
                <w:i w:val="0"/>
                <w:iCs w:val="0"/>
                <w:color w:val="000000"/>
                <w:kern w:val="0"/>
                <w:sz w:val="15"/>
                <w:szCs w:val="15"/>
                <w:u w:val="none"/>
                <w:lang w:val="en-US" w:eastAsia="zh-CN" w:bidi="ar"/>
              </w:rPr>
              <w:t xml:space="preserve">10400.00 </w:t>
            </w:r>
          </w:p>
        </w:tc>
        <w:tc>
          <w:tcPr>
            <w:tcW w:w="869" w:type="dxa"/>
            <w:tcBorders>
              <w:top w:val="single" w:color="auto" w:sz="4" w:space="0"/>
              <w:left w:val="single" w:color="auto" w:sz="4" w:space="0"/>
              <w:bottom w:val="single" w:color="auto" w:sz="4" w:space="0"/>
              <w:right w:val="single" w:color="auto" w:sz="4" w:space="0"/>
            </w:tcBorders>
            <w:vAlign w:val="center"/>
          </w:tcPr>
          <w:p w14:paraId="765D4AB6">
            <w:pPr>
              <w:keepNext w:val="0"/>
              <w:keepLines w:val="0"/>
              <w:widowControl/>
              <w:suppressLineNumbers w:val="0"/>
              <w:jc w:val="center"/>
              <w:textAlignment w:val="center"/>
              <w:rPr>
                <w:rFonts w:hint="eastAsia" w:ascii="宋体" w:hAnsi="宋体" w:eastAsia="宋体" w:cs="宋体"/>
                <w:b/>
                <w:bCs/>
                <w:color w:val="auto"/>
                <w:kern w:val="2"/>
                <w:sz w:val="15"/>
                <w:szCs w:val="15"/>
                <w:highlight w:val="none"/>
                <w:lang w:val="en-US" w:eastAsia="zh-CN" w:bidi="ar-SA"/>
              </w:rPr>
            </w:pPr>
            <w:r>
              <w:rPr>
                <w:rFonts w:hint="eastAsia" w:ascii="宋体" w:hAnsi="宋体" w:eastAsia="宋体" w:cs="宋体"/>
                <w:i w:val="0"/>
                <w:iCs w:val="0"/>
                <w:color w:val="000000"/>
                <w:kern w:val="0"/>
                <w:sz w:val="15"/>
                <w:szCs w:val="15"/>
                <w:u w:val="none"/>
                <w:lang w:val="en-US" w:eastAsia="zh-CN" w:bidi="ar"/>
              </w:rPr>
              <w:t xml:space="preserve">0.00 </w:t>
            </w:r>
          </w:p>
        </w:tc>
        <w:tc>
          <w:tcPr>
            <w:tcW w:w="624" w:type="dxa"/>
            <w:vMerge w:val="continue"/>
            <w:tcBorders>
              <w:left w:val="single" w:color="auto" w:sz="4" w:space="0"/>
              <w:right w:val="single" w:color="auto" w:sz="4" w:space="0"/>
            </w:tcBorders>
            <w:vAlign w:val="center"/>
          </w:tcPr>
          <w:p w14:paraId="09A0F7C5">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rPr>
            </w:pPr>
          </w:p>
        </w:tc>
        <w:tc>
          <w:tcPr>
            <w:tcW w:w="612" w:type="dxa"/>
            <w:tcBorders>
              <w:top w:val="single" w:color="auto" w:sz="4" w:space="0"/>
              <w:left w:val="single" w:color="auto" w:sz="4" w:space="0"/>
              <w:bottom w:val="single" w:color="auto" w:sz="4" w:space="0"/>
              <w:right w:val="single" w:color="auto" w:sz="4" w:space="0"/>
            </w:tcBorders>
            <w:vAlign w:val="center"/>
          </w:tcPr>
          <w:p w14:paraId="1827F136">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65B5583B">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lang w:val="en-US" w:eastAsia="zh-CN"/>
              </w:rPr>
            </w:pPr>
          </w:p>
        </w:tc>
        <w:tc>
          <w:tcPr>
            <w:tcW w:w="720" w:type="dxa"/>
            <w:tcBorders>
              <w:top w:val="single" w:color="auto" w:sz="4" w:space="0"/>
              <w:left w:val="single" w:color="auto" w:sz="4" w:space="0"/>
              <w:bottom w:val="single" w:color="auto" w:sz="4" w:space="0"/>
              <w:right w:val="single" w:color="auto" w:sz="4" w:space="0"/>
            </w:tcBorders>
            <w:vAlign w:val="center"/>
          </w:tcPr>
          <w:p w14:paraId="557C722C">
            <w:pPr>
              <w:keepNext w:val="0"/>
              <w:keepLines w:val="0"/>
              <w:pageBreakBefore w:val="0"/>
              <w:kinsoku/>
              <w:wordWrap/>
              <w:overflowPunct/>
              <w:topLinePunct w:val="0"/>
              <w:autoSpaceDE/>
              <w:autoSpaceDN/>
              <w:bidi w:val="0"/>
              <w:spacing w:before="0" w:after="0" w:line="400" w:lineRule="exact"/>
              <w:jc w:val="center"/>
              <w:rPr>
                <w:rFonts w:hint="eastAsia" w:ascii="宋体" w:hAnsi="宋体" w:eastAsia="宋体" w:cs="宋体"/>
                <w:b w:val="0"/>
                <w:bCs w:val="0"/>
                <w:color w:val="auto"/>
                <w:sz w:val="15"/>
                <w:szCs w:val="15"/>
                <w:highlight w:val="none"/>
                <w:lang w:val="en-US" w:eastAsia="zh-CN"/>
              </w:rPr>
            </w:pPr>
          </w:p>
        </w:tc>
        <w:tc>
          <w:tcPr>
            <w:tcW w:w="612" w:type="dxa"/>
            <w:tcBorders>
              <w:top w:val="single" w:color="auto" w:sz="4" w:space="0"/>
              <w:left w:val="single" w:color="auto" w:sz="4" w:space="0"/>
              <w:bottom w:val="single" w:color="auto" w:sz="4" w:space="0"/>
              <w:right w:val="single" w:color="auto" w:sz="4" w:space="0"/>
            </w:tcBorders>
            <w:vAlign w:val="center"/>
          </w:tcPr>
          <w:p w14:paraId="62EA4B91">
            <w:pPr>
              <w:pStyle w:val="8"/>
              <w:keepNext w:val="0"/>
              <w:keepLines w:val="0"/>
              <w:pageBreakBefore w:val="0"/>
              <w:kinsoku/>
              <w:wordWrap/>
              <w:overflowPunct/>
              <w:topLinePunct w:val="0"/>
              <w:autoSpaceDE/>
              <w:autoSpaceDN/>
              <w:bidi w:val="0"/>
              <w:spacing w:before="0" w:after="0" w:line="400" w:lineRule="exact"/>
              <w:ind w:left="0" w:leftChars="0" w:firstLine="0" w:firstLineChars="0"/>
              <w:jc w:val="center"/>
              <w:rPr>
                <w:rFonts w:hint="eastAsia" w:ascii="宋体" w:hAnsi="宋体" w:eastAsia="宋体" w:cs="宋体"/>
                <w:b w:val="0"/>
                <w:bCs w:val="0"/>
                <w:color w:val="auto"/>
                <w:sz w:val="15"/>
                <w:szCs w:val="15"/>
                <w:highlight w:val="none"/>
                <w:lang w:val="en-US" w:eastAsia="zh-CN"/>
              </w:rPr>
            </w:pPr>
          </w:p>
        </w:tc>
        <w:tc>
          <w:tcPr>
            <w:tcW w:w="464" w:type="dxa"/>
            <w:tcBorders>
              <w:top w:val="single" w:color="auto" w:sz="4" w:space="0"/>
              <w:left w:val="single" w:color="auto" w:sz="4" w:space="0"/>
              <w:bottom w:val="single" w:color="auto" w:sz="4" w:space="0"/>
              <w:right w:val="single" w:color="auto" w:sz="4" w:space="0"/>
            </w:tcBorders>
            <w:vAlign w:val="center"/>
          </w:tcPr>
          <w:p w14:paraId="3F462A8D">
            <w:pPr>
              <w:pStyle w:val="8"/>
              <w:keepNext w:val="0"/>
              <w:keepLines w:val="0"/>
              <w:pageBreakBefore w:val="0"/>
              <w:kinsoku/>
              <w:wordWrap/>
              <w:overflowPunct/>
              <w:topLinePunct w:val="0"/>
              <w:autoSpaceDE/>
              <w:autoSpaceDN/>
              <w:bidi w:val="0"/>
              <w:spacing w:before="0" w:after="0" w:line="400" w:lineRule="exact"/>
              <w:rPr>
                <w:rFonts w:hint="eastAsia" w:ascii="宋体" w:hAnsi="宋体" w:eastAsia="宋体" w:cs="宋体"/>
                <w:color w:val="auto"/>
                <w:sz w:val="15"/>
                <w:szCs w:val="15"/>
                <w:highlight w:val="none"/>
              </w:rPr>
            </w:pPr>
          </w:p>
        </w:tc>
      </w:tr>
      <w:tr w14:paraId="2DDE7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8" w:hRule="atLeast"/>
        </w:trPr>
        <w:tc>
          <w:tcPr>
            <w:tcW w:w="433" w:type="dxa"/>
            <w:tcBorders>
              <w:top w:val="single" w:color="auto" w:sz="4" w:space="0"/>
              <w:left w:val="single" w:color="auto" w:sz="4" w:space="0"/>
              <w:bottom w:val="single" w:color="auto" w:sz="4" w:space="0"/>
              <w:right w:val="single" w:color="auto" w:sz="4" w:space="0"/>
            </w:tcBorders>
            <w:vAlign w:val="center"/>
          </w:tcPr>
          <w:p w14:paraId="39FC9D40">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r>
              <w:rPr>
                <w:rFonts w:hint="eastAsia" w:ascii="宋体" w:hAnsi="宋体" w:eastAsia="宋体" w:cs="宋体"/>
                <w:i w:val="0"/>
                <w:iCs w:val="0"/>
                <w:color w:val="000000"/>
                <w:kern w:val="0"/>
                <w:sz w:val="15"/>
                <w:szCs w:val="15"/>
                <w:u w:val="none"/>
                <w:lang w:val="en-US" w:eastAsia="zh-CN" w:bidi="ar"/>
              </w:rPr>
              <w:t>3</w:t>
            </w:r>
          </w:p>
        </w:tc>
        <w:tc>
          <w:tcPr>
            <w:tcW w:w="2141" w:type="dxa"/>
            <w:tcBorders>
              <w:top w:val="single" w:color="auto" w:sz="4" w:space="0"/>
              <w:left w:val="single" w:color="auto" w:sz="4" w:space="0"/>
              <w:bottom w:val="single" w:color="auto" w:sz="4" w:space="0"/>
              <w:right w:val="single" w:color="auto" w:sz="4" w:space="0"/>
            </w:tcBorders>
            <w:vAlign w:val="center"/>
          </w:tcPr>
          <w:p w14:paraId="67AD56E2">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220kV茶山站间隔改造工程</w:t>
            </w:r>
          </w:p>
        </w:tc>
        <w:tc>
          <w:tcPr>
            <w:tcW w:w="1004" w:type="dxa"/>
            <w:tcBorders>
              <w:top w:val="single" w:color="auto" w:sz="4" w:space="0"/>
              <w:left w:val="single" w:color="auto" w:sz="4" w:space="0"/>
              <w:bottom w:val="single" w:color="auto" w:sz="4" w:space="0"/>
              <w:right w:val="single" w:color="auto" w:sz="4" w:space="0"/>
            </w:tcBorders>
            <w:vAlign w:val="center"/>
          </w:tcPr>
          <w:p w14:paraId="7F059C96">
            <w:pPr>
              <w:keepNext w:val="0"/>
              <w:keepLines w:val="0"/>
              <w:widowControl/>
              <w:suppressLineNumbers w:val="0"/>
              <w:jc w:val="center"/>
              <w:textAlignment w:val="center"/>
              <w:rPr>
                <w:rFonts w:hint="eastAsia" w:ascii="宋体" w:hAnsi="宋体" w:eastAsia="宋体" w:cs="宋体"/>
                <w:b/>
                <w:bCs/>
                <w:i w:val="0"/>
                <w:iCs w:val="0"/>
                <w:color w:val="000000"/>
                <w:kern w:val="2"/>
                <w:sz w:val="15"/>
                <w:szCs w:val="15"/>
                <w:highlight w:val="none"/>
                <w:u w:val="none"/>
                <w:lang w:val="en-US" w:eastAsia="zh-CN" w:bidi="ar-SA"/>
              </w:rPr>
            </w:pPr>
            <w:r>
              <w:rPr>
                <w:rFonts w:hint="eastAsia" w:ascii="宋体" w:hAnsi="宋体" w:eastAsia="宋体" w:cs="宋体"/>
                <w:i w:val="0"/>
                <w:iCs w:val="0"/>
                <w:color w:val="000000"/>
                <w:kern w:val="0"/>
                <w:sz w:val="15"/>
                <w:szCs w:val="15"/>
                <w:u w:val="none"/>
                <w:lang w:val="en-US" w:eastAsia="zh-CN" w:bidi="ar"/>
              </w:rPr>
              <w:t xml:space="preserve">13727.31 </w:t>
            </w:r>
          </w:p>
        </w:tc>
        <w:tc>
          <w:tcPr>
            <w:tcW w:w="869" w:type="dxa"/>
            <w:tcBorders>
              <w:top w:val="single" w:color="auto" w:sz="4" w:space="0"/>
              <w:left w:val="single" w:color="auto" w:sz="4" w:space="0"/>
              <w:bottom w:val="single" w:color="auto" w:sz="4" w:space="0"/>
              <w:right w:val="single" w:color="auto" w:sz="4" w:space="0"/>
            </w:tcBorders>
            <w:vAlign w:val="center"/>
          </w:tcPr>
          <w:p w14:paraId="1851D908">
            <w:pPr>
              <w:keepNext w:val="0"/>
              <w:keepLines w:val="0"/>
              <w:widowControl/>
              <w:suppressLineNumbers w:val="0"/>
              <w:jc w:val="center"/>
              <w:textAlignment w:val="center"/>
              <w:rPr>
                <w:rFonts w:hint="eastAsia" w:ascii="宋体" w:hAnsi="宋体" w:eastAsia="宋体" w:cs="宋体"/>
                <w:b/>
                <w:bCs/>
                <w:color w:val="auto"/>
                <w:kern w:val="0"/>
                <w:sz w:val="15"/>
                <w:szCs w:val="15"/>
                <w:highlight w:val="none"/>
                <w:lang w:val="en-US" w:eastAsia="zh-CN" w:bidi="ar"/>
              </w:rPr>
            </w:pPr>
            <w:r>
              <w:rPr>
                <w:rFonts w:hint="eastAsia" w:ascii="宋体" w:hAnsi="宋体" w:eastAsia="宋体" w:cs="宋体"/>
                <w:i w:val="0"/>
                <w:iCs w:val="0"/>
                <w:color w:val="000000"/>
                <w:kern w:val="0"/>
                <w:sz w:val="15"/>
                <w:szCs w:val="15"/>
                <w:u w:val="none"/>
                <w:lang w:val="en-US" w:eastAsia="zh-CN" w:bidi="ar"/>
              </w:rPr>
              <w:t xml:space="preserve">224.00 </w:t>
            </w:r>
          </w:p>
        </w:tc>
        <w:tc>
          <w:tcPr>
            <w:tcW w:w="817" w:type="dxa"/>
            <w:tcBorders>
              <w:top w:val="single" w:color="auto" w:sz="4" w:space="0"/>
              <w:left w:val="single" w:color="auto" w:sz="4" w:space="0"/>
              <w:bottom w:val="single" w:color="auto" w:sz="4" w:space="0"/>
              <w:right w:val="single" w:color="auto" w:sz="4" w:space="0"/>
            </w:tcBorders>
            <w:vAlign w:val="center"/>
          </w:tcPr>
          <w:p w14:paraId="69425F59">
            <w:pPr>
              <w:keepNext w:val="0"/>
              <w:keepLines w:val="0"/>
              <w:widowControl/>
              <w:suppressLineNumbers w:val="0"/>
              <w:jc w:val="center"/>
              <w:textAlignment w:val="center"/>
              <w:rPr>
                <w:rFonts w:hint="eastAsia" w:ascii="宋体" w:hAnsi="宋体" w:cs="宋体"/>
                <w:b/>
                <w:bCs/>
                <w:color w:val="auto"/>
                <w:kern w:val="2"/>
                <w:sz w:val="15"/>
                <w:szCs w:val="15"/>
                <w:highlight w:val="none"/>
                <w:lang w:val="en-US" w:eastAsia="zh-CN" w:bidi="ar-SA"/>
              </w:rPr>
            </w:pPr>
            <w:r>
              <w:rPr>
                <w:rFonts w:hint="eastAsia" w:ascii="宋体" w:hAnsi="宋体" w:eastAsia="宋体" w:cs="宋体"/>
                <w:i w:val="0"/>
                <w:iCs w:val="0"/>
                <w:color w:val="000000"/>
                <w:kern w:val="0"/>
                <w:sz w:val="15"/>
                <w:szCs w:val="15"/>
                <w:u w:val="none"/>
                <w:lang w:val="en-US" w:eastAsia="zh-CN" w:bidi="ar"/>
              </w:rPr>
              <w:t xml:space="preserve">10000.00 </w:t>
            </w:r>
          </w:p>
        </w:tc>
        <w:tc>
          <w:tcPr>
            <w:tcW w:w="869" w:type="dxa"/>
            <w:tcBorders>
              <w:top w:val="single" w:color="auto" w:sz="4" w:space="0"/>
              <w:left w:val="single" w:color="auto" w:sz="4" w:space="0"/>
              <w:bottom w:val="single" w:color="auto" w:sz="4" w:space="0"/>
              <w:right w:val="single" w:color="auto" w:sz="4" w:space="0"/>
            </w:tcBorders>
            <w:vAlign w:val="center"/>
          </w:tcPr>
          <w:p w14:paraId="13B98F48">
            <w:pPr>
              <w:keepNext w:val="0"/>
              <w:keepLines w:val="0"/>
              <w:widowControl/>
              <w:suppressLineNumbers w:val="0"/>
              <w:jc w:val="center"/>
              <w:textAlignment w:val="center"/>
              <w:rPr>
                <w:rFonts w:hint="eastAsia" w:ascii="宋体" w:hAnsi="宋体" w:eastAsia="宋体" w:cs="宋体"/>
                <w:b/>
                <w:bCs/>
                <w:color w:val="auto"/>
                <w:kern w:val="2"/>
                <w:sz w:val="15"/>
                <w:szCs w:val="15"/>
                <w:highlight w:val="none"/>
                <w:lang w:val="en-US" w:eastAsia="zh-CN" w:bidi="ar-SA"/>
              </w:rPr>
            </w:pPr>
            <w:r>
              <w:rPr>
                <w:rFonts w:hint="eastAsia" w:ascii="宋体" w:hAnsi="宋体" w:eastAsia="宋体" w:cs="宋体"/>
                <w:i w:val="0"/>
                <w:iCs w:val="0"/>
                <w:color w:val="000000"/>
                <w:kern w:val="0"/>
                <w:sz w:val="15"/>
                <w:szCs w:val="15"/>
                <w:u w:val="none"/>
                <w:lang w:val="en-US" w:eastAsia="zh-CN" w:bidi="ar"/>
              </w:rPr>
              <w:t xml:space="preserve">0.00 </w:t>
            </w:r>
          </w:p>
        </w:tc>
        <w:tc>
          <w:tcPr>
            <w:tcW w:w="624" w:type="dxa"/>
            <w:vMerge w:val="continue"/>
            <w:tcBorders>
              <w:left w:val="single" w:color="auto" w:sz="4" w:space="0"/>
              <w:right w:val="single" w:color="auto" w:sz="4" w:space="0"/>
            </w:tcBorders>
            <w:vAlign w:val="center"/>
          </w:tcPr>
          <w:p w14:paraId="2F1769DD">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rPr>
            </w:pPr>
          </w:p>
        </w:tc>
        <w:tc>
          <w:tcPr>
            <w:tcW w:w="612" w:type="dxa"/>
            <w:tcBorders>
              <w:top w:val="single" w:color="auto" w:sz="4" w:space="0"/>
              <w:left w:val="single" w:color="auto" w:sz="4" w:space="0"/>
              <w:bottom w:val="single" w:color="auto" w:sz="4" w:space="0"/>
              <w:right w:val="single" w:color="auto" w:sz="4" w:space="0"/>
            </w:tcBorders>
            <w:vAlign w:val="center"/>
          </w:tcPr>
          <w:p w14:paraId="19862410">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1BF51EF9">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lang w:val="en-US" w:eastAsia="zh-CN"/>
              </w:rPr>
            </w:pPr>
          </w:p>
        </w:tc>
        <w:tc>
          <w:tcPr>
            <w:tcW w:w="720" w:type="dxa"/>
            <w:tcBorders>
              <w:top w:val="single" w:color="auto" w:sz="4" w:space="0"/>
              <w:left w:val="single" w:color="auto" w:sz="4" w:space="0"/>
              <w:bottom w:val="single" w:color="auto" w:sz="4" w:space="0"/>
              <w:right w:val="single" w:color="auto" w:sz="4" w:space="0"/>
            </w:tcBorders>
            <w:vAlign w:val="center"/>
          </w:tcPr>
          <w:p w14:paraId="053C3559">
            <w:pPr>
              <w:keepNext w:val="0"/>
              <w:keepLines w:val="0"/>
              <w:pageBreakBefore w:val="0"/>
              <w:kinsoku/>
              <w:wordWrap/>
              <w:overflowPunct/>
              <w:topLinePunct w:val="0"/>
              <w:autoSpaceDE/>
              <w:autoSpaceDN/>
              <w:bidi w:val="0"/>
              <w:spacing w:before="0" w:after="0" w:line="400" w:lineRule="exact"/>
              <w:jc w:val="center"/>
              <w:rPr>
                <w:rFonts w:hint="eastAsia" w:ascii="宋体" w:hAnsi="宋体" w:eastAsia="宋体" w:cs="宋体"/>
                <w:b w:val="0"/>
                <w:bCs w:val="0"/>
                <w:color w:val="auto"/>
                <w:sz w:val="15"/>
                <w:szCs w:val="15"/>
                <w:highlight w:val="none"/>
                <w:lang w:val="en-US" w:eastAsia="zh-CN"/>
              </w:rPr>
            </w:pPr>
          </w:p>
        </w:tc>
        <w:tc>
          <w:tcPr>
            <w:tcW w:w="612" w:type="dxa"/>
            <w:tcBorders>
              <w:top w:val="single" w:color="auto" w:sz="4" w:space="0"/>
              <w:left w:val="single" w:color="auto" w:sz="4" w:space="0"/>
              <w:bottom w:val="single" w:color="auto" w:sz="4" w:space="0"/>
              <w:right w:val="single" w:color="auto" w:sz="4" w:space="0"/>
            </w:tcBorders>
            <w:vAlign w:val="center"/>
          </w:tcPr>
          <w:p w14:paraId="5D69F5C1">
            <w:pPr>
              <w:pStyle w:val="8"/>
              <w:keepNext w:val="0"/>
              <w:keepLines w:val="0"/>
              <w:pageBreakBefore w:val="0"/>
              <w:kinsoku/>
              <w:wordWrap/>
              <w:overflowPunct/>
              <w:topLinePunct w:val="0"/>
              <w:autoSpaceDE/>
              <w:autoSpaceDN/>
              <w:bidi w:val="0"/>
              <w:spacing w:before="0" w:after="0" w:line="400" w:lineRule="exact"/>
              <w:ind w:left="0" w:leftChars="0" w:firstLine="0" w:firstLineChars="0"/>
              <w:jc w:val="center"/>
              <w:rPr>
                <w:rFonts w:hint="eastAsia" w:ascii="宋体" w:hAnsi="宋体" w:eastAsia="宋体" w:cs="宋体"/>
                <w:b w:val="0"/>
                <w:bCs w:val="0"/>
                <w:color w:val="auto"/>
                <w:sz w:val="15"/>
                <w:szCs w:val="15"/>
                <w:highlight w:val="none"/>
                <w:lang w:val="en-US" w:eastAsia="zh-CN"/>
              </w:rPr>
            </w:pPr>
          </w:p>
        </w:tc>
        <w:tc>
          <w:tcPr>
            <w:tcW w:w="464" w:type="dxa"/>
            <w:tcBorders>
              <w:top w:val="single" w:color="auto" w:sz="4" w:space="0"/>
              <w:left w:val="single" w:color="auto" w:sz="4" w:space="0"/>
              <w:bottom w:val="single" w:color="auto" w:sz="4" w:space="0"/>
              <w:right w:val="single" w:color="auto" w:sz="4" w:space="0"/>
            </w:tcBorders>
            <w:vAlign w:val="center"/>
          </w:tcPr>
          <w:p w14:paraId="27D8DC55">
            <w:pPr>
              <w:pStyle w:val="8"/>
              <w:keepNext w:val="0"/>
              <w:keepLines w:val="0"/>
              <w:pageBreakBefore w:val="0"/>
              <w:kinsoku/>
              <w:wordWrap/>
              <w:overflowPunct/>
              <w:topLinePunct w:val="0"/>
              <w:autoSpaceDE/>
              <w:autoSpaceDN/>
              <w:bidi w:val="0"/>
              <w:spacing w:before="0" w:after="0" w:line="400" w:lineRule="exact"/>
              <w:rPr>
                <w:rFonts w:hint="eastAsia" w:ascii="宋体" w:hAnsi="宋体" w:eastAsia="宋体" w:cs="宋体"/>
                <w:color w:val="auto"/>
                <w:sz w:val="15"/>
                <w:szCs w:val="15"/>
                <w:highlight w:val="none"/>
              </w:rPr>
            </w:pPr>
          </w:p>
        </w:tc>
      </w:tr>
      <w:tr w14:paraId="5F19E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433" w:type="dxa"/>
            <w:tcBorders>
              <w:top w:val="single" w:color="auto" w:sz="4" w:space="0"/>
              <w:left w:val="single" w:color="auto" w:sz="4" w:space="0"/>
              <w:bottom w:val="single" w:color="auto" w:sz="4" w:space="0"/>
              <w:right w:val="single" w:color="auto" w:sz="4" w:space="0"/>
            </w:tcBorders>
            <w:vAlign w:val="center"/>
          </w:tcPr>
          <w:p w14:paraId="5C655ED5">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r>
              <w:rPr>
                <w:rFonts w:hint="eastAsia" w:ascii="宋体" w:hAnsi="宋体" w:eastAsia="宋体" w:cs="宋体"/>
                <w:b/>
                <w:bCs/>
                <w:i w:val="0"/>
                <w:iCs w:val="0"/>
                <w:color w:val="000000"/>
                <w:kern w:val="0"/>
                <w:sz w:val="15"/>
                <w:szCs w:val="15"/>
                <w:u w:val="none"/>
                <w:lang w:val="en-US" w:eastAsia="zh-CN" w:bidi="ar"/>
              </w:rPr>
              <w:t>二</w:t>
            </w:r>
          </w:p>
        </w:tc>
        <w:tc>
          <w:tcPr>
            <w:tcW w:w="2141" w:type="dxa"/>
            <w:tcBorders>
              <w:top w:val="single" w:color="auto" w:sz="4" w:space="0"/>
              <w:left w:val="single" w:color="auto" w:sz="4" w:space="0"/>
              <w:bottom w:val="single" w:color="auto" w:sz="4" w:space="0"/>
              <w:right w:val="single" w:color="auto" w:sz="4" w:space="0"/>
            </w:tcBorders>
            <w:vAlign w:val="center"/>
          </w:tcPr>
          <w:p w14:paraId="14742DAF">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b/>
                <w:bCs/>
                <w:i w:val="0"/>
                <w:iCs w:val="0"/>
                <w:color w:val="000000"/>
                <w:kern w:val="0"/>
                <w:sz w:val="15"/>
                <w:szCs w:val="15"/>
                <w:u w:val="none"/>
                <w:lang w:val="en-US" w:eastAsia="zh-CN" w:bidi="ar"/>
              </w:rPr>
              <w:t>线路工程</w:t>
            </w:r>
          </w:p>
        </w:tc>
        <w:tc>
          <w:tcPr>
            <w:tcW w:w="1004" w:type="dxa"/>
            <w:tcBorders>
              <w:top w:val="single" w:color="auto" w:sz="4" w:space="0"/>
              <w:left w:val="single" w:color="auto" w:sz="4" w:space="0"/>
              <w:bottom w:val="single" w:color="auto" w:sz="4" w:space="0"/>
              <w:right w:val="single" w:color="auto" w:sz="4" w:space="0"/>
            </w:tcBorders>
            <w:vAlign w:val="center"/>
          </w:tcPr>
          <w:p w14:paraId="76520C3B">
            <w:pPr>
              <w:keepNext w:val="0"/>
              <w:keepLines w:val="0"/>
              <w:widowControl/>
              <w:suppressLineNumbers w:val="0"/>
              <w:jc w:val="center"/>
              <w:textAlignment w:val="center"/>
              <w:rPr>
                <w:rFonts w:hint="eastAsia" w:ascii="宋体" w:hAnsi="宋体" w:eastAsia="宋体" w:cs="宋体"/>
                <w:b/>
                <w:bCs/>
                <w:i w:val="0"/>
                <w:iCs w:val="0"/>
                <w:color w:val="000000"/>
                <w:kern w:val="2"/>
                <w:sz w:val="15"/>
                <w:szCs w:val="15"/>
                <w:highlight w:val="none"/>
                <w:u w:val="none"/>
                <w:lang w:val="en-US" w:eastAsia="zh-CN" w:bidi="ar-SA"/>
              </w:rPr>
            </w:pPr>
            <w:r>
              <w:rPr>
                <w:rFonts w:hint="eastAsia" w:ascii="宋体" w:hAnsi="宋体" w:eastAsia="宋体" w:cs="宋体"/>
                <w:b/>
                <w:bCs/>
                <w:i w:val="0"/>
                <w:iCs w:val="0"/>
                <w:color w:val="000000"/>
                <w:kern w:val="0"/>
                <w:sz w:val="15"/>
                <w:szCs w:val="15"/>
                <w:u w:val="none"/>
                <w:lang w:val="en-US" w:eastAsia="zh-CN" w:bidi="ar"/>
              </w:rPr>
              <w:t xml:space="preserve">29283557.28 </w:t>
            </w:r>
          </w:p>
        </w:tc>
        <w:tc>
          <w:tcPr>
            <w:tcW w:w="869" w:type="dxa"/>
            <w:tcBorders>
              <w:top w:val="single" w:color="auto" w:sz="4" w:space="0"/>
              <w:left w:val="single" w:color="auto" w:sz="4" w:space="0"/>
              <w:bottom w:val="single" w:color="auto" w:sz="4" w:space="0"/>
              <w:right w:val="single" w:color="auto" w:sz="4" w:space="0"/>
            </w:tcBorders>
            <w:vAlign w:val="center"/>
          </w:tcPr>
          <w:p w14:paraId="5D721BBB">
            <w:pPr>
              <w:keepNext w:val="0"/>
              <w:keepLines w:val="0"/>
              <w:widowControl/>
              <w:suppressLineNumbers w:val="0"/>
              <w:jc w:val="center"/>
              <w:textAlignment w:val="center"/>
              <w:rPr>
                <w:rFonts w:hint="eastAsia" w:ascii="宋体" w:hAnsi="宋体" w:eastAsia="宋体" w:cs="宋体"/>
                <w:b/>
                <w:bCs/>
                <w:color w:val="auto"/>
                <w:kern w:val="0"/>
                <w:sz w:val="15"/>
                <w:szCs w:val="15"/>
                <w:highlight w:val="none"/>
                <w:lang w:val="en-US" w:eastAsia="zh-CN" w:bidi="ar"/>
              </w:rPr>
            </w:pPr>
            <w:r>
              <w:rPr>
                <w:rFonts w:hint="eastAsia" w:ascii="宋体" w:hAnsi="宋体" w:eastAsia="宋体" w:cs="宋体"/>
                <w:b/>
                <w:bCs/>
                <w:i w:val="0"/>
                <w:iCs w:val="0"/>
                <w:color w:val="000000"/>
                <w:kern w:val="0"/>
                <w:sz w:val="15"/>
                <w:szCs w:val="15"/>
                <w:u w:val="none"/>
                <w:lang w:val="en-US" w:eastAsia="zh-CN" w:bidi="ar"/>
              </w:rPr>
              <w:t xml:space="preserve">386635.00 </w:t>
            </w:r>
          </w:p>
        </w:tc>
        <w:tc>
          <w:tcPr>
            <w:tcW w:w="817" w:type="dxa"/>
            <w:tcBorders>
              <w:top w:val="single" w:color="auto" w:sz="4" w:space="0"/>
              <w:left w:val="single" w:color="auto" w:sz="4" w:space="0"/>
              <w:bottom w:val="single" w:color="auto" w:sz="4" w:space="0"/>
              <w:right w:val="single" w:color="auto" w:sz="4" w:space="0"/>
            </w:tcBorders>
            <w:vAlign w:val="center"/>
          </w:tcPr>
          <w:p w14:paraId="11C003F1">
            <w:pPr>
              <w:keepNext w:val="0"/>
              <w:keepLines w:val="0"/>
              <w:widowControl/>
              <w:suppressLineNumbers w:val="0"/>
              <w:jc w:val="center"/>
              <w:textAlignment w:val="center"/>
              <w:rPr>
                <w:rFonts w:hint="eastAsia" w:ascii="宋体" w:hAnsi="宋体" w:cs="宋体"/>
                <w:b/>
                <w:bCs/>
                <w:color w:val="auto"/>
                <w:kern w:val="2"/>
                <w:sz w:val="15"/>
                <w:szCs w:val="15"/>
                <w:highlight w:val="none"/>
                <w:lang w:val="en-US" w:eastAsia="zh-CN" w:bidi="ar-SA"/>
              </w:rPr>
            </w:pPr>
            <w:r>
              <w:rPr>
                <w:rFonts w:hint="eastAsia" w:ascii="宋体" w:hAnsi="宋体" w:eastAsia="宋体" w:cs="宋体"/>
                <w:b/>
                <w:bCs/>
                <w:i w:val="0"/>
                <w:iCs w:val="0"/>
                <w:color w:val="000000"/>
                <w:kern w:val="0"/>
                <w:sz w:val="15"/>
                <w:szCs w:val="15"/>
                <w:u w:val="none"/>
                <w:lang w:val="en-US" w:eastAsia="zh-CN" w:bidi="ar"/>
              </w:rPr>
              <w:t xml:space="preserve">0.00 </w:t>
            </w:r>
          </w:p>
        </w:tc>
        <w:tc>
          <w:tcPr>
            <w:tcW w:w="869" w:type="dxa"/>
            <w:tcBorders>
              <w:top w:val="single" w:color="auto" w:sz="4" w:space="0"/>
              <w:left w:val="single" w:color="auto" w:sz="4" w:space="0"/>
              <w:bottom w:val="single" w:color="auto" w:sz="4" w:space="0"/>
              <w:right w:val="single" w:color="auto" w:sz="4" w:space="0"/>
            </w:tcBorders>
            <w:vAlign w:val="center"/>
          </w:tcPr>
          <w:p w14:paraId="1C5895B8">
            <w:pPr>
              <w:keepNext w:val="0"/>
              <w:keepLines w:val="0"/>
              <w:widowControl/>
              <w:suppressLineNumbers w:val="0"/>
              <w:jc w:val="center"/>
              <w:textAlignment w:val="center"/>
              <w:rPr>
                <w:rFonts w:hint="eastAsia" w:ascii="宋体" w:hAnsi="宋体" w:eastAsia="宋体" w:cs="宋体"/>
                <w:b/>
                <w:bCs/>
                <w:color w:val="auto"/>
                <w:kern w:val="2"/>
                <w:sz w:val="15"/>
                <w:szCs w:val="15"/>
                <w:highlight w:val="none"/>
                <w:lang w:val="en-US" w:eastAsia="zh-CN" w:bidi="ar-SA"/>
              </w:rPr>
            </w:pPr>
            <w:r>
              <w:rPr>
                <w:rFonts w:hint="eastAsia" w:ascii="宋体" w:hAnsi="宋体" w:eastAsia="宋体" w:cs="宋体"/>
                <w:b/>
                <w:bCs/>
                <w:i w:val="0"/>
                <w:iCs w:val="0"/>
                <w:color w:val="000000"/>
                <w:kern w:val="0"/>
                <w:sz w:val="15"/>
                <w:szCs w:val="15"/>
                <w:u w:val="none"/>
                <w:lang w:val="en-US" w:eastAsia="zh-CN" w:bidi="ar"/>
              </w:rPr>
              <w:t xml:space="preserve">13843701.91 </w:t>
            </w:r>
          </w:p>
        </w:tc>
        <w:tc>
          <w:tcPr>
            <w:tcW w:w="624" w:type="dxa"/>
            <w:vMerge w:val="continue"/>
            <w:tcBorders>
              <w:left w:val="single" w:color="auto" w:sz="4" w:space="0"/>
              <w:right w:val="single" w:color="auto" w:sz="4" w:space="0"/>
            </w:tcBorders>
            <w:vAlign w:val="center"/>
          </w:tcPr>
          <w:p w14:paraId="33AD4C23">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rPr>
            </w:pPr>
          </w:p>
        </w:tc>
        <w:tc>
          <w:tcPr>
            <w:tcW w:w="612" w:type="dxa"/>
            <w:tcBorders>
              <w:top w:val="single" w:color="auto" w:sz="4" w:space="0"/>
              <w:left w:val="single" w:color="auto" w:sz="4" w:space="0"/>
              <w:bottom w:val="single" w:color="auto" w:sz="4" w:space="0"/>
              <w:right w:val="single" w:color="auto" w:sz="4" w:space="0"/>
            </w:tcBorders>
            <w:vAlign w:val="center"/>
          </w:tcPr>
          <w:p w14:paraId="5245AF6C">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4E528106">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lang w:val="en-US" w:eastAsia="zh-CN"/>
              </w:rPr>
            </w:pPr>
          </w:p>
        </w:tc>
        <w:tc>
          <w:tcPr>
            <w:tcW w:w="720" w:type="dxa"/>
            <w:tcBorders>
              <w:top w:val="single" w:color="auto" w:sz="4" w:space="0"/>
              <w:left w:val="single" w:color="auto" w:sz="4" w:space="0"/>
              <w:bottom w:val="single" w:color="auto" w:sz="4" w:space="0"/>
              <w:right w:val="single" w:color="auto" w:sz="4" w:space="0"/>
            </w:tcBorders>
            <w:vAlign w:val="center"/>
          </w:tcPr>
          <w:p w14:paraId="37A1DE3F">
            <w:pPr>
              <w:keepNext w:val="0"/>
              <w:keepLines w:val="0"/>
              <w:pageBreakBefore w:val="0"/>
              <w:kinsoku/>
              <w:wordWrap/>
              <w:overflowPunct/>
              <w:topLinePunct w:val="0"/>
              <w:autoSpaceDE/>
              <w:autoSpaceDN/>
              <w:bidi w:val="0"/>
              <w:spacing w:before="0" w:after="0" w:line="400" w:lineRule="exact"/>
              <w:jc w:val="center"/>
              <w:rPr>
                <w:rFonts w:hint="eastAsia" w:ascii="宋体" w:hAnsi="宋体" w:eastAsia="宋体" w:cs="宋体"/>
                <w:b w:val="0"/>
                <w:bCs w:val="0"/>
                <w:color w:val="auto"/>
                <w:sz w:val="15"/>
                <w:szCs w:val="15"/>
                <w:highlight w:val="none"/>
                <w:lang w:val="en-US" w:eastAsia="zh-CN"/>
              </w:rPr>
            </w:pPr>
          </w:p>
        </w:tc>
        <w:tc>
          <w:tcPr>
            <w:tcW w:w="612" w:type="dxa"/>
            <w:tcBorders>
              <w:top w:val="single" w:color="auto" w:sz="4" w:space="0"/>
              <w:left w:val="single" w:color="auto" w:sz="4" w:space="0"/>
              <w:bottom w:val="single" w:color="auto" w:sz="4" w:space="0"/>
              <w:right w:val="single" w:color="auto" w:sz="4" w:space="0"/>
            </w:tcBorders>
            <w:vAlign w:val="center"/>
          </w:tcPr>
          <w:p w14:paraId="216DA9E1">
            <w:pPr>
              <w:pStyle w:val="8"/>
              <w:keepNext w:val="0"/>
              <w:keepLines w:val="0"/>
              <w:pageBreakBefore w:val="0"/>
              <w:kinsoku/>
              <w:wordWrap/>
              <w:overflowPunct/>
              <w:topLinePunct w:val="0"/>
              <w:autoSpaceDE/>
              <w:autoSpaceDN/>
              <w:bidi w:val="0"/>
              <w:spacing w:before="0" w:after="0" w:line="400" w:lineRule="exact"/>
              <w:ind w:left="0" w:leftChars="0" w:firstLine="0" w:firstLineChars="0"/>
              <w:jc w:val="center"/>
              <w:rPr>
                <w:rFonts w:hint="eastAsia" w:ascii="宋体" w:hAnsi="宋体" w:eastAsia="宋体" w:cs="宋体"/>
                <w:b w:val="0"/>
                <w:bCs w:val="0"/>
                <w:color w:val="auto"/>
                <w:sz w:val="15"/>
                <w:szCs w:val="15"/>
                <w:highlight w:val="none"/>
                <w:lang w:val="en-US" w:eastAsia="zh-CN"/>
              </w:rPr>
            </w:pPr>
          </w:p>
        </w:tc>
        <w:tc>
          <w:tcPr>
            <w:tcW w:w="464" w:type="dxa"/>
            <w:tcBorders>
              <w:top w:val="single" w:color="auto" w:sz="4" w:space="0"/>
              <w:left w:val="single" w:color="auto" w:sz="4" w:space="0"/>
              <w:bottom w:val="single" w:color="auto" w:sz="4" w:space="0"/>
              <w:right w:val="single" w:color="auto" w:sz="4" w:space="0"/>
            </w:tcBorders>
            <w:vAlign w:val="center"/>
          </w:tcPr>
          <w:p w14:paraId="4222C599">
            <w:pPr>
              <w:pStyle w:val="8"/>
              <w:keepNext w:val="0"/>
              <w:keepLines w:val="0"/>
              <w:pageBreakBefore w:val="0"/>
              <w:kinsoku/>
              <w:wordWrap/>
              <w:overflowPunct/>
              <w:topLinePunct w:val="0"/>
              <w:autoSpaceDE/>
              <w:autoSpaceDN/>
              <w:bidi w:val="0"/>
              <w:spacing w:before="0" w:after="0" w:line="400" w:lineRule="exact"/>
              <w:rPr>
                <w:rFonts w:hint="eastAsia" w:ascii="宋体" w:hAnsi="宋体" w:eastAsia="宋体" w:cs="宋体"/>
                <w:color w:val="auto"/>
                <w:sz w:val="15"/>
                <w:szCs w:val="15"/>
                <w:highlight w:val="none"/>
              </w:rPr>
            </w:pPr>
          </w:p>
        </w:tc>
      </w:tr>
      <w:tr w14:paraId="67A4A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31" w:hRule="atLeast"/>
        </w:trPr>
        <w:tc>
          <w:tcPr>
            <w:tcW w:w="433" w:type="dxa"/>
            <w:tcBorders>
              <w:top w:val="single" w:color="auto" w:sz="4" w:space="0"/>
              <w:left w:val="single" w:color="auto" w:sz="4" w:space="0"/>
              <w:bottom w:val="single" w:color="auto" w:sz="4" w:space="0"/>
              <w:right w:val="single" w:color="auto" w:sz="4" w:space="0"/>
            </w:tcBorders>
            <w:vAlign w:val="center"/>
          </w:tcPr>
          <w:p w14:paraId="7F38C0DB">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r>
              <w:rPr>
                <w:rFonts w:hint="eastAsia" w:ascii="宋体" w:hAnsi="宋体" w:eastAsia="宋体" w:cs="宋体"/>
                <w:i w:val="0"/>
                <w:iCs w:val="0"/>
                <w:color w:val="000000"/>
                <w:kern w:val="0"/>
                <w:sz w:val="15"/>
                <w:szCs w:val="15"/>
                <w:u w:val="none"/>
                <w:lang w:val="en-US" w:eastAsia="zh-CN" w:bidi="ar"/>
              </w:rPr>
              <w:t>1</w:t>
            </w:r>
          </w:p>
        </w:tc>
        <w:tc>
          <w:tcPr>
            <w:tcW w:w="2141" w:type="dxa"/>
            <w:tcBorders>
              <w:top w:val="single" w:color="auto" w:sz="4" w:space="0"/>
              <w:left w:val="single" w:color="auto" w:sz="4" w:space="0"/>
              <w:bottom w:val="single" w:color="auto" w:sz="4" w:space="0"/>
              <w:right w:val="single" w:color="auto" w:sz="4" w:space="0"/>
            </w:tcBorders>
            <w:vAlign w:val="center"/>
          </w:tcPr>
          <w:p w14:paraId="5CDD070A">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110kV湖石接入界观站电缆线路工程</w:t>
            </w:r>
          </w:p>
        </w:tc>
        <w:tc>
          <w:tcPr>
            <w:tcW w:w="1004" w:type="dxa"/>
            <w:tcBorders>
              <w:top w:val="single" w:color="auto" w:sz="4" w:space="0"/>
              <w:left w:val="single" w:color="auto" w:sz="4" w:space="0"/>
              <w:bottom w:val="single" w:color="auto" w:sz="4" w:space="0"/>
              <w:right w:val="single" w:color="auto" w:sz="4" w:space="0"/>
            </w:tcBorders>
            <w:vAlign w:val="center"/>
          </w:tcPr>
          <w:p w14:paraId="4A5F8BEF">
            <w:pPr>
              <w:keepNext w:val="0"/>
              <w:keepLines w:val="0"/>
              <w:widowControl/>
              <w:suppressLineNumbers w:val="0"/>
              <w:jc w:val="center"/>
              <w:textAlignment w:val="center"/>
              <w:rPr>
                <w:rFonts w:hint="eastAsia" w:ascii="宋体" w:hAnsi="宋体" w:eastAsia="宋体" w:cs="宋体"/>
                <w:b/>
                <w:bCs/>
                <w:i w:val="0"/>
                <w:iCs w:val="0"/>
                <w:color w:val="000000"/>
                <w:kern w:val="2"/>
                <w:sz w:val="15"/>
                <w:szCs w:val="15"/>
                <w:highlight w:val="none"/>
                <w:u w:val="none"/>
                <w:lang w:val="en-US" w:eastAsia="zh-CN" w:bidi="ar-SA"/>
              </w:rPr>
            </w:pPr>
            <w:r>
              <w:rPr>
                <w:rFonts w:hint="eastAsia" w:ascii="宋体" w:hAnsi="宋体" w:eastAsia="宋体" w:cs="宋体"/>
                <w:i w:val="0"/>
                <w:iCs w:val="0"/>
                <w:color w:val="000000"/>
                <w:kern w:val="0"/>
                <w:sz w:val="15"/>
                <w:szCs w:val="15"/>
                <w:u w:val="none"/>
                <w:lang w:val="en-US" w:eastAsia="zh-CN" w:bidi="ar"/>
              </w:rPr>
              <w:t xml:space="preserve">23935413.08 </w:t>
            </w:r>
          </w:p>
        </w:tc>
        <w:tc>
          <w:tcPr>
            <w:tcW w:w="869" w:type="dxa"/>
            <w:tcBorders>
              <w:top w:val="single" w:color="auto" w:sz="4" w:space="0"/>
              <w:left w:val="single" w:color="auto" w:sz="4" w:space="0"/>
              <w:bottom w:val="single" w:color="auto" w:sz="4" w:space="0"/>
              <w:right w:val="single" w:color="auto" w:sz="4" w:space="0"/>
            </w:tcBorders>
            <w:vAlign w:val="center"/>
          </w:tcPr>
          <w:p w14:paraId="2CD00B91">
            <w:pPr>
              <w:keepNext w:val="0"/>
              <w:keepLines w:val="0"/>
              <w:widowControl/>
              <w:suppressLineNumbers w:val="0"/>
              <w:jc w:val="center"/>
              <w:textAlignment w:val="center"/>
              <w:rPr>
                <w:rFonts w:hint="eastAsia" w:ascii="宋体" w:hAnsi="宋体" w:eastAsia="宋体" w:cs="宋体"/>
                <w:b/>
                <w:bCs/>
                <w:color w:val="auto"/>
                <w:kern w:val="0"/>
                <w:sz w:val="15"/>
                <w:szCs w:val="15"/>
                <w:highlight w:val="none"/>
                <w:lang w:val="en-US" w:eastAsia="zh-CN" w:bidi="ar"/>
              </w:rPr>
            </w:pPr>
            <w:r>
              <w:rPr>
                <w:rFonts w:hint="eastAsia" w:ascii="宋体" w:hAnsi="宋体" w:eastAsia="宋体" w:cs="宋体"/>
                <w:i w:val="0"/>
                <w:iCs w:val="0"/>
                <w:color w:val="000000"/>
                <w:kern w:val="0"/>
                <w:sz w:val="15"/>
                <w:szCs w:val="15"/>
                <w:u w:val="none"/>
                <w:lang w:val="en-US" w:eastAsia="zh-CN" w:bidi="ar"/>
              </w:rPr>
              <w:t xml:space="preserve">227701.00 </w:t>
            </w:r>
          </w:p>
        </w:tc>
        <w:tc>
          <w:tcPr>
            <w:tcW w:w="817" w:type="dxa"/>
            <w:tcBorders>
              <w:top w:val="single" w:color="auto" w:sz="4" w:space="0"/>
              <w:left w:val="single" w:color="auto" w:sz="4" w:space="0"/>
              <w:bottom w:val="single" w:color="auto" w:sz="4" w:space="0"/>
              <w:right w:val="single" w:color="auto" w:sz="4" w:space="0"/>
            </w:tcBorders>
            <w:vAlign w:val="center"/>
          </w:tcPr>
          <w:p w14:paraId="4C4C57E8">
            <w:pPr>
              <w:keepNext w:val="0"/>
              <w:keepLines w:val="0"/>
              <w:widowControl/>
              <w:suppressLineNumbers w:val="0"/>
              <w:jc w:val="center"/>
              <w:textAlignment w:val="center"/>
              <w:rPr>
                <w:rFonts w:hint="eastAsia" w:ascii="宋体" w:hAnsi="宋体" w:cs="宋体"/>
                <w:b/>
                <w:bCs/>
                <w:color w:val="auto"/>
                <w:kern w:val="2"/>
                <w:sz w:val="15"/>
                <w:szCs w:val="15"/>
                <w:highlight w:val="none"/>
                <w:lang w:val="en-US" w:eastAsia="zh-CN" w:bidi="ar-SA"/>
              </w:rPr>
            </w:pPr>
            <w:r>
              <w:rPr>
                <w:rFonts w:hint="eastAsia" w:ascii="宋体" w:hAnsi="宋体" w:eastAsia="宋体" w:cs="宋体"/>
                <w:i w:val="0"/>
                <w:iCs w:val="0"/>
                <w:color w:val="000000"/>
                <w:kern w:val="0"/>
                <w:sz w:val="15"/>
                <w:szCs w:val="15"/>
                <w:u w:val="none"/>
                <w:lang w:val="en-US" w:eastAsia="zh-CN" w:bidi="ar"/>
              </w:rPr>
              <w:t xml:space="preserve">0.00 </w:t>
            </w:r>
          </w:p>
        </w:tc>
        <w:tc>
          <w:tcPr>
            <w:tcW w:w="869" w:type="dxa"/>
            <w:tcBorders>
              <w:top w:val="single" w:color="auto" w:sz="4" w:space="0"/>
              <w:left w:val="single" w:color="auto" w:sz="4" w:space="0"/>
              <w:bottom w:val="single" w:color="auto" w:sz="4" w:space="0"/>
              <w:right w:val="single" w:color="auto" w:sz="4" w:space="0"/>
            </w:tcBorders>
            <w:vAlign w:val="center"/>
          </w:tcPr>
          <w:p w14:paraId="0EEE1C00">
            <w:pPr>
              <w:keepNext w:val="0"/>
              <w:keepLines w:val="0"/>
              <w:widowControl/>
              <w:suppressLineNumbers w:val="0"/>
              <w:jc w:val="center"/>
              <w:textAlignment w:val="center"/>
              <w:rPr>
                <w:rFonts w:hint="eastAsia" w:ascii="宋体" w:hAnsi="宋体" w:eastAsia="宋体" w:cs="宋体"/>
                <w:b/>
                <w:bCs/>
                <w:color w:val="auto"/>
                <w:kern w:val="2"/>
                <w:sz w:val="15"/>
                <w:szCs w:val="15"/>
                <w:highlight w:val="none"/>
                <w:lang w:val="en-US" w:eastAsia="zh-CN" w:bidi="ar-SA"/>
              </w:rPr>
            </w:pPr>
            <w:r>
              <w:rPr>
                <w:rFonts w:hint="eastAsia" w:ascii="宋体" w:hAnsi="宋体" w:eastAsia="宋体" w:cs="宋体"/>
                <w:i w:val="0"/>
                <w:iCs w:val="0"/>
                <w:color w:val="000000"/>
                <w:kern w:val="0"/>
                <w:sz w:val="15"/>
                <w:szCs w:val="15"/>
                <w:u w:val="none"/>
                <w:lang w:val="en-US" w:eastAsia="zh-CN" w:bidi="ar"/>
              </w:rPr>
              <w:t xml:space="preserve">12136949.10 </w:t>
            </w:r>
          </w:p>
        </w:tc>
        <w:tc>
          <w:tcPr>
            <w:tcW w:w="624" w:type="dxa"/>
            <w:vMerge w:val="continue"/>
            <w:tcBorders>
              <w:left w:val="single" w:color="auto" w:sz="4" w:space="0"/>
              <w:right w:val="single" w:color="auto" w:sz="4" w:space="0"/>
            </w:tcBorders>
            <w:vAlign w:val="center"/>
          </w:tcPr>
          <w:p w14:paraId="3C4F307B">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rPr>
            </w:pPr>
          </w:p>
        </w:tc>
        <w:tc>
          <w:tcPr>
            <w:tcW w:w="612" w:type="dxa"/>
            <w:tcBorders>
              <w:top w:val="single" w:color="auto" w:sz="4" w:space="0"/>
              <w:left w:val="single" w:color="auto" w:sz="4" w:space="0"/>
              <w:bottom w:val="single" w:color="auto" w:sz="4" w:space="0"/>
              <w:right w:val="single" w:color="auto" w:sz="4" w:space="0"/>
            </w:tcBorders>
            <w:vAlign w:val="center"/>
          </w:tcPr>
          <w:p w14:paraId="17746CEE">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73054668">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lang w:val="en-US" w:eastAsia="zh-CN"/>
              </w:rPr>
            </w:pPr>
          </w:p>
        </w:tc>
        <w:tc>
          <w:tcPr>
            <w:tcW w:w="720" w:type="dxa"/>
            <w:tcBorders>
              <w:top w:val="single" w:color="auto" w:sz="4" w:space="0"/>
              <w:left w:val="single" w:color="auto" w:sz="4" w:space="0"/>
              <w:bottom w:val="single" w:color="auto" w:sz="4" w:space="0"/>
              <w:right w:val="single" w:color="auto" w:sz="4" w:space="0"/>
            </w:tcBorders>
            <w:vAlign w:val="center"/>
          </w:tcPr>
          <w:p w14:paraId="6C0ADE31">
            <w:pPr>
              <w:keepNext w:val="0"/>
              <w:keepLines w:val="0"/>
              <w:pageBreakBefore w:val="0"/>
              <w:kinsoku/>
              <w:wordWrap/>
              <w:overflowPunct/>
              <w:topLinePunct w:val="0"/>
              <w:autoSpaceDE/>
              <w:autoSpaceDN/>
              <w:bidi w:val="0"/>
              <w:spacing w:before="0" w:after="0" w:line="400" w:lineRule="exact"/>
              <w:jc w:val="center"/>
              <w:rPr>
                <w:rFonts w:hint="eastAsia" w:ascii="宋体" w:hAnsi="宋体" w:eastAsia="宋体" w:cs="宋体"/>
                <w:b w:val="0"/>
                <w:bCs w:val="0"/>
                <w:color w:val="auto"/>
                <w:sz w:val="15"/>
                <w:szCs w:val="15"/>
                <w:highlight w:val="none"/>
                <w:lang w:val="en-US" w:eastAsia="zh-CN"/>
              </w:rPr>
            </w:pPr>
          </w:p>
        </w:tc>
        <w:tc>
          <w:tcPr>
            <w:tcW w:w="612" w:type="dxa"/>
            <w:tcBorders>
              <w:top w:val="single" w:color="auto" w:sz="4" w:space="0"/>
              <w:left w:val="single" w:color="auto" w:sz="4" w:space="0"/>
              <w:bottom w:val="single" w:color="auto" w:sz="4" w:space="0"/>
              <w:right w:val="single" w:color="auto" w:sz="4" w:space="0"/>
            </w:tcBorders>
            <w:vAlign w:val="center"/>
          </w:tcPr>
          <w:p w14:paraId="681B890C">
            <w:pPr>
              <w:pStyle w:val="8"/>
              <w:keepNext w:val="0"/>
              <w:keepLines w:val="0"/>
              <w:pageBreakBefore w:val="0"/>
              <w:kinsoku/>
              <w:wordWrap/>
              <w:overflowPunct/>
              <w:topLinePunct w:val="0"/>
              <w:autoSpaceDE/>
              <w:autoSpaceDN/>
              <w:bidi w:val="0"/>
              <w:spacing w:before="0" w:after="0" w:line="400" w:lineRule="exact"/>
              <w:ind w:left="0" w:leftChars="0" w:firstLine="0" w:firstLineChars="0"/>
              <w:jc w:val="center"/>
              <w:rPr>
                <w:rFonts w:hint="eastAsia" w:ascii="宋体" w:hAnsi="宋体" w:eastAsia="宋体" w:cs="宋体"/>
                <w:b w:val="0"/>
                <w:bCs w:val="0"/>
                <w:color w:val="auto"/>
                <w:sz w:val="15"/>
                <w:szCs w:val="15"/>
                <w:highlight w:val="none"/>
                <w:lang w:val="en-US" w:eastAsia="zh-CN"/>
              </w:rPr>
            </w:pPr>
          </w:p>
        </w:tc>
        <w:tc>
          <w:tcPr>
            <w:tcW w:w="464" w:type="dxa"/>
            <w:tcBorders>
              <w:top w:val="single" w:color="auto" w:sz="4" w:space="0"/>
              <w:left w:val="single" w:color="auto" w:sz="4" w:space="0"/>
              <w:bottom w:val="single" w:color="auto" w:sz="4" w:space="0"/>
              <w:right w:val="single" w:color="auto" w:sz="4" w:space="0"/>
            </w:tcBorders>
            <w:vAlign w:val="center"/>
          </w:tcPr>
          <w:p w14:paraId="7100CB92">
            <w:pPr>
              <w:pStyle w:val="8"/>
              <w:keepNext w:val="0"/>
              <w:keepLines w:val="0"/>
              <w:pageBreakBefore w:val="0"/>
              <w:kinsoku/>
              <w:wordWrap/>
              <w:overflowPunct/>
              <w:topLinePunct w:val="0"/>
              <w:autoSpaceDE/>
              <w:autoSpaceDN/>
              <w:bidi w:val="0"/>
              <w:spacing w:before="0" w:after="0" w:line="400" w:lineRule="exact"/>
              <w:rPr>
                <w:rFonts w:hint="eastAsia" w:ascii="宋体" w:hAnsi="宋体" w:eastAsia="宋体" w:cs="宋体"/>
                <w:color w:val="auto"/>
                <w:sz w:val="15"/>
                <w:szCs w:val="15"/>
                <w:highlight w:val="none"/>
              </w:rPr>
            </w:pPr>
          </w:p>
        </w:tc>
      </w:tr>
      <w:tr w14:paraId="7D50C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5" w:hRule="atLeast"/>
        </w:trPr>
        <w:tc>
          <w:tcPr>
            <w:tcW w:w="433" w:type="dxa"/>
            <w:tcBorders>
              <w:top w:val="single" w:color="auto" w:sz="4" w:space="0"/>
              <w:left w:val="single" w:color="auto" w:sz="4" w:space="0"/>
              <w:bottom w:val="single" w:color="auto" w:sz="4" w:space="0"/>
              <w:right w:val="single" w:color="auto" w:sz="4" w:space="0"/>
            </w:tcBorders>
            <w:vAlign w:val="center"/>
          </w:tcPr>
          <w:p w14:paraId="4044EE4F">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r>
              <w:rPr>
                <w:rFonts w:hint="eastAsia" w:ascii="宋体" w:hAnsi="宋体" w:eastAsia="宋体" w:cs="宋体"/>
                <w:i w:val="0"/>
                <w:iCs w:val="0"/>
                <w:color w:val="000000"/>
                <w:kern w:val="0"/>
                <w:sz w:val="15"/>
                <w:szCs w:val="15"/>
                <w:u w:val="none"/>
                <w:lang w:val="en-US" w:eastAsia="zh-CN" w:bidi="ar"/>
              </w:rPr>
              <w:t>2</w:t>
            </w:r>
          </w:p>
        </w:tc>
        <w:tc>
          <w:tcPr>
            <w:tcW w:w="2141" w:type="dxa"/>
            <w:tcBorders>
              <w:top w:val="single" w:color="auto" w:sz="4" w:space="0"/>
              <w:left w:val="single" w:color="auto" w:sz="4" w:space="0"/>
              <w:bottom w:val="single" w:color="auto" w:sz="4" w:space="0"/>
              <w:right w:val="single" w:color="auto" w:sz="4" w:space="0"/>
            </w:tcBorders>
            <w:vAlign w:val="center"/>
          </w:tcPr>
          <w:p w14:paraId="6DC8A045">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110kV湖石T接茶汉乙线电缆线路工程</w:t>
            </w:r>
          </w:p>
        </w:tc>
        <w:tc>
          <w:tcPr>
            <w:tcW w:w="1004" w:type="dxa"/>
            <w:tcBorders>
              <w:top w:val="single" w:color="auto" w:sz="4" w:space="0"/>
              <w:left w:val="single" w:color="auto" w:sz="4" w:space="0"/>
              <w:bottom w:val="single" w:color="auto" w:sz="4" w:space="0"/>
              <w:right w:val="single" w:color="auto" w:sz="4" w:space="0"/>
            </w:tcBorders>
            <w:vAlign w:val="center"/>
          </w:tcPr>
          <w:p w14:paraId="0ED80952">
            <w:pPr>
              <w:keepNext w:val="0"/>
              <w:keepLines w:val="0"/>
              <w:widowControl/>
              <w:suppressLineNumbers w:val="0"/>
              <w:jc w:val="center"/>
              <w:textAlignment w:val="center"/>
              <w:rPr>
                <w:rFonts w:hint="eastAsia" w:ascii="宋体" w:hAnsi="宋体" w:eastAsia="宋体" w:cs="宋体"/>
                <w:b/>
                <w:bCs/>
                <w:i w:val="0"/>
                <w:iCs w:val="0"/>
                <w:color w:val="000000"/>
                <w:kern w:val="2"/>
                <w:sz w:val="15"/>
                <w:szCs w:val="15"/>
                <w:highlight w:val="none"/>
                <w:u w:val="none"/>
                <w:lang w:val="en-US" w:eastAsia="zh-CN" w:bidi="ar-SA"/>
              </w:rPr>
            </w:pPr>
            <w:r>
              <w:rPr>
                <w:rFonts w:hint="eastAsia" w:ascii="宋体" w:hAnsi="宋体" w:eastAsia="宋体" w:cs="宋体"/>
                <w:i w:val="0"/>
                <w:iCs w:val="0"/>
                <w:color w:val="000000"/>
                <w:kern w:val="0"/>
                <w:sz w:val="15"/>
                <w:szCs w:val="15"/>
                <w:u w:val="none"/>
                <w:lang w:val="en-US" w:eastAsia="zh-CN" w:bidi="ar"/>
              </w:rPr>
              <w:t xml:space="preserve">2091737.79 </w:t>
            </w:r>
          </w:p>
        </w:tc>
        <w:tc>
          <w:tcPr>
            <w:tcW w:w="869" w:type="dxa"/>
            <w:tcBorders>
              <w:top w:val="single" w:color="auto" w:sz="4" w:space="0"/>
              <w:left w:val="single" w:color="auto" w:sz="4" w:space="0"/>
              <w:bottom w:val="single" w:color="auto" w:sz="4" w:space="0"/>
              <w:right w:val="single" w:color="auto" w:sz="4" w:space="0"/>
            </w:tcBorders>
            <w:vAlign w:val="center"/>
          </w:tcPr>
          <w:p w14:paraId="0D207A87">
            <w:pPr>
              <w:keepNext w:val="0"/>
              <w:keepLines w:val="0"/>
              <w:widowControl/>
              <w:suppressLineNumbers w:val="0"/>
              <w:jc w:val="center"/>
              <w:textAlignment w:val="center"/>
              <w:rPr>
                <w:rFonts w:hint="eastAsia" w:ascii="宋体" w:hAnsi="宋体" w:eastAsia="宋体" w:cs="宋体"/>
                <w:b/>
                <w:bCs/>
                <w:color w:val="auto"/>
                <w:kern w:val="0"/>
                <w:sz w:val="15"/>
                <w:szCs w:val="15"/>
                <w:highlight w:val="none"/>
                <w:lang w:val="en-US" w:eastAsia="zh-CN" w:bidi="ar"/>
              </w:rPr>
            </w:pPr>
            <w:r>
              <w:rPr>
                <w:rFonts w:hint="eastAsia" w:ascii="宋体" w:hAnsi="宋体" w:eastAsia="宋体" w:cs="宋体"/>
                <w:i w:val="0"/>
                <w:iCs w:val="0"/>
                <w:color w:val="000000"/>
                <w:kern w:val="0"/>
                <w:sz w:val="15"/>
                <w:szCs w:val="15"/>
                <w:u w:val="none"/>
                <w:lang w:val="en-US" w:eastAsia="zh-CN" w:bidi="ar"/>
              </w:rPr>
              <w:t xml:space="preserve">41185.00 </w:t>
            </w:r>
          </w:p>
        </w:tc>
        <w:tc>
          <w:tcPr>
            <w:tcW w:w="817" w:type="dxa"/>
            <w:tcBorders>
              <w:top w:val="single" w:color="auto" w:sz="4" w:space="0"/>
              <w:left w:val="single" w:color="auto" w:sz="4" w:space="0"/>
              <w:bottom w:val="single" w:color="auto" w:sz="4" w:space="0"/>
              <w:right w:val="single" w:color="auto" w:sz="4" w:space="0"/>
            </w:tcBorders>
            <w:vAlign w:val="center"/>
          </w:tcPr>
          <w:p w14:paraId="47B9743B">
            <w:pPr>
              <w:keepNext w:val="0"/>
              <w:keepLines w:val="0"/>
              <w:widowControl/>
              <w:suppressLineNumbers w:val="0"/>
              <w:jc w:val="center"/>
              <w:textAlignment w:val="center"/>
              <w:rPr>
                <w:rFonts w:hint="eastAsia" w:ascii="宋体" w:hAnsi="宋体" w:cs="宋体"/>
                <w:b/>
                <w:bCs/>
                <w:color w:val="auto"/>
                <w:kern w:val="2"/>
                <w:sz w:val="15"/>
                <w:szCs w:val="15"/>
                <w:highlight w:val="none"/>
                <w:lang w:val="en-US" w:eastAsia="zh-CN" w:bidi="ar-SA"/>
              </w:rPr>
            </w:pPr>
            <w:r>
              <w:rPr>
                <w:rFonts w:hint="eastAsia" w:ascii="宋体" w:hAnsi="宋体" w:eastAsia="宋体" w:cs="宋体"/>
                <w:i w:val="0"/>
                <w:iCs w:val="0"/>
                <w:color w:val="000000"/>
                <w:kern w:val="0"/>
                <w:sz w:val="15"/>
                <w:szCs w:val="15"/>
                <w:u w:val="none"/>
                <w:lang w:val="en-US" w:eastAsia="zh-CN" w:bidi="ar"/>
              </w:rPr>
              <w:t xml:space="preserve">0.00 </w:t>
            </w:r>
          </w:p>
        </w:tc>
        <w:tc>
          <w:tcPr>
            <w:tcW w:w="869" w:type="dxa"/>
            <w:tcBorders>
              <w:top w:val="single" w:color="auto" w:sz="4" w:space="0"/>
              <w:left w:val="single" w:color="auto" w:sz="4" w:space="0"/>
              <w:bottom w:val="single" w:color="auto" w:sz="4" w:space="0"/>
              <w:right w:val="single" w:color="auto" w:sz="4" w:space="0"/>
            </w:tcBorders>
            <w:vAlign w:val="center"/>
          </w:tcPr>
          <w:p w14:paraId="38147708">
            <w:pPr>
              <w:keepNext w:val="0"/>
              <w:keepLines w:val="0"/>
              <w:widowControl/>
              <w:suppressLineNumbers w:val="0"/>
              <w:jc w:val="center"/>
              <w:textAlignment w:val="center"/>
              <w:rPr>
                <w:rFonts w:hint="eastAsia" w:ascii="宋体" w:hAnsi="宋体" w:eastAsia="宋体" w:cs="宋体"/>
                <w:b/>
                <w:bCs/>
                <w:color w:val="auto"/>
                <w:kern w:val="2"/>
                <w:sz w:val="15"/>
                <w:szCs w:val="15"/>
                <w:highlight w:val="none"/>
                <w:lang w:val="en-US" w:eastAsia="zh-CN" w:bidi="ar-SA"/>
              </w:rPr>
            </w:pPr>
            <w:r>
              <w:rPr>
                <w:rFonts w:hint="eastAsia" w:ascii="宋体" w:hAnsi="宋体" w:eastAsia="宋体" w:cs="宋体"/>
                <w:i w:val="0"/>
                <w:iCs w:val="0"/>
                <w:color w:val="000000"/>
                <w:kern w:val="0"/>
                <w:sz w:val="15"/>
                <w:szCs w:val="15"/>
                <w:u w:val="none"/>
                <w:lang w:val="en-US" w:eastAsia="zh-CN" w:bidi="ar"/>
              </w:rPr>
              <w:t xml:space="preserve">385185.81 </w:t>
            </w:r>
          </w:p>
        </w:tc>
        <w:tc>
          <w:tcPr>
            <w:tcW w:w="624" w:type="dxa"/>
            <w:vMerge w:val="continue"/>
            <w:tcBorders>
              <w:left w:val="single" w:color="auto" w:sz="4" w:space="0"/>
              <w:right w:val="single" w:color="auto" w:sz="4" w:space="0"/>
            </w:tcBorders>
            <w:vAlign w:val="center"/>
          </w:tcPr>
          <w:p w14:paraId="2B1E41A7">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rPr>
            </w:pPr>
          </w:p>
        </w:tc>
        <w:tc>
          <w:tcPr>
            <w:tcW w:w="612" w:type="dxa"/>
            <w:tcBorders>
              <w:top w:val="single" w:color="auto" w:sz="4" w:space="0"/>
              <w:left w:val="single" w:color="auto" w:sz="4" w:space="0"/>
              <w:bottom w:val="single" w:color="auto" w:sz="4" w:space="0"/>
              <w:right w:val="single" w:color="auto" w:sz="4" w:space="0"/>
            </w:tcBorders>
            <w:vAlign w:val="center"/>
          </w:tcPr>
          <w:p w14:paraId="0C4F285A">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257FC449">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lang w:val="en-US" w:eastAsia="zh-CN"/>
              </w:rPr>
            </w:pPr>
          </w:p>
        </w:tc>
        <w:tc>
          <w:tcPr>
            <w:tcW w:w="720" w:type="dxa"/>
            <w:tcBorders>
              <w:top w:val="single" w:color="auto" w:sz="4" w:space="0"/>
              <w:left w:val="single" w:color="auto" w:sz="4" w:space="0"/>
              <w:bottom w:val="single" w:color="auto" w:sz="4" w:space="0"/>
              <w:right w:val="single" w:color="auto" w:sz="4" w:space="0"/>
            </w:tcBorders>
            <w:vAlign w:val="center"/>
          </w:tcPr>
          <w:p w14:paraId="3913CAEE">
            <w:pPr>
              <w:keepNext w:val="0"/>
              <w:keepLines w:val="0"/>
              <w:pageBreakBefore w:val="0"/>
              <w:kinsoku/>
              <w:wordWrap/>
              <w:overflowPunct/>
              <w:topLinePunct w:val="0"/>
              <w:autoSpaceDE/>
              <w:autoSpaceDN/>
              <w:bidi w:val="0"/>
              <w:spacing w:before="0" w:after="0" w:line="400" w:lineRule="exact"/>
              <w:jc w:val="center"/>
              <w:rPr>
                <w:rFonts w:hint="eastAsia" w:ascii="宋体" w:hAnsi="宋体" w:eastAsia="宋体" w:cs="宋体"/>
                <w:b w:val="0"/>
                <w:bCs w:val="0"/>
                <w:color w:val="auto"/>
                <w:sz w:val="15"/>
                <w:szCs w:val="15"/>
                <w:highlight w:val="none"/>
                <w:lang w:val="en-US" w:eastAsia="zh-CN"/>
              </w:rPr>
            </w:pPr>
          </w:p>
        </w:tc>
        <w:tc>
          <w:tcPr>
            <w:tcW w:w="612" w:type="dxa"/>
            <w:tcBorders>
              <w:top w:val="single" w:color="auto" w:sz="4" w:space="0"/>
              <w:left w:val="single" w:color="auto" w:sz="4" w:space="0"/>
              <w:bottom w:val="single" w:color="auto" w:sz="4" w:space="0"/>
              <w:right w:val="single" w:color="auto" w:sz="4" w:space="0"/>
            </w:tcBorders>
            <w:vAlign w:val="center"/>
          </w:tcPr>
          <w:p w14:paraId="2CCD2604">
            <w:pPr>
              <w:pStyle w:val="8"/>
              <w:keepNext w:val="0"/>
              <w:keepLines w:val="0"/>
              <w:pageBreakBefore w:val="0"/>
              <w:kinsoku/>
              <w:wordWrap/>
              <w:overflowPunct/>
              <w:topLinePunct w:val="0"/>
              <w:autoSpaceDE/>
              <w:autoSpaceDN/>
              <w:bidi w:val="0"/>
              <w:spacing w:before="0" w:after="0" w:line="400" w:lineRule="exact"/>
              <w:ind w:left="0" w:leftChars="0" w:firstLine="0" w:firstLineChars="0"/>
              <w:jc w:val="center"/>
              <w:rPr>
                <w:rFonts w:hint="eastAsia" w:ascii="宋体" w:hAnsi="宋体" w:eastAsia="宋体" w:cs="宋体"/>
                <w:b w:val="0"/>
                <w:bCs w:val="0"/>
                <w:color w:val="auto"/>
                <w:sz w:val="15"/>
                <w:szCs w:val="15"/>
                <w:highlight w:val="none"/>
                <w:lang w:val="en-US" w:eastAsia="zh-CN"/>
              </w:rPr>
            </w:pPr>
          </w:p>
        </w:tc>
        <w:tc>
          <w:tcPr>
            <w:tcW w:w="464" w:type="dxa"/>
            <w:tcBorders>
              <w:top w:val="single" w:color="auto" w:sz="4" w:space="0"/>
              <w:left w:val="single" w:color="auto" w:sz="4" w:space="0"/>
              <w:bottom w:val="single" w:color="auto" w:sz="4" w:space="0"/>
              <w:right w:val="single" w:color="auto" w:sz="4" w:space="0"/>
            </w:tcBorders>
            <w:vAlign w:val="center"/>
          </w:tcPr>
          <w:p w14:paraId="005E2B7B">
            <w:pPr>
              <w:pStyle w:val="8"/>
              <w:keepNext w:val="0"/>
              <w:keepLines w:val="0"/>
              <w:pageBreakBefore w:val="0"/>
              <w:kinsoku/>
              <w:wordWrap/>
              <w:overflowPunct/>
              <w:topLinePunct w:val="0"/>
              <w:autoSpaceDE/>
              <w:autoSpaceDN/>
              <w:bidi w:val="0"/>
              <w:spacing w:before="0" w:after="0" w:line="400" w:lineRule="exact"/>
              <w:rPr>
                <w:rFonts w:hint="eastAsia" w:ascii="宋体" w:hAnsi="宋体" w:eastAsia="宋体" w:cs="宋体"/>
                <w:color w:val="auto"/>
                <w:sz w:val="15"/>
                <w:szCs w:val="15"/>
                <w:highlight w:val="none"/>
              </w:rPr>
            </w:pPr>
          </w:p>
        </w:tc>
      </w:tr>
      <w:tr w14:paraId="71839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17" w:hRule="atLeast"/>
        </w:trPr>
        <w:tc>
          <w:tcPr>
            <w:tcW w:w="433" w:type="dxa"/>
            <w:tcBorders>
              <w:top w:val="single" w:color="auto" w:sz="4" w:space="0"/>
              <w:left w:val="single" w:color="auto" w:sz="4" w:space="0"/>
              <w:bottom w:val="single" w:color="auto" w:sz="4" w:space="0"/>
              <w:right w:val="single" w:color="auto" w:sz="4" w:space="0"/>
            </w:tcBorders>
            <w:vAlign w:val="center"/>
          </w:tcPr>
          <w:p w14:paraId="4A8EC89F">
            <w:pPr>
              <w:keepNext w:val="0"/>
              <w:keepLines w:val="0"/>
              <w:widowControl/>
              <w:suppressLineNumbers w:val="0"/>
              <w:jc w:val="center"/>
              <w:textAlignment w:val="center"/>
              <w:rPr>
                <w:rFonts w:hint="eastAsia" w:ascii="宋体" w:hAnsi="宋体" w:eastAsia="宋体" w:cs="宋体"/>
                <w:i w:val="0"/>
                <w:iCs w:val="0"/>
                <w:color w:val="auto"/>
                <w:kern w:val="0"/>
                <w:sz w:val="15"/>
                <w:szCs w:val="15"/>
                <w:highlight w:val="none"/>
                <w:u w:val="none"/>
                <w:lang w:val="en-US" w:eastAsia="zh-CN" w:bidi="ar"/>
              </w:rPr>
            </w:pPr>
            <w:r>
              <w:rPr>
                <w:rFonts w:hint="eastAsia" w:ascii="宋体" w:hAnsi="宋体" w:eastAsia="宋体" w:cs="宋体"/>
                <w:i w:val="0"/>
                <w:iCs w:val="0"/>
                <w:color w:val="000000"/>
                <w:kern w:val="0"/>
                <w:sz w:val="15"/>
                <w:szCs w:val="15"/>
                <w:u w:val="none"/>
                <w:lang w:val="en-US" w:eastAsia="zh-CN" w:bidi="ar"/>
              </w:rPr>
              <w:t>3</w:t>
            </w:r>
          </w:p>
        </w:tc>
        <w:tc>
          <w:tcPr>
            <w:tcW w:w="2141" w:type="dxa"/>
            <w:tcBorders>
              <w:top w:val="single" w:color="auto" w:sz="4" w:space="0"/>
              <w:left w:val="single" w:color="auto" w:sz="4" w:space="0"/>
              <w:bottom w:val="single" w:color="auto" w:sz="4" w:space="0"/>
              <w:right w:val="single" w:color="auto" w:sz="4" w:space="0"/>
            </w:tcBorders>
            <w:vAlign w:val="center"/>
          </w:tcPr>
          <w:p w14:paraId="4A566FF0">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110kV茶汉甲线茶观乙线同塔线路增容改造工程</w:t>
            </w:r>
          </w:p>
        </w:tc>
        <w:tc>
          <w:tcPr>
            <w:tcW w:w="1004" w:type="dxa"/>
            <w:tcBorders>
              <w:top w:val="single" w:color="auto" w:sz="4" w:space="0"/>
              <w:left w:val="single" w:color="auto" w:sz="4" w:space="0"/>
              <w:bottom w:val="single" w:color="auto" w:sz="4" w:space="0"/>
              <w:right w:val="single" w:color="auto" w:sz="4" w:space="0"/>
            </w:tcBorders>
            <w:vAlign w:val="center"/>
          </w:tcPr>
          <w:p w14:paraId="24DEFD7D">
            <w:pPr>
              <w:keepNext w:val="0"/>
              <w:keepLines w:val="0"/>
              <w:widowControl/>
              <w:suppressLineNumbers w:val="0"/>
              <w:jc w:val="center"/>
              <w:textAlignment w:val="center"/>
              <w:rPr>
                <w:rFonts w:hint="eastAsia" w:ascii="宋体" w:hAnsi="宋体" w:eastAsia="宋体" w:cs="宋体"/>
                <w:b/>
                <w:bCs/>
                <w:i w:val="0"/>
                <w:iCs w:val="0"/>
                <w:color w:val="000000"/>
                <w:kern w:val="2"/>
                <w:sz w:val="15"/>
                <w:szCs w:val="15"/>
                <w:highlight w:val="none"/>
                <w:u w:val="none"/>
                <w:lang w:val="en-US" w:eastAsia="zh-CN" w:bidi="ar-SA"/>
              </w:rPr>
            </w:pPr>
            <w:r>
              <w:rPr>
                <w:rFonts w:hint="eastAsia" w:ascii="宋体" w:hAnsi="宋体" w:eastAsia="宋体" w:cs="宋体"/>
                <w:i w:val="0"/>
                <w:iCs w:val="0"/>
                <w:color w:val="000000"/>
                <w:kern w:val="0"/>
                <w:sz w:val="15"/>
                <w:szCs w:val="15"/>
                <w:u w:val="none"/>
                <w:lang w:val="en-US" w:eastAsia="zh-CN" w:bidi="ar"/>
              </w:rPr>
              <w:t xml:space="preserve">3256406.41 </w:t>
            </w:r>
          </w:p>
        </w:tc>
        <w:tc>
          <w:tcPr>
            <w:tcW w:w="869" w:type="dxa"/>
            <w:tcBorders>
              <w:top w:val="single" w:color="auto" w:sz="4" w:space="0"/>
              <w:left w:val="single" w:color="auto" w:sz="4" w:space="0"/>
              <w:bottom w:val="single" w:color="auto" w:sz="4" w:space="0"/>
              <w:right w:val="single" w:color="auto" w:sz="4" w:space="0"/>
            </w:tcBorders>
            <w:vAlign w:val="center"/>
          </w:tcPr>
          <w:p w14:paraId="1775EA87">
            <w:pPr>
              <w:keepNext w:val="0"/>
              <w:keepLines w:val="0"/>
              <w:widowControl/>
              <w:suppressLineNumbers w:val="0"/>
              <w:jc w:val="center"/>
              <w:textAlignment w:val="center"/>
              <w:rPr>
                <w:rFonts w:hint="eastAsia" w:ascii="宋体" w:hAnsi="宋体" w:eastAsia="宋体" w:cs="宋体"/>
                <w:b/>
                <w:bCs/>
                <w:color w:val="auto"/>
                <w:kern w:val="0"/>
                <w:sz w:val="15"/>
                <w:szCs w:val="15"/>
                <w:highlight w:val="none"/>
                <w:lang w:val="en-US" w:eastAsia="zh-CN" w:bidi="ar"/>
              </w:rPr>
            </w:pPr>
            <w:r>
              <w:rPr>
                <w:rFonts w:hint="eastAsia" w:ascii="宋体" w:hAnsi="宋体" w:eastAsia="宋体" w:cs="宋体"/>
                <w:i w:val="0"/>
                <w:iCs w:val="0"/>
                <w:color w:val="000000"/>
                <w:kern w:val="0"/>
                <w:sz w:val="15"/>
                <w:szCs w:val="15"/>
                <w:u w:val="none"/>
                <w:lang w:val="en-US" w:eastAsia="zh-CN" w:bidi="ar"/>
              </w:rPr>
              <w:t xml:space="preserve">117749.00 </w:t>
            </w:r>
          </w:p>
        </w:tc>
        <w:tc>
          <w:tcPr>
            <w:tcW w:w="817" w:type="dxa"/>
            <w:tcBorders>
              <w:top w:val="single" w:color="auto" w:sz="4" w:space="0"/>
              <w:left w:val="single" w:color="auto" w:sz="4" w:space="0"/>
              <w:bottom w:val="single" w:color="auto" w:sz="4" w:space="0"/>
              <w:right w:val="single" w:color="auto" w:sz="4" w:space="0"/>
            </w:tcBorders>
            <w:vAlign w:val="center"/>
          </w:tcPr>
          <w:p w14:paraId="5BF99ECF">
            <w:pPr>
              <w:keepNext w:val="0"/>
              <w:keepLines w:val="0"/>
              <w:widowControl/>
              <w:suppressLineNumbers w:val="0"/>
              <w:jc w:val="center"/>
              <w:textAlignment w:val="center"/>
              <w:rPr>
                <w:rFonts w:hint="eastAsia" w:ascii="宋体" w:hAnsi="宋体" w:cs="宋体"/>
                <w:b/>
                <w:bCs/>
                <w:color w:val="auto"/>
                <w:kern w:val="2"/>
                <w:sz w:val="15"/>
                <w:szCs w:val="15"/>
                <w:highlight w:val="none"/>
                <w:lang w:val="en-US" w:eastAsia="zh-CN" w:bidi="ar-SA"/>
              </w:rPr>
            </w:pPr>
            <w:r>
              <w:rPr>
                <w:rFonts w:hint="eastAsia" w:ascii="宋体" w:hAnsi="宋体" w:eastAsia="宋体" w:cs="宋体"/>
                <w:i w:val="0"/>
                <w:iCs w:val="0"/>
                <w:color w:val="000000"/>
                <w:kern w:val="0"/>
                <w:sz w:val="15"/>
                <w:szCs w:val="15"/>
                <w:u w:val="none"/>
                <w:lang w:val="en-US" w:eastAsia="zh-CN" w:bidi="ar"/>
              </w:rPr>
              <w:t xml:space="preserve">0.00 </w:t>
            </w:r>
          </w:p>
        </w:tc>
        <w:tc>
          <w:tcPr>
            <w:tcW w:w="869" w:type="dxa"/>
            <w:tcBorders>
              <w:top w:val="single" w:color="auto" w:sz="4" w:space="0"/>
              <w:left w:val="single" w:color="auto" w:sz="4" w:space="0"/>
              <w:bottom w:val="single" w:color="auto" w:sz="4" w:space="0"/>
              <w:right w:val="single" w:color="auto" w:sz="4" w:space="0"/>
            </w:tcBorders>
            <w:vAlign w:val="center"/>
          </w:tcPr>
          <w:p w14:paraId="3C10FAE2">
            <w:pPr>
              <w:keepNext w:val="0"/>
              <w:keepLines w:val="0"/>
              <w:widowControl/>
              <w:suppressLineNumbers w:val="0"/>
              <w:jc w:val="center"/>
              <w:textAlignment w:val="center"/>
              <w:rPr>
                <w:rFonts w:hint="eastAsia" w:ascii="宋体" w:hAnsi="宋体" w:eastAsia="宋体" w:cs="宋体"/>
                <w:b/>
                <w:bCs/>
                <w:color w:val="auto"/>
                <w:kern w:val="2"/>
                <w:sz w:val="15"/>
                <w:szCs w:val="15"/>
                <w:highlight w:val="none"/>
                <w:lang w:val="en-US" w:eastAsia="zh-CN" w:bidi="ar-SA"/>
              </w:rPr>
            </w:pPr>
            <w:r>
              <w:rPr>
                <w:rFonts w:hint="eastAsia" w:ascii="宋体" w:hAnsi="宋体" w:eastAsia="宋体" w:cs="宋体"/>
                <w:i w:val="0"/>
                <w:iCs w:val="0"/>
                <w:color w:val="000000"/>
                <w:kern w:val="0"/>
                <w:sz w:val="15"/>
                <w:szCs w:val="15"/>
                <w:u w:val="none"/>
                <w:lang w:val="en-US" w:eastAsia="zh-CN" w:bidi="ar"/>
              </w:rPr>
              <w:t xml:space="preserve">1321567.00 </w:t>
            </w:r>
          </w:p>
        </w:tc>
        <w:tc>
          <w:tcPr>
            <w:tcW w:w="624" w:type="dxa"/>
            <w:vMerge w:val="continue"/>
            <w:tcBorders>
              <w:left w:val="single" w:color="auto" w:sz="4" w:space="0"/>
              <w:right w:val="single" w:color="auto" w:sz="4" w:space="0"/>
            </w:tcBorders>
            <w:vAlign w:val="center"/>
          </w:tcPr>
          <w:p w14:paraId="15FD7C75">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rPr>
            </w:pPr>
          </w:p>
        </w:tc>
        <w:tc>
          <w:tcPr>
            <w:tcW w:w="612" w:type="dxa"/>
            <w:tcBorders>
              <w:top w:val="single" w:color="auto" w:sz="4" w:space="0"/>
              <w:left w:val="single" w:color="auto" w:sz="4" w:space="0"/>
              <w:bottom w:val="single" w:color="auto" w:sz="4" w:space="0"/>
              <w:right w:val="single" w:color="auto" w:sz="4" w:space="0"/>
            </w:tcBorders>
            <w:vAlign w:val="center"/>
          </w:tcPr>
          <w:p w14:paraId="7B41C8DB">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23C19981">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lang w:val="en-US" w:eastAsia="zh-CN"/>
              </w:rPr>
            </w:pPr>
          </w:p>
        </w:tc>
        <w:tc>
          <w:tcPr>
            <w:tcW w:w="720" w:type="dxa"/>
            <w:tcBorders>
              <w:top w:val="single" w:color="auto" w:sz="4" w:space="0"/>
              <w:left w:val="single" w:color="auto" w:sz="4" w:space="0"/>
              <w:bottom w:val="single" w:color="auto" w:sz="4" w:space="0"/>
              <w:right w:val="single" w:color="auto" w:sz="4" w:space="0"/>
            </w:tcBorders>
            <w:vAlign w:val="center"/>
          </w:tcPr>
          <w:p w14:paraId="5B87037E">
            <w:pPr>
              <w:keepNext w:val="0"/>
              <w:keepLines w:val="0"/>
              <w:pageBreakBefore w:val="0"/>
              <w:kinsoku/>
              <w:wordWrap/>
              <w:overflowPunct/>
              <w:topLinePunct w:val="0"/>
              <w:autoSpaceDE/>
              <w:autoSpaceDN/>
              <w:bidi w:val="0"/>
              <w:spacing w:before="0" w:after="0" w:line="400" w:lineRule="exact"/>
              <w:jc w:val="center"/>
              <w:rPr>
                <w:rFonts w:hint="eastAsia" w:ascii="宋体" w:hAnsi="宋体" w:eastAsia="宋体" w:cs="宋体"/>
                <w:b w:val="0"/>
                <w:bCs w:val="0"/>
                <w:color w:val="auto"/>
                <w:sz w:val="15"/>
                <w:szCs w:val="15"/>
                <w:highlight w:val="none"/>
                <w:lang w:val="en-US" w:eastAsia="zh-CN"/>
              </w:rPr>
            </w:pPr>
          </w:p>
        </w:tc>
        <w:tc>
          <w:tcPr>
            <w:tcW w:w="612" w:type="dxa"/>
            <w:tcBorders>
              <w:top w:val="single" w:color="auto" w:sz="4" w:space="0"/>
              <w:left w:val="single" w:color="auto" w:sz="4" w:space="0"/>
              <w:bottom w:val="single" w:color="auto" w:sz="4" w:space="0"/>
              <w:right w:val="single" w:color="auto" w:sz="4" w:space="0"/>
            </w:tcBorders>
            <w:vAlign w:val="center"/>
          </w:tcPr>
          <w:p w14:paraId="6811C8E9">
            <w:pPr>
              <w:pStyle w:val="8"/>
              <w:keepNext w:val="0"/>
              <w:keepLines w:val="0"/>
              <w:pageBreakBefore w:val="0"/>
              <w:kinsoku/>
              <w:wordWrap/>
              <w:overflowPunct/>
              <w:topLinePunct w:val="0"/>
              <w:autoSpaceDE/>
              <w:autoSpaceDN/>
              <w:bidi w:val="0"/>
              <w:spacing w:before="0" w:after="0" w:line="400" w:lineRule="exact"/>
              <w:ind w:left="0" w:leftChars="0" w:firstLine="0" w:firstLineChars="0"/>
              <w:jc w:val="center"/>
              <w:rPr>
                <w:rFonts w:hint="eastAsia" w:ascii="宋体" w:hAnsi="宋体" w:eastAsia="宋体" w:cs="宋体"/>
                <w:b w:val="0"/>
                <w:bCs w:val="0"/>
                <w:color w:val="auto"/>
                <w:sz w:val="15"/>
                <w:szCs w:val="15"/>
                <w:highlight w:val="none"/>
                <w:lang w:val="en-US" w:eastAsia="zh-CN"/>
              </w:rPr>
            </w:pPr>
          </w:p>
        </w:tc>
        <w:tc>
          <w:tcPr>
            <w:tcW w:w="464" w:type="dxa"/>
            <w:tcBorders>
              <w:top w:val="single" w:color="auto" w:sz="4" w:space="0"/>
              <w:left w:val="single" w:color="auto" w:sz="4" w:space="0"/>
              <w:bottom w:val="single" w:color="auto" w:sz="4" w:space="0"/>
              <w:right w:val="single" w:color="auto" w:sz="4" w:space="0"/>
            </w:tcBorders>
            <w:vAlign w:val="center"/>
          </w:tcPr>
          <w:p w14:paraId="5CE307DD">
            <w:pPr>
              <w:pStyle w:val="8"/>
              <w:keepNext w:val="0"/>
              <w:keepLines w:val="0"/>
              <w:pageBreakBefore w:val="0"/>
              <w:kinsoku/>
              <w:wordWrap/>
              <w:overflowPunct/>
              <w:topLinePunct w:val="0"/>
              <w:autoSpaceDE/>
              <w:autoSpaceDN/>
              <w:bidi w:val="0"/>
              <w:spacing w:before="0" w:after="0" w:line="400" w:lineRule="exact"/>
              <w:rPr>
                <w:rFonts w:hint="eastAsia" w:ascii="宋体" w:hAnsi="宋体" w:eastAsia="宋体" w:cs="宋体"/>
                <w:color w:val="auto"/>
                <w:sz w:val="15"/>
                <w:szCs w:val="15"/>
                <w:highlight w:val="none"/>
              </w:rPr>
            </w:pPr>
          </w:p>
        </w:tc>
      </w:tr>
      <w:tr w14:paraId="799E7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2574" w:type="dxa"/>
            <w:gridSpan w:val="2"/>
            <w:tcBorders>
              <w:top w:val="single" w:color="auto" w:sz="4" w:space="0"/>
              <w:left w:val="single" w:color="auto" w:sz="4" w:space="0"/>
              <w:bottom w:val="single" w:color="auto" w:sz="4" w:space="0"/>
              <w:right w:val="single" w:color="auto" w:sz="4" w:space="0"/>
            </w:tcBorders>
            <w:vAlign w:val="center"/>
          </w:tcPr>
          <w:p w14:paraId="5A6F1982">
            <w:pPr>
              <w:pStyle w:val="2"/>
              <w:keepNext w:val="0"/>
              <w:keepLines w:val="0"/>
              <w:pageBreakBefore w:val="0"/>
              <w:shd w:val="clear" w:color="auto" w:fill="auto"/>
              <w:kinsoku/>
              <w:wordWrap/>
              <w:overflowPunct/>
              <w:topLinePunct w:val="0"/>
              <w:autoSpaceDE/>
              <w:autoSpaceDN/>
              <w:bidi w:val="0"/>
              <w:adjustRightInd w:val="0"/>
              <w:snapToGrid w:val="0"/>
              <w:spacing w:line="400" w:lineRule="exact"/>
              <w:jc w:val="left"/>
              <w:rPr>
                <w:rFonts w:hint="eastAsia" w:ascii="宋体" w:hAnsi="宋体" w:eastAsia="宋体" w:cs="宋体"/>
                <w:b w:val="0"/>
                <w:bCs w:val="0"/>
                <w:i w:val="0"/>
                <w:iCs w:val="0"/>
                <w:color w:val="auto"/>
                <w:kern w:val="0"/>
                <w:sz w:val="15"/>
                <w:szCs w:val="15"/>
                <w:highlight w:val="none"/>
                <w:u w:val="none"/>
                <w:lang w:val="en-US" w:eastAsia="zh-CN" w:bidi="ar"/>
              </w:rPr>
            </w:pPr>
            <w:r>
              <w:rPr>
                <w:rFonts w:hint="eastAsia" w:ascii="宋体" w:hAnsi="宋体" w:eastAsia="宋体" w:cs="宋体"/>
                <w:i w:val="0"/>
                <w:color w:val="auto"/>
                <w:kern w:val="0"/>
                <w:sz w:val="15"/>
                <w:szCs w:val="15"/>
                <w:highlight w:val="none"/>
                <w:u w:val="none"/>
                <w:lang w:val="en-US" w:eastAsia="zh-CN" w:bidi="ar"/>
              </w:rPr>
              <w:t>合计（小写）：</w:t>
            </w:r>
          </w:p>
        </w:tc>
        <w:tc>
          <w:tcPr>
            <w:tcW w:w="1004" w:type="dxa"/>
            <w:tcBorders>
              <w:top w:val="single" w:color="auto" w:sz="4" w:space="0"/>
              <w:left w:val="single" w:color="auto" w:sz="4" w:space="0"/>
              <w:bottom w:val="single" w:color="auto" w:sz="4" w:space="0"/>
              <w:right w:val="single" w:color="auto" w:sz="4" w:space="0"/>
            </w:tcBorders>
            <w:vAlign w:val="center"/>
          </w:tcPr>
          <w:p w14:paraId="677D2512">
            <w:pPr>
              <w:keepNext w:val="0"/>
              <w:keepLines w:val="0"/>
              <w:widowControl/>
              <w:suppressLineNumbers w:val="0"/>
              <w:jc w:val="center"/>
              <w:textAlignment w:val="center"/>
              <w:rPr>
                <w:rFonts w:hint="eastAsia" w:ascii="宋体" w:hAnsi="宋体" w:eastAsia="宋体" w:cs="宋体"/>
                <w:b/>
                <w:bCs/>
                <w:i w:val="0"/>
                <w:iCs w:val="0"/>
                <w:color w:val="auto"/>
                <w:kern w:val="0"/>
                <w:sz w:val="15"/>
                <w:szCs w:val="15"/>
                <w:highlight w:val="none"/>
                <w:u w:val="none"/>
                <w:lang w:val="en-US" w:eastAsia="zh-CN" w:bidi="ar"/>
              </w:rPr>
            </w:pPr>
            <w:r>
              <w:rPr>
                <w:rFonts w:hint="eastAsia" w:ascii="宋体" w:hAnsi="宋体" w:eastAsia="宋体" w:cs="宋体"/>
                <w:b/>
                <w:bCs/>
                <w:i w:val="0"/>
                <w:iCs w:val="0"/>
                <w:color w:val="000000"/>
                <w:kern w:val="0"/>
                <w:sz w:val="15"/>
                <w:szCs w:val="15"/>
                <w:u w:val="none"/>
                <w:lang w:val="en-US" w:eastAsia="zh-CN" w:bidi="ar"/>
              </w:rPr>
              <w:t xml:space="preserve">36129608.12 </w:t>
            </w:r>
          </w:p>
        </w:tc>
        <w:tc>
          <w:tcPr>
            <w:tcW w:w="869" w:type="dxa"/>
            <w:tcBorders>
              <w:top w:val="single" w:color="auto" w:sz="4" w:space="0"/>
              <w:left w:val="single" w:color="auto" w:sz="4" w:space="0"/>
              <w:bottom w:val="single" w:color="auto" w:sz="4" w:space="0"/>
              <w:right w:val="single" w:color="auto" w:sz="4" w:space="0"/>
            </w:tcBorders>
            <w:vAlign w:val="center"/>
          </w:tcPr>
          <w:p w14:paraId="72670B76">
            <w:pPr>
              <w:keepNext w:val="0"/>
              <w:keepLines w:val="0"/>
              <w:widowControl/>
              <w:suppressLineNumbers w:val="0"/>
              <w:jc w:val="center"/>
              <w:textAlignment w:val="center"/>
              <w:rPr>
                <w:rFonts w:hint="eastAsia" w:ascii="宋体" w:hAnsi="宋体" w:eastAsia="宋体" w:cs="宋体"/>
                <w:b/>
                <w:bCs/>
                <w:i w:val="0"/>
                <w:iCs w:val="0"/>
                <w:color w:val="auto"/>
                <w:kern w:val="0"/>
                <w:sz w:val="15"/>
                <w:szCs w:val="15"/>
                <w:highlight w:val="none"/>
                <w:u w:val="none"/>
                <w:lang w:val="en-US" w:eastAsia="zh-CN" w:bidi="ar"/>
              </w:rPr>
            </w:pPr>
            <w:r>
              <w:rPr>
                <w:rFonts w:hint="eastAsia" w:ascii="宋体" w:hAnsi="宋体" w:eastAsia="宋体" w:cs="宋体"/>
                <w:b/>
                <w:bCs/>
                <w:i w:val="0"/>
                <w:iCs w:val="0"/>
                <w:color w:val="000000"/>
                <w:kern w:val="0"/>
                <w:sz w:val="15"/>
                <w:szCs w:val="15"/>
                <w:u w:val="none"/>
                <w:lang w:val="en-US" w:eastAsia="zh-CN" w:bidi="ar"/>
              </w:rPr>
              <w:t xml:space="preserve">520849.00 </w:t>
            </w:r>
          </w:p>
        </w:tc>
        <w:tc>
          <w:tcPr>
            <w:tcW w:w="817" w:type="dxa"/>
            <w:tcBorders>
              <w:top w:val="single" w:color="auto" w:sz="4" w:space="0"/>
              <w:left w:val="single" w:color="auto" w:sz="4" w:space="0"/>
              <w:bottom w:val="single" w:color="auto" w:sz="4" w:space="0"/>
              <w:right w:val="single" w:color="auto" w:sz="4" w:space="0"/>
            </w:tcBorders>
            <w:vAlign w:val="center"/>
          </w:tcPr>
          <w:p w14:paraId="2B76A6AA">
            <w:pPr>
              <w:keepNext w:val="0"/>
              <w:keepLines w:val="0"/>
              <w:widowControl/>
              <w:suppressLineNumbers w:val="0"/>
              <w:jc w:val="center"/>
              <w:textAlignment w:val="center"/>
              <w:rPr>
                <w:rFonts w:hint="eastAsia" w:ascii="宋体" w:hAnsi="宋体" w:eastAsia="宋体" w:cs="宋体"/>
                <w:b/>
                <w:bCs/>
                <w:i w:val="0"/>
                <w:iCs w:val="0"/>
                <w:color w:val="auto"/>
                <w:kern w:val="0"/>
                <w:sz w:val="15"/>
                <w:szCs w:val="15"/>
                <w:highlight w:val="none"/>
                <w:u w:val="none"/>
                <w:lang w:val="en-US" w:eastAsia="zh-CN" w:bidi="ar"/>
              </w:rPr>
            </w:pPr>
            <w:r>
              <w:rPr>
                <w:rFonts w:hint="eastAsia" w:ascii="宋体" w:hAnsi="宋体" w:eastAsia="宋体" w:cs="宋体"/>
                <w:b/>
                <w:bCs/>
                <w:i w:val="0"/>
                <w:iCs w:val="0"/>
                <w:color w:val="000000"/>
                <w:kern w:val="0"/>
                <w:sz w:val="15"/>
                <w:szCs w:val="15"/>
                <w:u w:val="none"/>
                <w:lang w:val="en-US" w:eastAsia="zh-CN" w:bidi="ar"/>
              </w:rPr>
              <w:t xml:space="preserve">20400.00 </w:t>
            </w:r>
          </w:p>
        </w:tc>
        <w:tc>
          <w:tcPr>
            <w:tcW w:w="869" w:type="dxa"/>
            <w:tcBorders>
              <w:top w:val="single" w:color="auto" w:sz="4" w:space="0"/>
              <w:left w:val="single" w:color="auto" w:sz="4" w:space="0"/>
              <w:bottom w:val="single" w:color="auto" w:sz="4" w:space="0"/>
              <w:right w:val="single" w:color="auto" w:sz="4" w:space="0"/>
            </w:tcBorders>
            <w:vAlign w:val="center"/>
          </w:tcPr>
          <w:p w14:paraId="2A144760">
            <w:pPr>
              <w:keepNext w:val="0"/>
              <w:keepLines w:val="0"/>
              <w:widowControl/>
              <w:suppressLineNumbers w:val="0"/>
              <w:jc w:val="center"/>
              <w:textAlignment w:val="center"/>
              <w:rPr>
                <w:rFonts w:hint="eastAsia" w:ascii="宋体" w:hAnsi="宋体" w:eastAsia="宋体" w:cs="宋体"/>
                <w:b/>
                <w:bCs/>
                <w:i w:val="0"/>
                <w:color w:val="auto"/>
                <w:sz w:val="15"/>
                <w:szCs w:val="15"/>
                <w:highlight w:val="none"/>
                <w:u w:val="none"/>
                <w:lang w:val="en-US" w:eastAsia="zh-CN"/>
              </w:rPr>
            </w:pPr>
            <w:r>
              <w:rPr>
                <w:rFonts w:hint="eastAsia" w:ascii="宋体" w:hAnsi="宋体" w:eastAsia="宋体" w:cs="宋体"/>
                <w:b/>
                <w:bCs/>
                <w:i w:val="0"/>
                <w:iCs w:val="0"/>
                <w:color w:val="000000"/>
                <w:kern w:val="0"/>
                <w:sz w:val="15"/>
                <w:szCs w:val="15"/>
                <w:u w:val="none"/>
                <w:lang w:val="en-US" w:eastAsia="zh-CN" w:bidi="ar"/>
              </w:rPr>
              <w:t xml:space="preserve">13843701.91 </w:t>
            </w:r>
          </w:p>
        </w:tc>
        <w:tc>
          <w:tcPr>
            <w:tcW w:w="624" w:type="dxa"/>
            <w:vMerge w:val="continue"/>
            <w:tcBorders>
              <w:top w:val="single" w:color="auto" w:sz="4" w:space="0"/>
              <w:left w:val="single" w:color="auto" w:sz="4" w:space="0"/>
              <w:bottom w:val="single" w:color="auto" w:sz="4" w:space="0"/>
              <w:right w:val="single" w:color="auto" w:sz="4" w:space="0"/>
            </w:tcBorders>
            <w:vAlign w:val="center"/>
          </w:tcPr>
          <w:p w14:paraId="29E5D744">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rPr>
            </w:pPr>
          </w:p>
        </w:tc>
        <w:tc>
          <w:tcPr>
            <w:tcW w:w="612" w:type="dxa"/>
            <w:tcBorders>
              <w:top w:val="single" w:color="auto" w:sz="4" w:space="0"/>
              <w:left w:val="single" w:color="auto" w:sz="4" w:space="0"/>
              <w:bottom w:val="single" w:color="auto" w:sz="4" w:space="0"/>
              <w:right w:val="single" w:color="auto" w:sz="4" w:space="0"/>
            </w:tcBorders>
            <w:vAlign w:val="center"/>
          </w:tcPr>
          <w:p w14:paraId="0265B19D">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rPr>
            </w:pPr>
          </w:p>
        </w:tc>
        <w:tc>
          <w:tcPr>
            <w:tcW w:w="720" w:type="dxa"/>
            <w:tcBorders>
              <w:top w:val="single" w:color="auto" w:sz="4" w:space="0"/>
              <w:left w:val="single" w:color="auto" w:sz="4" w:space="0"/>
              <w:bottom w:val="single" w:color="auto" w:sz="4" w:space="0"/>
              <w:right w:val="single" w:color="auto" w:sz="4" w:space="0"/>
            </w:tcBorders>
            <w:vAlign w:val="center"/>
          </w:tcPr>
          <w:p w14:paraId="0B9F30F0">
            <w:pPr>
              <w:keepNext w:val="0"/>
              <w:keepLines w:val="0"/>
              <w:pageBreakBefore w:val="0"/>
              <w:kinsoku/>
              <w:wordWrap/>
              <w:overflowPunct/>
              <w:topLinePunct w:val="0"/>
              <w:autoSpaceDE/>
              <w:autoSpaceDN/>
              <w:bidi w:val="0"/>
              <w:spacing w:line="400" w:lineRule="exact"/>
              <w:jc w:val="center"/>
              <w:rPr>
                <w:rFonts w:hint="eastAsia" w:ascii="宋体" w:hAnsi="宋体" w:eastAsia="宋体" w:cs="宋体"/>
                <w:i w:val="0"/>
                <w:color w:val="auto"/>
                <w:sz w:val="15"/>
                <w:szCs w:val="15"/>
                <w:highlight w:val="none"/>
                <w:u w:val="none"/>
                <w:lang w:val="en-US" w:eastAsia="zh-CN"/>
              </w:rPr>
            </w:pPr>
          </w:p>
        </w:tc>
        <w:tc>
          <w:tcPr>
            <w:tcW w:w="720" w:type="dxa"/>
            <w:tcBorders>
              <w:top w:val="single" w:color="auto" w:sz="4" w:space="0"/>
              <w:left w:val="single" w:color="auto" w:sz="4" w:space="0"/>
              <w:bottom w:val="single" w:color="auto" w:sz="4" w:space="0"/>
              <w:right w:val="single" w:color="auto" w:sz="4" w:space="0"/>
            </w:tcBorders>
            <w:vAlign w:val="center"/>
          </w:tcPr>
          <w:p w14:paraId="4BD739C2">
            <w:pPr>
              <w:keepNext w:val="0"/>
              <w:keepLines w:val="0"/>
              <w:pageBreakBefore w:val="0"/>
              <w:kinsoku/>
              <w:wordWrap/>
              <w:overflowPunct/>
              <w:topLinePunct w:val="0"/>
              <w:autoSpaceDE/>
              <w:autoSpaceDN/>
              <w:bidi w:val="0"/>
              <w:spacing w:before="0" w:after="0" w:line="400" w:lineRule="exact"/>
              <w:jc w:val="center"/>
              <w:rPr>
                <w:rFonts w:hint="eastAsia" w:ascii="宋体" w:hAnsi="宋体" w:eastAsia="宋体" w:cs="宋体"/>
                <w:color w:val="auto"/>
                <w:sz w:val="15"/>
                <w:szCs w:val="15"/>
                <w:highlight w:val="none"/>
                <w:lang w:val="en-US" w:eastAsia="zh-CN"/>
              </w:rPr>
            </w:pPr>
          </w:p>
        </w:tc>
        <w:tc>
          <w:tcPr>
            <w:tcW w:w="612" w:type="dxa"/>
            <w:tcBorders>
              <w:top w:val="single" w:color="auto" w:sz="4" w:space="0"/>
              <w:left w:val="single" w:color="auto" w:sz="4" w:space="0"/>
              <w:bottom w:val="single" w:color="auto" w:sz="4" w:space="0"/>
              <w:right w:val="single" w:color="auto" w:sz="4" w:space="0"/>
            </w:tcBorders>
            <w:vAlign w:val="center"/>
          </w:tcPr>
          <w:p w14:paraId="15AB6E45">
            <w:pPr>
              <w:pStyle w:val="8"/>
              <w:keepNext w:val="0"/>
              <w:keepLines w:val="0"/>
              <w:pageBreakBefore w:val="0"/>
              <w:kinsoku/>
              <w:wordWrap/>
              <w:overflowPunct/>
              <w:topLinePunct w:val="0"/>
              <w:autoSpaceDE/>
              <w:autoSpaceDN/>
              <w:bidi w:val="0"/>
              <w:spacing w:before="0" w:after="0" w:line="400" w:lineRule="exact"/>
              <w:rPr>
                <w:rFonts w:hint="eastAsia" w:ascii="宋体" w:hAnsi="宋体" w:eastAsia="宋体" w:cs="宋体"/>
                <w:color w:val="auto"/>
                <w:sz w:val="15"/>
                <w:szCs w:val="15"/>
                <w:highlight w:val="none"/>
                <w:lang w:val="en-US" w:eastAsia="zh-CN"/>
              </w:rPr>
            </w:pPr>
          </w:p>
        </w:tc>
        <w:tc>
          <w:tcPr>
            <w:tcW w:w="464" w:type="dxa"/>
            <w:tcBorders>
              <w:top w:val="single" w:color="auto" w:sz="4" w:space="0"/>
              <w:left w:val="single" w:color="auto" w:sz="4" w:space="0"/>
              <w:bottom w:val="single" w:color="auto" w:sz="4" w:space="0"/>
              <w:right w:val="single" w:color="auto" w:sz="4" w:space="0"/>
            </w:tcBorders>
            <w:vAlign w:val="center"/>
          </w:tcPr>
          <w:p w14:paraId="6132F770">
            <w:pPr>
              <w:pStyle w:val="8"/>
              <w:keepNext w:val="0"/>
              <w:keepLines w:val="0"/>
              <w:pageBreakBefore w:val="0"/>
              <w:kinsoku/>
              <w:wordWrap/>
              <w:overflowPunct/>
              <w:topLinePunct w:val="0"/>
              <w:autoSpaceDE/>
              <w:autoSpaceDN/>
              <w:bidi w:val="0"/>
              <w:spacing w:before="0" w:after="0" w:line="400" w:lineRule="exact"/>
              <w:rPr>
                <w:rFonts w:hint="eastAsia" w:ascii="宋体" w:hAnsi="宋体" w:eastAsia="宋体" w:cs="宋体"/>
                <w:color w:val="auto"/>
                <w:sz w:val="15"/>
                <w:szCs w:val="15"/>
                <w:highlight w:val="none"/>
              </w:rPr>
            </w:pPr>
          </w:p>
        </w:tc>
      </w:tr>
    </w:tbl>
    <w:p w14:paraId="09C697FB">
      <w:pP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br w:type="page"/>
      </w:r>
    </w:p>
    <w:p w14:paraId="1A29580F">
      <w:pPr>
        <w:pStyle w:val="8"/>
        <w:spacing w:line="360" w:lineRule="auto"/>
        <w:ind w:firstLine="240" w:firstLineChars="100"/>
        <w:rPr>
          <w:rFonts w:hint="eastAsia" w:asciiTheme="minorEastAsia" w:hAnsiTheme="minorEastAsia" w:eastAsiaTheme="minorEastAsia" w:cstheme="minorEastAsia"/>
          <w:color w:val="auto"/>
          <w:kern w:val="2"/>
          <w:sz w:val="24"/>
          <w:szCs w:val="24"/>
          <w:highlight w:val="none"/>
          <w:u w:val="none"/>
          <w:lang w:val="en-US" w:eastAsia="zh-CN" w:bidi="ar-SA"/>
        </w:rPr>
      </w:pPr>
      <w:r>
        <w:rPr>
          <w:rFonts w:hint="eastAsia" w:asciiTheme="minorEastAsia" w:hAnsiTheme="minorEastAsia" w:eastAsiaTheme="minorEastAsia" w:cstheme="minorEastAsia"/>
          <w:color w:val="auto"/>
          <w:kern w:val="2"/>
          <w:sz w:val="24"/>
          <w:szCs w:val="24"/>
          <w:highlight w:val="none"/>
          <w:u w:val="none"/>
          <w:lang w:val="en-US" w:eastAsia="zh-CN" w:bidi="ar-SA"/>
        </w:rPr>
        <w:t>报价要求：</w:t>
      </w:r>
    </w:p>
    <w:p w14:paraId="0905351B">
      <w:pPr>
        <w:pStyle w:val="9"/>
        <w:keepNext w:val="0"/>
        <w:keepLines w:val="0"/>
        <w:pageBreakBefore w:val="0"/>
        <w:widowControl/>
        <w:kinsoku/>
        <w:wordWrap/>
        <w:overflowPunct/>
        <w:topLinePunct w:val="0"/>
        <w:autoSpaceDE/>
        <w:autoSpaceDN/>
        <w:bidi w:val="0"/>
        <w:adjustRightInd/>
        <w:snapToGrid/>
        <w:spacing w:before="0" w:after="0" w:line="360" w:lineRule="auto"/>
        <w:jc w:val="left"/>
        <w:textAlignment w:val="auto"/>
        <w:rPr>
          <w:highlight w:val="none"/>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1.报投标下浮率，同时对应投标下浮率填写投标报价。投标报价=（最高投标限价-安全文明施工费-暂估价）×（1-投标下浮率）+安全文明施工费+暂估价（保留两位小数，如：8.88）。当投标报价金额与投标下浮率计算结果不一致时，以投标下浮率为准，按公式修正投标报价金额。</w:t>
      </w:r>
    </w:p>
    <w:p w14:paraId="0D8E9B2A">
      <w:pPr>
        <w:rPr>
          <w:rFonts w:hint="eastAsia"/>
          <w:lang w:val="en-US" w:eastAsia="zh-CN"/>
        </w:rPr>
      </w:pPr>
    </w:p>
    <w:p w14:paraId="06ABD77E">
      <w:pPr>
        <w:pStyle w:val="9"/>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jc w:val="left"/>
        <w:textAlignment w:val="auto"/>
        <w:rPr>
          <w:rFonts w:hint="eastAsia" w:asciiTheme="minorEastAsia" w:hAnsiTheme="minorEastAsia" w:eastAsiaTheme="minorEastAsia" w:cstheme="minorEastAsia"/>
          <w:b w:val="0"/>
          <w:bCs w:val="0"/>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color w:val="auto"/>
          <w:kern w:val="2"/>
          <w:sz w:val="24"/>
          <w:szCs w:val="24"/>
          <w:lang w:val="en-US" w:eastAsia="zh-CN" w:bidi="ar-SA"/>
        </w:rPr>
        <w:t>2.</w:t>
      </w: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投标报价应符合：（1）投标报价≤最高投标限价（公布最高投标限价的总价及各单项价格）；（2）安全文明施工费、暂估价等非竞争性费用报价项（如有），需按最高投标限价公布的金额报列，不得自行变更，否则视为原则性不响应招标文件要求，作否决投标处理。（3）采用施工图设计招标的（详见附件B），投标报价应根据招标范围及施工图纸提供完整的报价文件；（4）施工专项补助费（如有），投标人报价时按文件要求将施工专项补助费作为“竞争性费用”列入投标报价中，报价不得高于招标文件公布的施工专项补助费，否则按否决投标处理。</w:t>
      </w:r>
    </w:p>
    <w:p w14:paraId="6FA17FD7">
      <w:pPr>
        <w:numPr>
          <w:ilvl w:val="0"/>
          <w:numId w:val="0"/>
        </w:numPr>
        <w:rPr>
          <w:rFonts w:hint="eastAsia"/>
          <w:lang w:val="en-US" w:eastAsia="zh-CN"/>
        </w:rPr>
      </w:pPr>
    </w:p>
    <w:p w14:paraId="4E83A5D8">
      <w:pPr>
        <w:pStyle w:val="4"/>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五、结算方式</w:t>
      </w:r>
    </w:p>
    <w:p w14:paraId="79486981">
      <w:pPr>
        <w:numPr>
          <w:ilvl w:val="0"/>
          <w:numId w:val="0"/>
        </w:numPr>
        <w:spacing w:line="360" w:lineRule="auto"/>
        <w:ind w:firstLine="480" w:firstLineChars="200"/>
        <w:rPr>
          <w:rFonts w:hint="eastAsia" w:asciiTheme="minorEastAsia" w:hAnsiTheme="minorEastAsia" w:eastAsiaTheme="minorEastAsia" w:cstheme="minorEastAsia"/>
          <w:b w:val="0"/>
          <w:bCs w:val="0"/>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结算方式以合同为准，依据审定工作量和投标下浮率，按照合同结算条款进行结算。</w:t>
      </w:r>
    </w:p>
    <w:p w14:paraId="79CD9CE1">
      <w:pPr>
        <w:spacing w:line="360" w:lineRule="auto"/>
        <w:rPr>
          <w:rFonts w:hint="eastAsia" w:asciiTheme="minorEastAsia" w:hAnsiTheme="minorEastAsia" w:eastAsiaTheme="minorEastAsia" w:cstheme="minorEastAsia"/>
          <w:color w:val="auto"/>
          <w:kern w:val="2"/>
          <w:sz w:val="24"/>
          <w:szCs w:val="24"/>
          <w:highlight w:val="none"/>
          <w:u w:val="single"/>
          <w:lang w:val="en-US" w:eastAsia="zh-CN" w:bidi="ar-SA"/>
        </w:rPr>
      </w:pPr>
    </w:p>
    <w:p w14:paraId="54610D2C">
      <w:pPr>
        <w:spacing w:line="360" w:lineRule="auto"/>
        <w:rPr>
          <w:rFonts w:hint="default"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六、分包要求</w:t>
      </w:r>
    </w:p>
    <w:p w14:paraId="7F449812">
      <w:pPr>
        <w:pStyle w:val="11"/>
        <w:numPr>
          <w:ilvl w:val="0"/>
          <w:numId w:val="0"/>
        </w:numPr>
        <w:jc w:val="left"/>
        <w:rPr>
          <w:rFonts w:hint="eastAsia"/>
          <w:color w:val="auto"/>
          <w:sz w:val="24"/>
          <w:szCs w:val="24"/>
          <w:highlight w:val="none"/>
          <w:lang w:eastAsia="zh-CN"/>
        </w:rPr>
      </w:pPr>
      <w:r>
        <w:rPr>
          <w:rFonts w:hint="default" w:ascii="Wingdings" w:hAnsi="Wingdings" w:cs="Wingdings"/>
          <w:color w:val="auto"/>
          <w:sz w:val="24"/>
          <w:szCs w:val="24"/>
          <w:highlight w:val="none"/>
        </w:rPr>
        <w:sym w:font="Wingdings" w:char="00A8"/>
      </w:r>
      <w:r>
        <w:rPr>
          <w:rFonts w:hint="eastAsia"/>
          <w:color w:val="auto"/>
          <w:sz w:val="24"/>
          <w:szCs w:val="24"/>
          <w:highlight w:val="none"/>
          <w:lang w:eastAsia="zh-CN"/>
        </w:rPr>
        <w:t>不允许分包</w:t>
      </w:r>
    </w:p>
    <w:p w14:paraId="2DBCEF59">
      <w:pPr>
        <w:pStyle w:val="11"/>
        <w:numPr>
          <w:ilvl w:val="0"/>
          <w:numId w:val="0"/>
        </w:numPr>
        <w:jc w:val="left"/>
        <w:rPr>
          <w:rFonts w:hint="eastAsia"/>
          <w:color w:val="auto"/>
          <w:sz w:val="24"/>
          <w:szCs w:val="24"/>
          <w:highlight w:val="none"/>
          <w:lang w:eastAsia="zh-CN"/>
        </w:rPr>
      </w:pPr>
      <w:r>
        <w:rPr>
          <w:rFonts w:hint="default" w:ascii="Wingdings" w:hAnsi="Wingdings" w:cs="Wingdings"/>
          <w:color w:val="auto"/>
          <w:sz w:val="24"/>
          <w:szCs w:val="24"/>
          <w:highlight w:val="none"/>
          <w:lang w:eastAsia="zh-CN"/>
        </w:rPr>
        <w:sym w:font="Wingdings" w:char="00FE"/>
      </w:r>
      <w:r>
        <w:rPr>
          <w:rFonts w:hint="eastAsia"/>
          <w:color w:val="auto"/>
          <w:sz w:val="24"/>
          <w:szCs w:val="24"/>
          <w:highlight w:val="none"/>
          <w:lang w:eastAsia="zh-CN"/>
        </w:rPr>
        <w:t>允许分包，但必须符合以下要求：</w:t>
      </w:r>
    </w:p>
    <w:p w14:paraId="3EF10079">
      <w:pPr>
        <w:pStyle w:val="2"/>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取得施工总承包资质的承包商可以对所承接的施工总承包工程内各专业工程全部自行施工，也可以将</w:t>
      </w:r>
      <w:r>
        <w:rPr>
          <w:rFonts w:hint="eastAsia" w:asciiTheme="minorEastAsia" w:hAnsiTheme="minorEastAsia" w:eastAsiaTheme="minorEastAsia" w:cstheme="minorEastAsia"/>
          <w:color w:val="auto"/>
          <w:sz w:val="24"/>
          <w:szCs w:val="24"/>
          <w:highlight w:val="none"/>
          <w:lang w:eastAsia="zh-CN"/>
        </w:rPr>
        <w:t>专业</w:t>
      </w:r>
      <w:r>
        <w:rPr>
          <w:rFonts w:hint="eastAsia" w:asciiTheme="minorEastAsia" w:hAnsiTheme="minorEastAsia" w:eastAsiaTheme="minorEastAsia" w:cstheme="minorEastAsia"/>
          <w:color w:val="auto"/>
          <w:sz w:val="24"/>
          <w:szCs w:val="24"/>
          <w:highlight w:val="none"/>
        </w:rPr>
        <w:t>工程依法进行分包。对设有资质的专业工程进行分包时，应分包给具有相应专业承包资质的承包商。施工总承包单位将劳务作业分包时，应分包给具有施工劳务资质的承包商。但是，除总承包合同中约定的分包外，必须经建设单位认可。总承包单位按照总承包合同的约定对建设单位负责；分包单位按照分包合同的约定对总承包单位负责。总承包单位和分包单位就分包工程对建设单位承担连带责任。禁止总承包单位将工程分包给不具备相应资质条件的单位。</w:t>
      </w:r>
    </w:p>
    <w:p w14:paraId="058055F3">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施工总承包的基建项目，电力工程主体的施工必须由总承包单位自行完成。</w:t>
      </w:r>
    </w:p>
    <w:p w14:paraId="5FFDF488">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得专业承包资质的承包商可以承接具有施工总承包资质的承包商依法分包的专业工程或建设单位依法发包的专业工程。取得专业承包资质的承包商应对所承接的专业工程全部自行组织施工，劳务作业可以分包，但应分包给具有施工劳务资质的承包商。</w:t>
      </w:r>
    </w:p>
    <w:p w14:paraId="054D2F06">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取得施工劳务资质的承包商可以承接具有施工总承包资质或专业承包资质的承包商分包的劳务作业。</w:t>
      </w:r>
    </w:p>
    <w:p w14:paraId="3AB6C63C">
      <w:pPr>
        <w:pStyle w:val="11"/>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分包商必须</w:t>
      </w:r>
      <w:r>
        <w:rPr>
          <w:rFonts w:hint="eastAsia" w:asciiTheme="minorEastAsia" w:hAnsiTheme="minorEastAsia" w:eastAsiaTheme="minorEastAsia" w:cstheme="minorEastAsia"/>
          <w:color w:val="auto"/>
          <w:sz w:val="24"/>
          <w:szCs w:val="24"/>
          <w:highlight w:val="none"/>
          <w:lang w:val="en-US" w:eastAsia="zh-CN"/>
        </w:rPr>
        <w:t>在南方电网公司供应链统一服务平台进行登记备案，并且在备案允许的范围内承接分包工程。</w:t>
      </w:r>
    </w:p>
    <w:p w14:paraId="2B0612EF">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（6）其他：</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p>
    <w:p w14:paraId="4609665D">
      <w:pPr>
        <w:rPr>
          <w:rFonts w:hint="eastAsia" w:asciiTheme="minorEastAsia" w:hAnsiTheme="minorEastAsia" w:eastAsiaTheme="minorEastAsia" w:cstheme="minorEastAsia"/>
          <w:color w:val="auto"/>
          <w:kern w:val="2"/>
          <w:sz w:val="24"/>
          <w:szCs w:val="24"/>
          <w:highlight w:val="none"/>
          <w:u w:val="single"/>
          <w:lang w:val="en-US" w:eastAsia="zh-CN" w:bidi="ar-SA"/>
        </w:rPr>
      </w:pPr>
    </w:p>
    <w:p w14:paraId="2C8C1310">
      <w:pPr>
        <w:pStyle w:val="3"/>
        <w:rPr>
          <w:rFonts w:hint="eastAsia" w:asciiTheme="minorEastAsia" w:hAnsiTheme="minorEastAsia" w:eastAsiaTheme="minorEastAsia" w:cstheme="minorEastAsia"/>
          <w:color w:val="auto"/>
          <w:sz w:val="24"/>
          <w:szCs w:val="24"/>
          <w:highlight w:val="none"/>
          <w:lang w:val="en-US" w:eastAsia="zh-CN"/>
        </w:rPr>
      </w:pPr>
    </w:p>
    <w:p w14:paraId="3F6A9B0B">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14:paraId="34E20575">
      <w:pPr>
        <w:pStyle w:val="2"/>
        <w:keepNext w:val="0"/>
        <w:keepLines w:val="0"/>
        <w:pageBreakBefore w:val="0"/>
        <w:widowControl w:val="0"/>
        <w:numPr>
          <w:ilvl w:val="0"/>
          <w:numId w:val="5"/>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21BC6216">
      <w:pPr>
        <w:pStyle w:val="4"/>
        <w:keepNext w:val="0"/>
        <w:keepLines w:val="0"/>
        <w:pageBreakBefore w:val="0"/>
        <w:widowControl w:val="0"/>
        <w:kinsoku/>
        <w:wordWrap/>
        <w:overflowPunct/>
        <w:topLinePunct w:val="0"/>
        <w:bidi w:val="0"/>
        <w:snapToGrid/>
        <w:spacing w:beforeLines="0" w:afterLines="0" w:line="360" w:lineRule="auto"/>
        <w:textAlignment w:val="auto"/>
        <w:rPr>
          <w:rFonts w:hint="eastAsia" w:asciiTheme="minorEastAsia" w:hAnsiTheme="minorEastAsia" w:eastAsiaTheme="minorEastAsia" w:cstheme="minorEastAsia"/>
          <w:i w:val="0"/>
          <w:iCs/>
          <w:color w:val="auto"/>
          <w:sz w:val="24"/>
          <w:szCs w:val="24"/>
          <w:highlight w:val="none"/>
        </w:rPr>
      </w:pPr>
      <w:bookmarkStart w:id="2"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2"/>
    </w:p>
    <w:p w14:paraId="196FD1F2">
      <w:pPr>
        <w:pStyle w:val="4"/>
        <w:keepNext w:val="0"/>
        <w:keepLines w:val="0"/>
        <w:pageBreakBefore w:val="0"/>
        <w:widowControl w:val="0"/>
        <w:kinsoku/>
        <w:wordWrap/>
        <w:overflowPunct/>
        <w:topLinePunct w:val="0"/>
        <w:bidi w:val="0"/>
        <w:snapToGrid/>
        <w:spacing w:beforeLines="0" w:afterLines="0" w:line="360" w:lineRule="auto"/>
        <w:textAlignment w:val="auto"/>
        <w:rPr>
          <w:rFonts w:hint="eastAsia" w:asciiTheme="minorEastAsia" w:hAnsiTheme="minorEastAsia" w:eastAsiaTheme="minorEastAsia" w:cstheme="minorEastAsia"/>
          <w:i w:val="0"/>
          <w:iCs/>
          <w:color w:val="auto"/>
          <w:sz w:val="24"/>
          <w:szCs w:val="24"/>
          <w:highlight w:val="none"/>
        </w:rPr>
      </w:pPr>
      <w:bookmarkStart w:id="3"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3"/>
    </w:p>
    <w:p w14:paraId="1FA49F71">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14:paraId="0DAE7BF1">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Lines="0" w:afterLines="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14:paraId="691C0961">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Lines="0" w:afterLines="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14:paraId="2985118C">
      <w:pPr>
        <w:pStyle w:val="2"/>
        <w:keepNext w:val="0"/>
        <w:keepLines w:val="0"/>
        <w:pageBreakBefore w:val="0"/>
        <w:widowControl w:val="0"/>
        <w:numPr>
          <w:ilvl w:val="0"/>
          <w:numId w:val="0"/>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严格执行《保障农民工工资支付条例》（中华人民共和国国务院令 第724号）相关要求，承包人应按规定开设农民工工资专用账户，专项用于支付本工程农民工工资。</w:t>
      </w:r>
      <w:r>
        <w:rPr>
          <w:rFonts w:hint="eastAsia" w:hAnsi="宋体"/>
          <w:b w:val="0"/>
          <w:bCs w:val="0"/>
          <w:color w:val="auto"/>
          <w:sz w:val="24"/>
          <w:szCs w:val="24"/>
          <w:highlight w:val="none"/>
          <w:u w:val="none"/>
          <w:lang w:val="en-US" w:eastAsia="zh-CN"/>
        </w:rPr>
        <w:t>在合同履行期间，如国家有最新文件的，按最新文件要求执行。</w:t>
      </w:r>
    </w:p>
    <w:p w14:paraId="45202BE4">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14:paraId="01B1CBFB">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14:paraId="67E8433E">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14:paraId="6A917375">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14:paraId="7B7BFBED">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14:paraId="64113570">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14:paraId="1047CE82">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14:paraId="5A7B8D49">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14:paraId="38659BD4">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14:paraId="41F210D9">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14:paraId="29109717">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b w:val="0"/>
          <w:bCs w:val="0"/>
          <w:color w:val="auto"/>
          <w:sz w:val="24"/>
          <w:szCs w:val="24"/>
          <w:highlight w:val="none"/>
          <w:u w:val="none"/>
        </w:rPr>
        <w:t>按照《关于印发广东电网公司2020年基建领域分包管理提升工作方案的通知》（广电建〔2020〕43号）的要求，执行《广东电网公司2020年基建领域分包管理提升工作方案》相关内容。</w:t>
      </w:r>
    </w:p>
    <w:p w14:paraId="52653216">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ascii="宋体" w:hAnsi="宋体"/>
          <w:b w:val="0"/>
          <w:bCs w:val="0"/>
          <w:color w:val="auto"/>
          <w:sz w:val="24"/>
          <w:szCs w:val="24"/>
          <w:highlight w:val="none"/>
          <w:u w:val="none"/>
        </w:rPr>
        <w:t>对出现未提供作业现场视频或弄虚作假、故意逃避视频监督等严禁和违章类问题</w:t>
      </w:r>
      <w:r>
        <w:rPr>
          <w:rFonts w:hint="eastAsia" w:ascii="宋体" w:hAnsi="宋体"/>
          <w:b w:val="0"/>
          <w:bCs w:val="0"/>
          <w:color w:val="auto"/>
          <w:sz w:val="24"/>
          <w:szCs w:val="24"/>
          <w:highlight w:val="none"/>
          <w:u w:val="none"/>
          <w:lang w:val="en-US" w:eastAsia="zh-CN"/>
        </w:rPr>
        <w:t>及</w:t>
      </w:r>
      <w:r>
        <w:rPr>
          <w:rFonts w:hint="eastAsia" w:ascii="宋体" w:hAnsi="宋体"/>
          <w:b w:val="0"/>
          <w:bCs w:val="0"/>
          <w:color w:val="auto"/>
          <w:sz w:val="24"/>
          <w:szCs w:val="24"/>
          <w:highlight w:val="none"/>
          <w:u w:val="none"/>
        </w:rPr>
        <w:t>出现作业信息填报不正确、不规范等规范类问题的承包商，依据《中国南方电网有限责任公司基建项目承包商管理业务指导书》等相关承包商管理制度对其进行扣分处罚。</w:t>
      </w:r>
    </w:p>
    <w:p w14:paraId="1F69305D">
      <w:pPr>
        <w:pStyle w:val="2"/>
        <w:keepNext w:val="0"/>
        <w:keepLines w:val="0"/>
        <w:pageBreakBefore w:val="0"/>
        <w:widowControl w:val="0"/>
        <w:numPr>
          <w:ilvl w:val="0"/>
          <w:numId w:val="6"/>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违反《广东电网有限责任公司作业现场安全纪律管理“六条铁律”》的的承包商人员（直接责任人和工作负责人），</w:t>
      </w:r>
      <w:r>
        <w:rPr>
          <w:rFonts w:hint="eastAsia" w:hAnsi="宋体"/>
          <w:b w:val="0"/>
          <w:bCs w:val="0"/>
          <w:color w:val="auto"/>
          <w:sz w:val="24"/>
          <w:szCs w:val="24"/>
          <w:highlight w:val="none"/>
          <w:u w:val="none"/>
          <w:lang w:val="en-US" w:eastAsia="zh-CN"/>
        </w:rPr>
        <w:t>根据安监部门发布的处罚结果进行处罚。</w:t>
      </w:r>
    </w:p>
    <w:p w14:paraId="68504D64">
      <w:pPr>
        <w:pStyle w:val="2"/>
        <w:keepNext w:val="0"/>
        <w:keepLines w:val="0"/>
        <w:pageBreakBefore w:val="0"/>
        <w:widowControl w:val="0"/>
        <w:numPr>
          <w:ilvl w:val="0"/>
          <w:numId w:val="6"/>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承包商应配合我局开展施工安全资质审查，同意施工安全资质审查证明作为我局选择施工承包商的必备条件之一，同意安全惩处管理的内容、标准，同意我局每年发布的承包商安全惩处统计分析报告作为工程评标参考指标。</w:t>
      </w:r>
    </w:p>
    <w:p w14:paraId="4DE31F1B">
      <w:pPr>
        <w:pStyle w:val="2"/>
        <w:keepNext w:val="0"/>
        <w:keepLines w:val="0"/>
        <w:pageBreakBefore w:val="0"/>
        <w:widowControl w:val="0"/>
        <w:numPr>
          <w:ilvl w:val="0"/>
          <w:numId w:val="6"/>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lang w:val="en-US" w:eastAsia="zh-CN"/>
        </w:rPr>
      </w:pPr>
      <w:r>
        <w:rPr>
          <w:rFonts w:hint="eastAsia" w:hAnsi="宋体"/>
          <w:b w:val="0"/>
          <w:bCs w:val="0"/>
          <w:color w:val="auto"/>
          <w:sz w:val="24"/>
          <w:szCs w:val="24"/>
          <w:highlight w:val="none"/>
          <w:u w:val="none"/>
        </w:rPr>
        <w:t>投标人</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人员投入及配置机具应符合</w:t>
      </w:r>
      <w:r>
        <w:rPr>
          <w:rFonts w:hint="eastAsia" w:hAnsi="宋体"/>
          <w:b w:val="0"/>
          <w:bCs w:val="0"/>
          <w:color w:val="auto"/>
          <w:sz w:val="24"/>
          <w:szCs w:val="24"/>
          <w:highlight w:val="none"/>
          <w:u w:val="none"/>
          <w:lang w:val="en-US" w:eastAsia="zh-CN"/>
        </w:rPr>
        <w:t>广东电网有限责任公司</w:t>
      </w:r>
      <w:r>
        <w:rPr>
          <w:rFonts w:hint="eastAsia" w:hAnsi="宋体"/>
          <w:b w:val="0"/>
          <w:bCs w:val="0"/>
          <w:color w:val="auto"/>
          <w:sz w:val="24"/>
          <w:szCs w:val="24"/>
          <w:highlight w:val="none"/>
          <w:u w:val="none"/>
        </w:rPr>
        <w:t>《关于印发广东电网有限责任公司施工承包商“三基”工程建设工作指引的通知》（广电建〔2020〕35号）</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要求</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具体配置要求</w:t>
      </w:r>
      <w:r>
        <w:rPr>
          <w:rFonts w:hint="eastAsia" w:hAnsi="宋体"/>
          <w:b w:val="0"/>
          <w:bCs w:val="0"/>
          <w:color w:val="auto"/>
          <w:sz w:val="24"/>
          <w:szCs w:val="24"/>
          <w:highlight w:val="none"/>
          <w:u w:val="none"/>
          <w:lang w:val="en-US" w:eastAsia="zh-CN"/>
        </w:rPr>
        <w:t>祥</w:t>
      </w:r>
      <w:r>
        <w:rPr>
          <w:rFonts w:hint="eastAsia" w:hAnsi="宋体"/>
          <w:b w:val="0"/>
          <w:bCs w:val="0"/>
          <w:color w:val="auto"/>
          <w:sz w:val="24"/>
          <w:szCs w:val="24"/>
          <w:highlight w:val="none"/>
          <w:u w:val="none"/>
        </w:rPr>
        <w:t>见</w:t>
      </w:r>
      <w:r>
        <w:rPr>
          <w:rFonts w:hint="eastAsia" w:hAnsi="宋体"/>
          <w:b w:val="0"/>
          <w:bCs w:val="0"/>
          <w:color w:val="auto"/>
          <w:sz w:val="24"/>
          <w:szCs w:val="24"/>
          <w:highlight w:val="none"/>
          <w:u w:val="none"/>
          <w:lang w:val="en-US" w:eastAsia="zh-CN"/>
        </w:rPr>
        <w:t>本</w:t>
      </w:r>
      <w:r>
        <w:rPr>
          <w:rFonts w:hint="eastAsia" w:hAnsi="宋体"/>
          <w:b w:val="0"/>
          <w:bCs w:val="0"/>
          <w:color w:val="auto"/>
          <w:sz w:val="24"/>
          <w:szCs w:val="24"/>
          <w:highlight w:val="none"/>
          <w:u w:val="none"/>
        </w:rPr>
        <w:t>章</w:t>
      </w:r>
      <w:r>
        <w:rPr>
          <w:rFonts w:hint="eastAsia" w:asciiTheme="minorEastAsia" w:hAnsiTheme="minorEastAsia" w:eastAsiaTheme="minorEastAsia" w:cstheme="minorEastAsia"/>
          <w:b/>
          <w:bCs/>
          <w:i w:val="0"/>
          <w:color w:val="auto"/>
          <w:kern w:val="2"/>
          <w:sz w:val="24"/>
          <w:szCs w:val="24"/>
          <w:highlight w:val="none"/>
          <w:lang w:val="en-US" w:eastAsia="zh-CN" w:bidi="ar-SA"/>
        </w:rPr>
        <w:t>施工力量及机具配置要求</w:t>
      </w:r>
      <w:r>
        <w:rPr>
          <w:rFonts w:hint="eastAsia" w:asciiTheme="minorEastAsia" w:hAnsiTheme="minorEastAsia" w:eastAsiaTheme="minorEastAsia" w:cstheme="minorEastAsia"/>
          <w:b w:val="0"/>
          <w:bCs w:val="0"/>
          <w:i w:val="0"/>
          <w:color w:val="auto"/>
          <w:kern w:val="2"/>
          <w:sz w:val="24"/>
          <w:szCs w:val="24"/>
          <w:highlight w:val="none"/>
          <w:lang w:val="en-US" w:eastAsia="zh-CN" w:bidi="ar-SA"/>
        </w:rPr>
        <w:t>）</w:t>
      </w:r>
      <w:r>
        <w:rPr>
          <w:rFonts w:hint="eastAsia" w:hAnsi="宋体"/>
          <w:b w:val="0"/>
          <w:bCs w:val="0"/>
          <w:color w:val="auto"/>
          <w:sz w:val="24"/>
          <w:szCs w:val="24"/>
          <w:highlight w:val="none"/>
          <w:u w:val="none"/>
        </w:rPr>
        <w:t>，</w:t>
      </w:r>
      <w:r>
        <w:rPr>
          <w:rFonts w:hint="eastAsia" w:hAnsi="宋体"/>
          <w:b w:val="0"/>
          <w:bCs w:val="0"/>
          <w:color w:val="auto"/>
          <w:sz w:val="24"/>
          <w:szCs w:val="24"/>
          <w:highlight w:val="none"/>
          <w:u w:val="none"/>
          <w:lang w:val="en-US" w:eastAsia="zh-CN"/>
        </w:rPr>
        <w:t>并在技术</w:t>
      </w:r>
      <w:r>
        <w:rPr>
          <w:rFonts w:hint="eastAsia" w:hAnsi="宋体"/>
          <w:b w:val="0"/>
          <w:bCs w:val="0"/>
          <w:color w:val="auto"/>
          <w:sz w:val="24"/>
          <w:szCs w:val="24"/>
          <w:highlight w:val="none"/>
          <w:u w:val="none"/>
        </w:rPr>
        <w:t>投标文件</w:t>
      </w:r>
      <w:r>
        <w:rPr>
          <w:rFonts w:hint="eastAsia" w:hAnsi="宋体"/>
          <w:b w:val="0"/>
          <w:bCs w:val="0"/>
          <w:color w:val="auto"/>
          <w:sz w:val="24"/>
          <w:szCs w:val="24"/>
          <w:highlight w:val="none"/>
          <w:u w:val="none"/>
          <w:lang w:val="en-US" w:eastAsia="zh-CN"/>
        </w:rPr>
        <w:t>中</w:t>
      </w:r>
      <w:r>
        <w:rPr>
          <w:rFonts w:hint="eastAsia" w:hAnsi="宋体"/>
          <w:b w:val="0"/>
          <w:bCs w:val="0"/>
          <w:color w:val="auto"/>
          <w:sz w:val="24"/>
          <w:szCs w:val="24"/>
          <w:highlight w:val="none"/>
          <w:u w:val="none"/>
        </w:rPr>
        <w:t>格式填写。</w:t>
      </w:r>
    </w:p>
    <w:p w14:paraId="7A4B42C2">
      <w:pPr>
        <w:pStyle w:val="2"/>
        <w:keepNext w:val="0"/>
        <w:keepLines w:val="0"/>
        <w:pageBreakBefore w:val="0"/>
        <w:widowControl w:val="0"/>
        <w:numPr>
          <w:ilvl w:val="0"/>
          <w:numId w:val="6"/>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lang w:val="en-US" w:eastAsia="zh-CN"/>
        </w:rPr>
      </w:pPr>
      <w:r>
        <w:rPr>
          <w:rFonts w:hint="eastAsia" w:hAnsi="宋体"/>
          <w:b w:val="0"/>
          <w:bCs w:val="0"/>
          <w:color w:val="auto"/>
          <w:sz w:val="24"/>
          <w:szCs w:val="24"/>
          <w:highlight w:val="none"/>
          <w:u w:val="none"/>
          <w:lang w:val="en-US" w:eastAsia="zh-CN"/>
        </w:rPr>
        <w:t>投标人应根据</w:t>
      </w:r>
      <w:r>
        <w:rPr>
          <w:rFonts w:hint="eastAsia" w:hAnsi="宋体"/>
          <w:b w:val="0"/>
          <w:bCs w:val="0"/>
          <w:color w:val="auto"/>
          <w:sz w:val="24"/>
          <w:szCs w:val="24"/>
          <w:highlight w:val="none"/>
          <w:u w:val="none"/>
        </w:rPr>
        <w:t>建设单位及勘察、设计等单位列出</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危险性较大的分部分项工程清单</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lang w:val="en-US" w:eastAsia="zh-CN"/>
        </w:rPr>
        <w:t>详见下表</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lang w:val="en-US" w:eastAsia="zh-CN"/>
        </w:rPr>
        <w:t>在</w:t>
      </w:r>
      <w:r>
        <w:rPr>
          <w:rFonts w:hint="eastAsia" w:hAnsi="宋体"/>
          <w:b w:val="0"/>
          <w:bCs w:val="0"/>
          <w:color w:val="auto"/>
          <w:sz w:val="24"/>
          <w:szCs w:val="24"/>
          <w:highlight w:val="none"/>
          <w:u w:val="none"/>
        </w:rPr>
        <w:t>技术</w:t>
      </w:r>
      <w:r>
        <w:rPr>
          <w:rFonts w:hint="eastAsia" w:hAnsi="宋体"/>
          <w:b w:val="0"/>
          <w:bCs w:val="0"/>
          <w:color w:val="auto"/>
          <w:sz w:val="24"/>
          <w:szCs w:val="24"/>
          <w:highlight w:val="none"/>
          <w:u w:val="none"/>
          <w:lang w:val="en-US" w:eastAsia="zh-CN"/>
        </w:rPr>
        <w:t>投标</w:t>
      </w:r>
      <w:r>
        <w:rPr>
          <w:rFonts w:hint="eastAsia" w:hAnsi="宋体"/>
          <w:b w:val="0"/>
          <w:bCs w:val="0"/>
          <w:color w:val="auto"/>
          <w:sz w:val="24"/>
          <w:szCs w:val="24"/>
          <w:highlight w:val="none"/>
          <w:u w:val="none"/>
        </w:rPr>
        <w:t>文</w:t>
      </w:r>
      <w:r>
        <w:rPr>
          <w:rFonts w:hint="eastAsia" w:hAnsi="宋体"/>
          <w:b w:val="0"/>
          <w:bCs w:val="0"/>
          <w:color w:val="auto"/>
          <w:sz w:val="24"/>
          <w:szCs w:val="24"/>
          <w:highlight w:val="none"/>
          <w:u w:val="none"/>
          <w:lang w:val="en-US" w:eastAsia="zh-CN"/>
        </w:rPr>
        <w:t>件中明确相应的安全管理措施。</w:t>
      </w:r>
    </w:p>
    <w:tbl>
      <w:tblPr>
        <w:tblStyle w:val="13"/>
        <w:tblpPr w:leftFromText="180" w:rightFromText="180" w:vertAnchor="text" w:horzAnchor="page" w:tblpX="1888" w:tblpY="207"/>
        <w:tblOverlap w:val="never"/>
        <w:tblW w:w="84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7624"/>
      </w:tblGrid>
      <w:tr w14:paraId="676D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tcBorders>
              <w:top w:val="nil"/>
              <w:left w:val="nil"/>
              <w:bottom w:val="single" w:color="000000" w:sz="4" w:space="0"/>
              <w:right w:val="nil"/>
            </w:tcBorders>
          </w:tcPr>
          <w:p w14:paraId="45AA31BA">
            <w:pPr>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asciiTheme="minorEastAsia" w:hAnsiTheme="minorEastAsia" w:eastAsiaTheme="minorEastAsia" w:cstheme="minorEastAsia"/>
                <w:b/>
                <w:bCs/>
                <w:color w:val="auto"/>
                <w:sz w:val="24"/>
                <w:szCs w:val="24"/>
                <w:highlight w:val="none"/>
                <w:vertAlign w:val="baseline"/>
                <w:lang w:val="en-US" w:eastAsia="zh-CN"/>
              </w:rPr>
            </w:pPr>
          </w:p>
        </w:tc>
        <w:tc>
          <w:tcPr>
            <w:tcW w:w="7624" w:type="dxa"/>
            <w:tcBorders>
              <w:top w:val="nil"/>
              <w:left w:val="nil"/>
              <w:bottom w:val="single" w:color="000000" w:sz="4" w:space="0"/>
              <w:right w:val="nil"/>
            </w:tcBorders>
          </w:tcPr>
          <w:p w14:paraId="79235B91">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1446" w:firstLineChars="600"/>
              <w:jc w:val="both"/>
              <w:rPr>
                <w:rFonts w:hint="eastAsia" w:asciiTheme="minorEastAsia" w:hAnsiTheme="minorEastAsia" w:eastAsiaTheme="minorEastAsia" w:cstheme="minorEastAsia"/>
                <w:b/>
                <w:bCs/>
                <w:color w:val="auto"/>
                <w:sz w:val="24"/>
                <w:szCs w:val="24"/>
                <w:highlight w:val="none"/>
                <w:vertAlign w:val="baseline"/>
              </w:rPr>
            </w:pPr>
            <w:r>
              <w:rPr>
                <w:rFonts w:hint="eastAsia" w:asciiTheme="minorEastAsia" w:hAnsiTheme="minorEastAsia" w:eastAsiaTheme="minorEastAsia" w:cstheme="minorEastAsia"/>
                <w:b/>
                <w:bCs/>
                <w:i w:val="0"/>
                <w:color w:val="auto"/>
                <w:kern w:val="2"/>
                <w:sz w:val="24"/>
                <w:szCs w:val="24"/>
                <w:highlight w:val="none"/>
                <w:lang w:val="en-US" w:eastAsia="zh-CN" w:bidi="ar-SA"/>
              </w:rPr>
              <w:t>危险性较大的分部分项工程清单</w:t>
            </w:r>
          </w:p>
        </w:tc>
      </w:tr>
      <w:tr w14:paraId="58C89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tcBorders>
              <w:top w:val="single" w:color="000000" w:sz="4" w:space="0"/>
              <w:left w:val="single" w:color="000000" w:sz="4" w:space="0"/>
            </w:tcBorders>
            <w:vAlign w:val="top"/>
          </w:tcPr>
          <w:p w14:paraId="7A34F18B">
            <w:pPr>
              <w:numPr>
                <w:ilvl w:val="0"/>
                <w:numId w:val="0"/>
              </w:numPr>
              <w:pBdr>
                <w:top w:val="none" w:color="auto" w:sz="0" w:space="0"/>
                <w:left w:val="none" w:color="auto" w:sz="0" w:space="0"/>
                <w:bottom w:val="none" w:color="auto" w:sz="0" w:space="0"/>
                <w:right w:val="none" w:color="auto" w:sz="0" w:space="0"/>
                <w:between w:val="none" w:color="auto" w:sz="0" w:space="0"/>
              </w:pBdr>
              <w:shd w:val="clear"/>
              <w:ind w:left="0" w:leftChars="0" w:firstLine="0" w:firstLineChars="0"/>
              <w:jc w:val="center"/>
              <w:rPr>
                <w:rFonts w:hint="eastAsia" w:asciiTheme="minorEastAsia" w:hAnsiTheme="minorEastAsia" w:eastAsiaTheme="minorEastAsia" w:cstheme="minorEastAsia"/>
                <w:b/>
                <w:bCs/>
                <w:color w:val="auto"/>
                <w:kern w:val="2"/>
                <w:sz w:val="24"/>
                <w:szCs w:val="24"/>
                <w:highlight w:val="none"/>
                <w:vertAlign w:val="baseline"/>
                <w:lang w:val="en-US" w:eastAsia="zh-CN" w:bidi="ar-SA"/>
              </w:rPr>
            </w:pPr>
            <w:r>
              <w:rPr>
                <w:rFonts w:hint="eastAsia" w:asciiTheme="minorEastAsia" w:hAnsiTheme="minorEastAsia" w:eastAsiaTheme="minorEastAsia" w:cstheme="minorEastAsia"/>
                <w:b/>
                <w:bCs/>
                <w:color w:val="auto"/>
                <w:sz w:val="24"/>
                <w:szCs w:val="24"/>
                <w:highlight w:val="none"/>
                <w:vertAlign w:val="baseline"/>
                <w:lang w:val="en-US" w:eastAsia="zh-CN"/>
              </w:rPr>
              <w:t>序号</w:t>
            </w:r>
          </w:p>
        </w:tc>
        <w:tc>
          <w:tcPr>
            <w:tcW w:w="7624" w:type="dxa"/>
            <w:tcBorders>
              <w:top w:val="single" w:color="000000" w:sz="4" w:space="0"/>
              <w:right w:val="single" w:color="000000" w:sz="4" w:space="0"/>
            </w:tcBorders>
            <w:vAlign w:val="top"/>
          </w:tcPr>
          <w:p w14:paraId="14470B28">
            <w:pPr>
              <w:numPr>
                <w:ilvl w:val="0"/>
                <w:numId w:val="0"/>
              </w:numPr>
              <w:pBdr>
                <w:top w:val="none" w:color="auto" w:sz="0" w:space="0"/>
                <w:left w:val="none" w:color="auto" w:sz="0" w:space="0"/>
                <w:bottom w:val="none" w:color="auto" w:sz="0" w:space="0"/>
                <w:right w:val="none" w:color="auto" w:sz="0" w:space="0"/>
                <w:between w:val="none" w:color="auto" w:sz="0" w:space="0"/>
              </w:pBdr>
              <w:shd w:val="clear"/>
              <w:ind w:left="0" w:leftChars="0" w:firstLine="0" w:firstLineChars="0"/>
              <w:jc w:val="center"/>
              <w:rPr>
                <w:rFonts w:hint="eastAsia" w:asciiTheme="minorEastAsia" w:hAnsiTheme="minorEastAsia" w:eastAsiaTheme="minorEastAsia" w:cstheme="minorEastAsia"/>
                <w:b/>
                <w:bCs/>
                <w:color w:val="auto"/>
                <w:kern w:val="2"/>
                <w:sz w:val="24"/>
                <w:szCs w:val="24"/>
                <w:highlight w:val="none"/>
                <w:vertAlign w:val="baseli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危险性较大的分部分项工程</w:t>
            </w:r>
          </w:p>
        </w:tc>
      </w:tr>
      <w:tr w14:paraId="276CB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tcBorders>
              <w:left w:val="single" w:color="000000" w:sz="4" w:space="0"/>
            </w:tcBorders>
            <w:vAlign w:val="center"/>
          </w:tcPr>
          <w:p w14:paraId="79405442">
            <w:pPr>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default" w:asciiTheme="minorEastAsia" w:hAnsiTheme="minorEastAsia" w:eastAsiaTheme="minorEastAsia" w:cstheme="minorEastAsia"/>
                <w:b w:val="0"/>
                <w:bCs w:val="0"/>
                <w:color w:val="auto"/>
                <w:sz w:val="24"/>
                <w:szCs w:val="24"/>
                <w:highlight w:val="none"/>
                <w:vertAlign w:val="baseline"/>
                <w:lang w:val="en-US" w:eastAsia="zh-CN"/>
              </w:rPr>
            </w:pPr>
            <w:r>
              <w:rPr>
                <w:rFonts w:hint="eastAsia" w:asciiTheme="minorEastAsia" w:hAnsiTheme="minorEastAsia" w:cstheme="minorEastAsia"/>
                <w:b w:val="0"/>
                <w:bCs w:val="0"/>
                <w:color w:val="auto"/>
                <w:sz w:val="24"/>
                <w:szCs w:val="24"/>
                <w:highlight w:val="none"/>
                <w:vertAlign w:val="baseline"/>
                <w:lang w:val="en-US" w:eastAsia="zh-CN"/>
              </w:rPr>
              <w:t>/</w:t>
            </w:r>
          </w:p>
        </w:tc>
        <w:tc>
          <w:tcPr>
            <w:tcW w:w="7624" w:type="dxa"/>
            <w:tcBorders>
              <w:right w:val="single" w:color="000000" w:sz="4" w:space="0"/>
            </w:tcBorders>
            <w:vAlign w:val="top"/>
          </w:tcPr>
          <w:p w14:paraId="38EB6A72">
            <w:pPr>
              <w:bidi w:val="0"/>
              <w:rPr>
                <w:rFonts w:hint="default"/>
                <w:color w:val="auto"/>
                <w:kern w:val="2"/>
                <w:sz w:val="24"/>
                <w:szCs w:val="24"/>
                <w:highlight w:val="none"/>
                <w:lang w:val="en-US" w:eastAsia="zh-CN"/>
              </w:rPr>
            </w:pPr>
            <w:r>
              <w:rPr>
                <w:rFonts w:hint="eastAsia"/>
                <w:color w:val="auto"/>
                <w:kern w:val="2"/>
                <w:sz w:val="24"/>
                <w:szCs w:val="24"/>
                <w:highlight w:val="none"/>
                <w:lang w:val="en-US" w:eastAsia="zh-CN"/>
              </w:rPr>
              <w:t>/</w:t>
            </w:r>
          </w:p>
        </w:tc>
      </w:tr>
    </w:tbl>
    <w:p w14:paraId="5590D29E">
      <w:pPr>
        <w:pStyle w:val="2"/>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Ansi="宋体"/>
          <w:b w:val="0"/>
          <w:bCs w:val="0"/>
          <w:color w:val="auto"/>
          <w:sz w:val="24"/>
          <w:szCs w:val="24"/>
          <w:highlight w:val="none"/>
          <w:u w:val="none"/>
          <w:lang w:val="en-US" w:eastAsia="zh-CN"/>
        </w:rPr>
      </w:pPr>
    </w:p>
    <w:p w14:paraId="403E875D">
      <w:pPr>
        <w:pStyle w:val="4"/>
        <w:keepNext w:val="0"/>
        <w:keepLines w:val="0"/>
        <w:pageBreakBefore w:val="0"/>
        <w:numPr>
          <w:ilvl w:val="0"/>
          <w:numId w:val="0"/>
        </w:numPr>
        <w:shd w:val="clear" w:color="auto" w:fill="auto"/>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三、图纸</w:t>
      </w:r>
    </w:p>
    <w:tbl>
      <w:tblPr>
        <w:tblStyle w:val="12"/>
        <w:tblW w:w="8437" w:type="dxa"/>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940"/>
        <w:gridCol w:w="3234"/>
        <w:gridCol w:w="1396"/>
      </w:tblGrid>
      <w:tr w14:paraId="2C4AF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tblHeader/>
        </w:trPr>
        <w:tc>
          <w:tcPr>
            <w:tcW w:w="867" w:type="dxa"/>
            <w:noWrap w:val="0"/>
            <w:vAlign w:val="center"/>
          </w:tcPr>
          <w:p w14:paraId="136D0CF8">
            <w:pPr>
              <w:pStyle w:val="2"/>
              <w:jc w:val="center"/>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序号</w:t>
            </w:r>
          </w:p>
        </w:tc>
        <w:tc>
          <w:tcPr>
            <w:tcW w:w="2940" w:type="dxa"/>
            <w:noWrap w:val="0"/>
            <w:vAlign w:val="center"/>
          </w:tcPr>
          <w:p w14:paraId="6A455316">
            <w:pPr>
              <w:pStyle w:val="2"/>
              <w:jc w:val="center"/>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卷    册</w:t>
            </w:r>
          </w:p>
        </w:tc>
        <w:tc>
          <w:tcPr>
            <w:tcW w:w="3234" w:type="dxa"/>
            <w:noWrap w:val="0"/>
            <w:vAlign w:val="center"/>
          </w:tcPr>
          <w:p w14:paraId="45731ED8">
            <w:pPr>
              <w:pStyle w:val="2"/>
              <w:jc w:val="center"/>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工程项目及图纸名称</w:t>
            </w:r>
          </w:p>
        </w:tc>
        <w:tc>
          <w:tcPr>
            <w:tcW w:w="1396" w:type="dxa"/>
            <w:noWrap w:val="0"/>
            <w:vAlign w:val="center"/>
          </w:tcPr>
          <w:p w14:paraId="25D44F31">
            <w:pPr>
              <w:pStyle w:val="2"/>
              <w:ind w:leftChars="-1" w:hanging="2" w:hangingChars="1"/>
              <w:jc w:val="center"/>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备  注</w:t>
            </w:r>
          </w:p>
        </w:tc>
      </w:tr>
      <w:tr w14:paraId="1AE0A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67" w:type="dxa"/>
            <w:noWrap w:val="0"/>
            <w:vAlign w:val="center"/>
          </w:tcPr>
          <w:p w14:paraId="42182017">
            <w:pPr>
              <w:jc w:val="center"/>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w:t>
            </w:r>
          </w:p>
        </w:tc>
        <w:tc>
          <w:tcPr>
            <w:tcW w:w="2940" w:type="dxa"/>
            <w:noWrap w:val="0"/>
            <w:vAlign w:val="center"/>
          </w:tcPr>
          <w:p w14:paraId="4CF519E4">
            <w:pPr>
              <w:keepNext w:val="0"/>
              <w:keepLines w:val="0"/>
              <w:widowControl/>
              <w:suppressLineNumbers w:val="0"/>
              <w:jc w:val="left"/>
              <w:textAlignment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w:t>
            </w:r>
          </w:p>
        </w:tc>
        <w:tc>
          <w:tcPr>
            <w:tcW w:w="3234" w:type="dxa"/>
            <w:noWrap w:val="0"/>
            <w:vAlign w:val="center"/>
          </w:tcPr>
          <w:p w14:paraId="018658E8">
            <w:pP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w:t>
            </w:r>
          </w:p>
        </w:tc>
        <w:tc>
          <w:tcPr>
            <w:tcW w:w="1396" w:type="dxa"/>
            <w:vAlign w:val="top"/>
          </w:tcPr>
          <w:p w14:paraId="6F16DB05">
            <w:pPr>
              <w:pStyle w:val="2"/>
              <w:jc w:val="center"/>
              <w:rPr>
                <w:rFonts w:hint="eastAsia" w:ascii="宋体" w:hAnsi="宋体" w:eastAsia="宋体" w:cs="宋体"/>
                <w:i w:val="0"/>
                <w:iCs w:val="0"/>
                <w:color w:val="auto"/>
                <w:sz w:val="24"/>
                <w:szCs w:val="24"/>
                <w:highlight w:val="yellow"/>
              </w:rPr>
            </w:pPr>
          </w:p>
        </w:tc>
      </w:tr>
    </w:tbl>
    <w:p w14:paraId="0E0A77BD">
      <w:pPr>
        <w:rPr>
          <w:rFonts w:hint="eastAsia" w:asciiTheme="minorEastAsia" w:hAnsiTheme="minorEastAsia" w:eastAsiaTheme="minorEastAsia" w:cstheme="minorEastAsia"/>
          <w:color w:val="auto"/>
          <w:sz w:val="24"/>
          <w:szCs w:val="24"/>
          <w:highlight w:val="none"/>
          <w:lang w:val="en-US" w:eastAsia="zh-CN"/>
        </w:rPr>
      </w:pPr>
    </w:p>
    <w:p w14:paraId="27768134">
      <w:pPr>
        <w:pStyle w:val="4"/>
        <w:keepNext w:val="0"/>
        <w:keepLines w:val="0"/>
        <w:pageBreakBefore w:val="0"/>
        <w:numPr>
          <w:ilvl w:val="0"/>
          <w:numId w:val="0"/>
        </w:numPr>
        <w:shd w:val="clear" w:color="auto" w:fill="auto"/>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四、工程量清单</w:t>
      </w:r>
    </w:p>
    <w:p w14:paraId="7739B492">
      <w:pPr>
        <w:pStyle w:val="8"/>
        <w:keepNext w:val="0"/>
        <w:keepLines w:val="0"/>
        <w:pageBreakBefore w:val="0"/>
        <w:widowControl/>
        <w:kinsoku/>
        <w:wordWrap/>
        <w:overflowPunct/>
        <w:topLinePunct w:val="0"/>
        <w:autoSpaceDE/>
        <w:autoSpaceDN/>
        <w:bidi w:val="0"/>
        <w:adjustRightInd/>
        <w:snapToGrid/>
        <w:spacing w:before="0" w:after="0"/>
        <w:ind w:firstLine="240" w:firstLineChars="100"/>
        <w:textAlignment w:val="auto"/>
        <w:rPr>
          <w:rStyle w:val="14"/>
          <w:rFonts w:hint="eastAsia" w:asciiTheme="minorEastAsia" w:hAnsiTheme="minorEastAsia" w:eastAsiaTheme="minorEastAsia" w:cstheme="minorEastAsia"/>
          <w:color w:val="auto"/>
          <w:sz w:val="24"/>
          <w:szCs w:val="24"/>
          <w:highlight w:val="none"/>
          <w:lang w:val="en-US" w:eastAsia="zh-CN"/>
        </w:rPr>
      </w:pPr>
      <w:r>
        <w:rPr>
          <w:rStyle w:val="15"/>
          <w:rFonts w:hint="eastAsia" w:asciiTheme="minorEastAsia" w:hAnsiTheme="minorEastAsia" w:eastAsiaTheme="minorEastAsia" w:cstheme="minorEastAsia"/>
          <w:color w:val="auto"/>
          <w:sz w:val="24"/>
          <w:szCs w:val="24"/>
          <w:highlight w:val="none"/>
          <w:u w:val="single"/>
          <w:lang w:val="en-US" w:eastAsia="zh-CN"/>
        </w:rPr>
        <w:t>本标段无工程量清单。</w:t>
      </w:r>
      <w:r>
        <w:rPr>
          <w:rStyle w:val="14"/>
          <w:rFonts w:hint="eastAsia" w:asciiTheme="minorEastAsia" w:hAnsiTheme="minorEastAsia" w:eastAsiaTheme="minorEastAsia" w:cstheme="minorEastAsia"/>
          <w:color w:val="auto"/>
          <w:sz w:val="24"/>
          <w:szCs w:val="24"/>
          <w:highlight w:val="none"/>
          <w:lang w:val="en-US" w:eastAsia="zh-CN"/>
        </w:rPr>
        <w:t xml:space="preserve">  </w:t>
      </w:r>
    </w:p>
    <w:p w14:paraId="6258C9C5">
      <w:pPr>
        <w:pStyle w:val="9"/>
        <w:keepNext w:val="0"/>
        <w:keepLines w:val="0"/>
        <w:pageBreakBefore w:val="0"/>
        <w:widowControl/>
        <w:kinsoku/>
        <w:wordWrap/>
        <w:overflowPunct/>
        <w:topLinePunct w:val="0"/>
        <w:autoSpaceDE/>
        <w:autoSpaceDN/>
        <w:bidi w:val="0"/>
        <w:adjustRightInd/>
        <w:snapToGrid/>
        <w:spacing w:before="0" w:after="0"/>
        <w:textAlignment w:val="auto"/>
        <w:rPr>
          <w:rFonts w:hint="eastAsia"/>
          <w:color w:val="auto"/>
          <w:highlight w:val="none"/>
          <w:lang w:val="en-US" w:eastAsia="zh-CN"/>
        </w:rPr>
      </w:pPr>
    </w:p>
    <w:p w14:paraId="687C673E">
      <w:pPr>
        <w:pStyle w:val="4"/>
        <w:keepNext w:val="0"/>
        <w:keepLines w:val="0"/>
        <w:pageBreakBefore w:val="0"/>
        <w:numPr>
          <w:ilvl w:val="0"/>
          <w:numId w:val="0"/>
        </w:numPr>
        <w:shd w:val="clear" w:color="auto" w:fill="auto"/>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五、由建设单位提供的设备及材料价格（含运杂费）表</w:t>
      </w:r>
    </w:p>
    <w:p w14:paraId="30CF895C">
      <w:pPr>
        <w:pStyle w:val="2"/>
        <w:jc w:val="center"/>
        <w:rPr>
          <w:rFonts w:hint="eastAsia" w:asciiTheme="minorEastAsia" w:hAnsiTheme="minorEastAsia" w:eastAsiaTheme="minorEastAsia" w:cstheme="minorEastAsia"/>
          <w:b/>
          <w:bCs/>
          <w:i w:val="0"/>
          <w:iCs w:val="0"/>
          <w:color w:val="auto"/>
          <w:sz w:val="24"/>
          <w:szCs w:val="24"/>
          <w:highlight w:val="none"/>
        </w:rPr>
      </w:pPr>
      <w:r>
        <w:rPr>
          <w:rFonts w:hint="eastAsia" w:asciiTheme="minorEastAsia" w:hAnsiTheme="minorEastAsia" w:eastAsiaTheme="minorEastAsia" w:cstheme="minorEastAsia"/>
          <w:b/>
          <w:bCs/>
          <w:i w:val="0"/>
          <w:iCs w:val="0"/>
          <w:color w:val="auto"/>
          <w:sz w:val="24"/>
          <w:szCs w:val="24"/>
          <w:highlight w:val="none"/>
        </w:rPr>
        <w:t>由建设单位提供的设备及材料价格（含运到承包人材料站）</w:t>
      </w:r>
    </w:p>
    <w:tbl>
      <w:tblPr>
        <w:tblStyle w:val="12"/>
        <w:tblW w:w="8855" w:type="dxa"/>
        <w:tblInd w:w="-3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4314"/>
        <w:gridCol w:w="931"/>
        <w:gridCol w:w="1604"/>
        <w:gridCol w:w="1251"/>
      </w:tblGrid>
      <w:tr w14:paraId="05F6A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755" w:type="dxa"/>
            <w:noWrap w:val="0"/>
            <w:vAlign w:val="center"/>
          </w:tcPr>
          <w:p w14:paraId="7D0E2867">
            <w:pPr>
              <w:pStyle w:val="2"/>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序号</w:t>
            </w:r>
          </w:p>
        </w:tc>
        <w:tc>
          <w:tcPr>
            <w:tcW w:w="4314" w:type="dxa"/>
            <w:noWrap w:val="0"/>
            <w:vAlign w:val="center"/>
          </w:tcPr>
          <w:p w14:paraId="0D820B8C">
            <w:pPr>
              <w:pStyle w:val="2"/>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设备、材料名称及规格</w:t>
            </w:r>
          </w:p>
        </w:tc>
        <w:tc>
          <w:tcPr>
            <w:tcW w:w="931" w:type="dxa"/>
            <w:noWrap w:val="0"/>
            <w:vAlign w:val="center"/>
          </w:tcPr>
          <w:p w14:paraId="219853B0">
            <w:pPr>
              <w:pStyle w:val="2"/>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单位</w:t>
            </w:r>
          </w:p>
        </w:tc>
        <w:tc>
          <w:tcPr>
            <w:tcW w:w="1604" w:type="dxa"/>
            <w:noWrap w:val="0"/>
            <w:vAlign w:val="center"/>
          </w:tcPr>
          <w:p w14:paraId="5BAF6173">
            <w:pPr>
              <w:pStyle w:val="2"/>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单价（元）</w:t>
            </w:r>
          </w:p>
        </w:tc>
        <w:tc>
          <w:tcPr>
            <w:tcW w:w="1251" w:type="dxa"/>
            <w:noWrap w:val="0"/>
            <w:vAlign w:val="center"/>
          </w:tcPr>
          <w:p w14:paraId="2DED7BF9">
            <w:pPr>
              <w:pStyle w:val="2"/>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备    注</w:t>
            </w:r>
          </w:p>
        </w:tc>
      </w:tr>
      <w:tr w14:paraId="3E26D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755" w:type="dxa"/>
            <w:noWrap w:val="0"/>
            <w:vAlign w:val="center"/>
          </w:tcPr>
          <w:p w14:paraId="06F2AF21">
            <w:pPr>
              <w:pStyle w:val="2"/>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一</w:t>
            </w:r>
          </w:p>
        </w:tc>
        <w:tc>
          <w:tcPr>
            <w:tcW w:w="4314" w:type="dxa"/>
            <w:noWrap w:val="0"/>
            <w:vAlign w:val="center"/>
          </w:tcPr>
          <w:p w14:paraId="3CDAA3D3">
            <w:pPr>
              <w:pStyle w:val="2"/>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cstheme="minorEastAsia"/>
                <w:i w:val="0"/>
                <w:iCs w:val="0"/>
                <w:color w:val="auto"/>
                <w:sz w:val="24"/>
                <w:szCs w:val="24"/>
                <w:highlight w:val="none"/>
                <w:u w:val="single"/>
                <w:lang w:val="en-US" w:eastAsia="zh-CN"/>
              </w:rPr>
              <w:t xml:space="preserve">      /     </w:t>
            </w:r>
            <w:r>
              <w:rPr>
                <w:rFonts w:hint="eastAsia" w:asciiTheme="minorEastAsia" w:hAnsiTheme="minorEastAsia" w:eastAsiaTheme="minorEastAsia" w:cstheme="minorEastAsia"/>
                <w:bCs/>
                <w:i w:val="0"/>
                <w:iCs w:val="0"/>
                <w:color w:val="auto"/>
                <w:spacing w:val="4"/>
                <w:sz w:val="24"/>
                <w:szCs w:val="24"/>
                <w:highlight w:val="none"/>
              </w:rPr>
              <w:t>由施工单位负责卸车及保管的电气一、二次设备总价</w:t>
            </w:r>
          </w:p>
        </w:tc>
        <w:tc>
          <w:tcPr>
            <w:tcW w:w="931" w:type="dxa"/>
            <w:noWrap w:val="0"/>
            <w:vAlign w:val="center"/>
          </w:tcPr>
          <w:p w14:paraId="4D69C33C">
            <w:pPr>
              <w:pStyle w:val="2"/>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w:t>
            </w:r>
          </w:p>
        </w:tc>
        <w:tc>
          <w:tcPr>
            <w:tcW w:w="1604" w:type="dxa"/>
            <w:noWrap w:val="0"/>
            <w:vAlign w:val="center"/>
          </w:tcPr>
          <w:p w14:paraId="5B5AA666">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p>
        </w:tc>
        <w:tc>
          <w:tcPr>
            <w:tcW w:w="1251" w:type="dxa"/>
            <w:noWrap w:val="0"/>
            <w:vAlign w:val="center"/>
          </w:tcPr>
          <w:p w14:paraId="4D72332A">
            <w:pPr>
              <w:rPr>
                <w:rFonts w:hint="eastAsia" w:asciiTheme="minorEastAsia" w:hAnsiTheme="minorEastAsia" w:eastAsiaTheme="minorEastAsia" w:cstheme="minorEastAsia"/>
                <w:i w:val="0"/>
                <w:iCs w:val="0"/>
                <w:color w:val="auto"/>
                <w:sz w:val="24"/>
                <w:szCs w:val="24"/>
                <w:highlight w:val="none"/>
                <w:lang w:val="en-GB"/>
              </w:rPr>
            </w:pPr>
          </w:p>
        </w:tc>
      </w:tr>
      <w:tr w14:paraId="091A0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755" w:type="dxa"/>
            <w:noWrap w:val="0"/>
            <w:vAlign w:val="center"/>
          </w:tcPr>
          <w:p w14:paraId="4131E659">
            <w:pPr>
              <w:pStyle w:val="2"/>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w:t>
            </w:r>
          </w:p>
        </w:tc>
        <w:tc>
          <w:tcPr>
            <w:tcW w:w="4314" w:type="dxa"/>
            <w:noWrap w:val="0"/>
            <w:vAlign w:val="center"/>
          </w:tcPr>
          <w:p w14:paraId="18B52738">
            <w:pPr>
              <w:widowControl/>
              <w:jc w:val="left"/>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kern w:val="0"/>
                <w:sz w:val="24"/>
                <w:szCs w:val="24"/>
                <w:highlight w:val="none"/>
              </w:rPr>
              <w:t>配电装置</w:t>
            </w:r>
          </w:p>
        </w:tc>
        <w:tc>
          <w:tcPr>
            <w:tcW w:w="931" w:type="dxa"/>
            <w:noWrap w:val="0"/>
            <w:vAlign w:val="center"/>
          </w:tcPr>
          <w:p w14:paraId="1E5AA8EA">
            <w:pPr>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w:t>
            </w:r>
          </w:p>
        </w:tc>
        <w:tc>
          <w:tcPr>
            <w:tcW w:w="1604" w:type="dxa"/>
            <w:noWrap w:val="0"/>
            <w:vAlign w:val="center"/>
          </w:tcPr>
          <w:p w14:paraId="17046F6B">
            <w:pPr>
              <w:keepNext w:val="0"/>
              <w:keepLines w:val="0"/>
              <w:widowControl/>
              <w:suppressLineNumbers w:val="0"/>
              <w:shd w:val="clear" w:color="auto" w:fill="auto"/>
              <w:jc w:val="center"/>
              <w:textAlignment w:val="center"/>
              <w:rPr>
                <w:rFonts w:hint="default" w:ascii="宋体" w:hAnsi="宋体" w:eastAsia="宋体" w:cs="宋体"/>
                <w:i w:val="0"/>
                <w:iCs w:val="0"/>
                <w:color w:val="auto"/>
                <w:kern w:val="0"/>
                <w:sz w:val="24"/>
                <w:szCs w:val="24"/>
                <w:highlight w:val="none"/>
                <w:u w:val="none"/>
                <w:lang w:val="en-US" w:eastAsia="zh-CN" w:bidi="ar"/>
              </w:rPr>
            </w:pPr>
          </w:p>
        </w:tc>
        <w:tc>
          <w:tcPr>
            <w:tcW w:w="1251" w:type="dxa"/>
            <w:noWrap w:val="0"/>
            <w:vAlign w:val="center"/>
          </w:tcPr>
          <w:p w14:paraId="1003750D">
            <w:pPr>
              <w:rPr>
                <w:rFonts w:hint="eastAsia" w:asciiTheme="minorEastAsia" w:hAnsiTheme="minorEastAsia" w:eastAsiaTheme="minorEastAsia" w:cstheme="minorEastAsia"/>
                <w:i w:val="0"/>
                <w:iCs w:val="0"/>
                <w:color w:val="auto"/>
                <w:sz w:val="24"/>
                <w:szCs w:val="24"/>
                <w:highlight w:val="none"/>
                <w:lang w:val="en-GB"/>
              </w:rPr>
            </w:pPr>
          </w:p>
        </w:tc>
      </w:tr>
      <w:tr w14:paraId="58973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755" w:type="dxa"/>
            <w:noWrap w:val="0"/>
            <w:vAlign w:val="center"/>
          </w:tcPr>
          <w:p w14:paraId="1675AD88">
            <w:pPr>
              <w:pStyle w:val="2"/>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2</w:t>
            </w:r>
          </w:p>
        </w:tc>
        <w:tc>
          <w:tcPr>
            <w:tcW w:w="4314" w:type="dxa"/>
            <w:noWrap w:val="0"/>
            <w:vAlign w:val="center"/>
          </w:tcPr>
          <w:p w14:paraId="17913FCF">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控制及直流系统</w:t>
            </w:r>
          </w:p>
        </w:tc>
        <w:tc>
          <w:tcPr>
            <w:tcW w:w="931" w:type="dxa"/>
            <w:noWrap w:val="0"/>
            <w:vAlign w:val="center"/>
          </w:tcPr>
          <w:p w14:paraId="339F9746">
            <w:pPr>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w:t>
            </w:r>
          </w:p>
        </w:tc>
        <w:tc>
          <w:tcPr>
            <w:tcW w:w="1604" w:type="dxa"/>
            <w:noWrap w:val="0"/>
            <w:vAlign w:val="center"/>
          </w:tcPr>
          <w:p w14:paraId="4470DD2F">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GB" w:eastAsia="zh-CN" w:bidi="ar"/>
              </w:rPr>
            </w:pPr>
          </w:p>
        </w:tc>
        <w:tc>
          <w:tcPr>
            <w:tcW w:w="1251" w:type="dxa"/>
            <w:noWrap w:val="0"/>
            <w:vAlign w:val="center"/>
          </w:tcPr>
          <w:p w14:paraId="05690D83">
            <w:pPr>
              <w:rPr>
                <w:rFonts w:hint="eastAsia" w:asciiTheme="minorEastAsia" w:hAnsiTheme="minorEastAsia" w:eastAsiaTheme="minorEastAsia" w:cstheme="minorEastAsia"/>
                <w:i w:val="0"/>
                <w:iCs w:val="0"/>
                <w:color w:val="auto"/>
                <w:sz w:val="24"/>
                <w:szCs w:val="24"/>
                <w:highlight w:val="none"/>
                <w:lang w:val="en-GB"/>
              </w:rPr>
            </w:pPr>
          </w:p>
        </w:tc>
      </w:tr>
      <w:tr w14:paraId="70DB3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755" w:type="dxa"/>
            <w:noWrap w:val="0"/>
            <w:vAlign w:val="center"/>
          </w:tcPr>
          <w:p w14:paraId="7231BE02">
            <w:pPr>
              <w:pStyle w:val="2"/>
              <w:jc w:val="center"/>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3</w:t>
            </w:r>
          </w:p>
        </w:tc>
        <w:tc>
          <w:tcPr>
            <w:tcW w:w="4314" w:type="dxa"/>
            <w:noWrap w:val="0"/>
            <w:vAlign w:val="center"/>
          </w:tcPr>
          <w:p w14:paraId="4F45CB16">
            <w:pPr>
              <w:keepNext w:val="0"/>
              <w:keepLines w:val="0"/>
              <w:widowControl/>
              <w:suppressLineNumbers w:val="0"/>
              <w:jc w:val="left"/>
              <w:textAlignment w:val="center"/>
              <w:rPr>
                <w:rFonts w:hint="eastAsia" w:asciiTheme="minorEastAsia" w:hAnsiTheme="minorEastAsia" w:eastAsiaTheme="minorEastAsia" w:cstheme="minorEastAsia"/>
                <w:i w:val="0"/>
                <w:iCs w:val="0"/>
                <w:color w:val="auto"/>
                <w:sz w:val="24"/>
                <w:szCs w:val="24"/>
                <w:highlight w:val="none"/>
              </w:rPr>
            </w:pPr>
            <w:r>
              <w:rPr>
                <w:rFonts w:hint="eastAsia" w:ascii="宋体" w:hAnsi="宋体" w:eastAsia="宋体" w:cs="宋体"/>
                <w:i w:val="0"/>
                <w:iCs w:val="0"/>
                <w:color w:val="auto"/>
                <w:kern w:val="0"/>
                <w:sz w:val="24"/>
                <w:szCs w:val="24"/>
                <w:highlight w:val="none"/>
                <w:u w:val="none"/>
                <w:lang w:val="en-US" w:eastAsia="zh-CN" w:bidi="ar"/>
              </w:rPr>
              <w:t>通信及远动系统</w:t>
            </w:r>
          </w:p>
        </w:tc>
        <w:tc>
          <w:tcPr>
            <w:tcW w:w="931" w:type="dxa"/>
            <w:noWrap w:val="0"/>
            <w:vAlign w:val="center"/>
          </w:tcPr>
          <w:p w14:paraId="18AC31DF">
            <w:pPr>
              <w:jc w:val="center"/>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项</w:t>
            </w:r>
          </w:p>
        </w:tc>
        <w:tc>
          <w:tcPr>
            <w:tcW w:w="1604" w:type="dxa"/>
            <w:noWrap w:val="0"/>
            <w:vAlign w:val="center"/>
          </w:tcPr>
          <w:p w14:paraId="759B2E92">
            <w:pPr>
              <w:keepNext w:val="0"/>
              <w:keepLines w:val="0"/>
              <w:widowControl/>
              <w:suppressLineNumbers w:val="0"/>
              <w:shd w:val="clear" w:color="auto" w:fill="auto"/>
              <w:jc w:val="center"/>
              <w:textAlignment w:val="center"/>
              <w:rPr>
                <w:rFonts w:hint="eastAsia" w:ascii="宋体" w:hAnsi="宋体" w:eastAsia="宋体" w:cs="宋体"/>
                <w:i w:val="0"/>
                <w:iCs w:val="0"/>
                <w:color w:val="auto"/>
                <w:kern w:val="0"/>
                <w:sz w:val="24"/>
                <w:szCs w:val="24"/>
                <w:highlight w:val="none"/>
                <w:u w:val="none"/>
                <w:lang w:val="en-GB" w:eastAsia="zh-CN" w:bidi="ar"/>
              </w:rPr>
            </w:pPr>
          </w:p>
        </w:tc>
        <w:tc>
          <w:tcPr>
            <w:tcW w:w="1251" w:type="dxa"/>
            <w:noWrap w:val="0"/>
            <w:vAlign w:val="center"/>
          </w:tcPr>
          <w:p w14:paraId="6983911A">
            <w:pPr>
              <w:rPr>
                <w:rFonts w:hint="eastAsia" w:asciiTheme="minorEastAsia" w:hAnsiTheme="minorEastAsia" w:eastAsiaTheme="minorEastAsia" w:cstheme="minorEastAsia"/>
                <w:i w:val="0"/>
                <w:iCs w:val="0"/>
                <w:color w:val="auto"/>
                <w:sz w:val="24"/>
                <w:szCs w:val="24"/>
                <w:highlight w:val="none"/>
                <w:lang w:val="en-GB"/>
              </w:rPr>
            </w:pPr>
          </w:p>
        </w:tc>
      </w:tr>
      <w:tr w14:paraId="5FC3E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755" w:type="dxa"/>
            <w:noWrap w:val="0"/>
            <w:vAlign w:val="center"/>
          </w:tcPr>
          <w:p w14:paraId="7F1D18ED">
            <w:pPr>
              <w:pStyle w:val="2"/>
              <w:jc w:val="center"/>
              <w:rPr>
                <w:rFonts w:hint="eastAsia" w:asciiTheme="minorEastAsia" w:hAnsiTheme="minorEastAsia" w:eastAsiaTheme="minorEastAsia" w:cstheme="minorEastAsia"/>
                <w:i w:val="0"/>
                <w:iCs w:val="0"/>
                <w:color w:val="auto"/>
                <w:sz w:val="24"/>
                <w:szCs w:val="24"/>
                <w:highlight w:val="none"/>
                <w:u w:val="single"/>
              </w:rPr>
            </w:pPr>
          </w:p>
        </w:tc>
        <w:tc>
          <w:tcPr>
            <w:tcW w:w="4314" w:type="dxa"/>
            <w:noWrap w:val="0"/>
            <w:vAlign w:val="center"/>
          </w:tcPr>
          <w:p w14:paraId="3E78EB73">
            <w:pPr>
              <w:keepNext w:val="0"/>
              <w:keepLines w:val="0"/>
              <w:widowControl/>
              <w:suppressLineNumbers w:val="0"/>
              <w:shd w:val="clear" w:color="auto" w:fill="auto"/>
              <w:jc w:val="left"/>
              <w:textAlignment w:val="center"/>
              <w:rPr>
                <w:rFonts w:hint="eastAsia" w:asciiTheme="minorEastAsia" w:hAnsiTheme="minorEastAsia" w:eastAsiaTheme="minorEastAsia" w:cstheme="minorEastAsia"/>
                <w:i w:val="0"/>
                <w:iCs w:val="0"/>
                <w:color w:val="auto"/>
                <w:sz w:val="24"/>
                <w:szCs w:val="24"/>
                <w:highlight w:val="none"/>
              </w:rPr>
            </w:pPr>
          </w:p>
        </w:tc>
        <w:tc>
          <w:tcPr>
            <w:tcW w:w="931" w:type="dxa"/>
            <w:noWrap w:val="0"/>
            <w:vAlign w:val="center"/>
          </w:tcPr>
          <w:p w14:paraId="2D7D805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rPr>
            </w:pPr>
          </w:p>
        </w:tc>
        <w:tc>
          <w:tcPr>
            <w:tcW w:w="1604" w:type="dxa"/>
            <w:noWrap w:val="0"/>
            <w:vAlign w:val="center"/>
          </w:tcPr>
          <w:p w14:paraId="59D34AF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auto"/>
                <w:sz w:val="24"/>
                <w:szCs w:val="24"/>
                <w:highlight w:val="none"/>
                <w:lang w:val="en-GB"/>
              </w:rPr>
            </w:pPr>
          </w:p>
        </w:tc>
        <w:tc>
          <w:tcPr>
            <w:tcW w:w="1251" w:type="dxa"/>
            <w:noWrap w:val="0"/>
            <w:vAlign w:val="center"/>
          </w:tcPr>
          <w:p w14:paraId="45A718C7">
            <w:pPr>
              <w:rPr>
                <w:rFonts w:hint="eastAsia" w:asciiTheme="minorEastAsia" w:hAnsiTheme="minorEastAsia" w:eastAsiaTheme="minorEastAsia" w:cstheme="minorEastAsia"/>
                <w:i w:val="0"/>
                <w:iCs w:val="0"/>
                <w:color w:val="auto"/>
                <w:sz w:val="24"/>
                <w:szCs w:val="24"/>
                <w:highlight w:val="none"/>
                <w:lang w:val="en-GB"/>
              </w:rPr>
            </w:pPr>
          </w:p>
        </w:tc>
      </w:tr>
      <w:tr w14:paraId="1B85A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855" w:type="dxa"/>
            <w:gridSpan w:val="5"/>
            <w:tcBorders>
              <w:right w:val="single" w:color="auto" w:sz="4" w:space="0"/>
            </w:tcBorders>
            <w:noWrap w:val="0"/>
            <w:vAlign w:val="top"/>
          </w:tcPr>
          <w:p w14:paraId="2195FF01">
            <w:pPr>
              <w:pStyle w:val="2"/>
              <w:ind w:firstLine="480" w:firstLineChars="200"/>
              <w:rPr>
                <w:rFonts w:hint="eastAsia" w:asciiTheme="minorEastAsia" w:hAnsiTheme="minorEastAsia" w:eastAsiaTheme="minorEastAsia" w:cstheme="minorEastAsia"/>
                <w:bCs/>
                <w:i w:val="0"/>
                <w:iCs w:val="0"/>
                <w:color w:val="auto"/>
                <w:sz w:val="24"/>
                <w:szCs w:val="24"/>
                <w:highlight w:val="none"/>
              </w:rPr>
            </w:pPr>
            <w:r>
              <w:rPr>
                <w:rFonts w:hint="eastAsia" w:asciiTheme="minorEastAsia" w:hAnsiTheme="minorEastAsia" w:eastAsiaTheme="minorEastAsia" w:cstheme="minorEastAsia"/>
                <w:bCs/>
                <w:i w:val="0"/>
                <w:iCs w:val="0"/>
                <w:color w:val="auto"/>
                <w:sz w:val="24"/>
                <w:szCs w:val="24"/>
                <w:highlight w:val="none"/>
              </w:rPr>
              <w:t>建设单位提供的材料价格参考《电力建设工程装置性材料预算价格（201</w:t>
            </w:r>
            <w:r>
              <w:rPr>
                <w:rFonts w:hint="eastAsia" w:asciiTheme="minorEastAsia" w:hAnsiTheme="minorEastAsia" w:eastAsiaTheme="minorEastAsia" w:cstheme="minorEastAsia"/>
                <w:bCs/>
                <w:i w:val="0"/>
                <w:iCs w:val="0"/>
                <w:color w:val="auto"/>
                <w:sz w:val="24"/>
                <w:szCs w:val="24"/>
                <w:highlight w:val="none"/>
                <w:lang w:val="en-US" w:eastAsia="zh-CN"/>
              </w:rPr>
              <w:t>8</w:t>
            </w:r>
            <w:r>
              <w:rPr>
                <w:rFonts w:hint="eastAsia" w:asciiTheme="minorEastAsia" w:hAnsiTheme="minorEastAsia" w:eastAsiaTheme="minorEastAsia" w:cstheme="minorEastAsia"/>
                <w:bCs/>
                <w:i w:val="0"/>
                <w:iCs w:val="0"/>
                <w:color w:val="auto"/>
                <w:sz w:val="24"/>
                <w:szCs w:val="24"/>
                <w:highlight w:val="none"/>
              </w:rPr>
              <w:t>年版）》执行，不足部分可参考使用《电力建设工程装置性材料综合预算价格（201</w:t>
            </w:r>
            <w:r>
              <w:rPr>
                <w:rFonts w:hint="eastAsia" w:asciiTheme="minorEastAsia" w:hAnsiTheme="minorEastAsia" w:eastAsiaTheme="minorEastAsia" w:cstheme="minorEastAsia"/>
                <w:bCs/>
                <w:i w:val="0"/>
                <w:iCs w:val="0"/>
                <w:color w:val="auto"/>
                <w:sz w:val="24"/>
                <w:szCs w:val="24"/>
                <w:highlight w:val="none"/>
                <w:lang w:val="en-US" w:eastAsia="zh-CN"/>
              </w:rPr>
              <w:t>8</w:t>
            </w:r>
            <w:r>
              <w:rPr>
                <w:rFonts w:hint="eastAsia" w:asciiTheme="minorEastAsia" w:hAnsiTheme="minorEastAsia" w:eastAsiaTheme="minorEastAsia" w:cstheme="minorEastAsia"/>
                <w:bCs/>
                <w:i w:val="0"/>
                <w:iCs w:val="0"/>
                <w:color w:val="auto"/>
                <w:sz w:val="24"/>
                <w:szCs w:val="24"/>
                <w:highlight w:val="none"/>
              </w:rPr>
              <w:t>年版）》。</w:t>
            </w:r>
          </w:p>
        </w:tc>
      </w:tr>
    </w:tbl>
    <w:p w14:paraId="5BACA669">
      <w:pPr>
        <w:pStyle w:val="4"/>
        <w:keepNext w:val="0"/>
        <w:keepLines w:val="0"/>
        <w:pageBreakBefore w:val="0"/>
        <w:widowControl w:val="0"/>
        <w:numPr>
          <w:ilvl w:val="0"/>
          <w:numId w:val="7"/>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特殊调试项目</w:t>
      </w:r>
    </w:p>
    <w:p w14:paraId="048450D3">
      <w:pPr>
        <w:autoSpaceDE w:val="0"/>
        <w:autoSpaceDN w:val="0"/>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特殊调试项目明细表</w:t>
      </w:r>
    </w:p>
    <w:tbl>
      <w:tblPr>
        <w:tblStyle w:val="12"/>
        <w:tblW w:w="8865" w:type="dxa"/>
        <w:tblInd w:w="-3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528"/>
        <w:gridCol w:w="1520"/>
      </w:tblGrid>
      <w:tr w14:paraId="7BCA3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17" w:type="dxa"/>
            <w:noWrap w:val="0"/>
            <w:vAlign w:val="center"/>
          </w:tcPr>
          <w:p w14:paraId="269535F8">
            <w:pPr>
              <w:autoSpaceDE w:val="0"/>
              <w:autoSpaceDN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序号</w:t>
            </w:r>
          </w:p>
        </w:tc>
        <w:tc>
          <w:tcPr>
            <w:tcW w:w="6528" w:type="dxa"/>
            <w:noWrap w:val="0"/>
            <w:vAlign w:val="center"/>
          </w:tcPr>
          <w:p w14:paraId="3D100F7E">
            <w:pPr>
              <w:autoSpaceDE w:val="0"/>
              <w:autoSpaceDN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特殊调试项目</w:t>
            </w:r>
          </w:p>
        </w:tc>
        <w:tc>
          <w:tcPr>
            <w:tcW w:w="1520" w:type="dxa"/>
            <w:noWrap w:val="0"/>
            <w:vAlign w:val="center"/>
          </w:tcPr>
          <w:p w14:paraId="130733C1">
            <w:pPr>
              <w:autoSpaceDE w:val="0"/>
              <w:autoSpaceDN w:val="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备注</w:t>
            </w:r>
          </w:p>
        </w:tc>
      </w:tr>
      <w:tr w14:paraId="48975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817" w:type="dxa"/>
            <w:noWrap w:val="0"/>
            <w:vAlign w:val="center"/>
          </w:tcPr>
          <w:p w14:paraId="3C52CBBF">
            <w:pPr>
              <w:jc w:val="center"/>
              <w:rPr>
                <w:rFonts w:hint="eastAsia" w:asciiTheme="minorEastAsia" w:hAnsiTheme="minorEastAsia" w:eastAsiaTheme="minorEastAsia" w:cstheme="minorEastAsia"/>
                <w:bCs/>
                <w:i w:val="0"/>
                <w:iCs w:val="0"/>
                <w:color w:val="auto"/>
                <w:kern w:val="0"/>
                <w:sz w:val="24"/>
                <w:szCs w:val="24"/>
                <w:highlight w:val="none"/>
                <w:lang w:val="en-US" w:eastAsia="zh-CN" w:bidi="ar-SA"/>
              </w:rPr>
            </w:pPr>
          </w:p>
        </w:tc>
        <w:tc>
          <w:tcPr>
            <w:tcW w:w="6528" w:type="dxa"/>
            <w:noWrap w:val="0"/>
            <w:vAlign w:val="center"/>
          </w:tcPr>
          <w:p w14:paraId="59AB51CE">
            <w:pPr>
              <w:pStyle w:val="23"/>
              <w:kinsoku w:val="0"/>
              <w:overflowPunct w:val="0"/>
              <w:adjustRightInd w:val="0"/>
              <w:snapToGrid w:val="0"/>
              <w:spacing w:before="51" w:line="360" w:lineRule="auto"/>
              <w:ind w:right="-3" w:rightChars="0"/>
              <w:contextualSpacing/>
              <w:jc w:val="left"/>
              <w:rPr>
                <w:rFonts w:hint="default" w:asciiTheme="minorEastAsia" w:hAnsiTheme="minorEastAsia" w:eastAsiaTheme="minorEastAsia" w:cstheme="minorEastAsia"/>
                <w:bCs/>
                <w:i w:val="0"/>
                <w:iCs w:val="0"/>
                <w:color w:val="auto"/>
                <w:kern w:val="0"/>
                <w:sz w:val="24"/>
                <w:szCs w:val="24"/>
                <w:highlight w:val="none"/>
                <w:lang w:val="en-US" w:eastAsia="zh-CN" w:bidi="ar-SA"/>
              </w:rPr>
            </w:pPr>
            <w:r>
              <w:rPr>
                <w:rFonts w:hint="eastAsia" w:asciiTheme="minorEastAsia" w:hAnsiTheme="minorEastAsia" w:eastAsiaTheme="minorEastAsia" w:cstheme="minorEastAsia"/>
                <w:bCs/>
                <w:i w:val="0"/>
                <w:iCs w:val="0"/>
                <w:color w:val="auto"/>
                <w:kern w:val="0"/>
                <w:sz w:val="24"/>
                <w:szCs w:val="24"/>
                <w:highlight w:val="none"/>
                <w:lang w:val="en-US" w:eastAsia="zh-CN" w:bidi="ar-SA"/>
              </w:rPr>
              <w:t>/</w:t>
            </w:r>
          </w:p>
        </w:tc>
        <w:tc>
          <w:tcPr>
            <w:tcW w:w="1520" w:type="dxa"/>
            <w:noWrap w:val="0"/>
            <w:vAlign w:val="center"/>
          </w:tcPr>
          <w:p w14:paraId="57D13F20">
            <w:pPr>
              <w:autoSpaceDE w:val="0"/>
              <w:autoSpaceDN w:val="0"/>
              <w:jc w:val="center"/>
              <w:rPr>
                <w:rFonts w:hint="eastAsia" w:asciiTheme="minorEastAsia" w:hAnsiTheme="minorEastAsia" w:eastAsiaTheme="minorEastAsia" w:cstheme="minorEastAsia"/>
                <w:color w:val="auto"/>
                <w:sz w:val="24"/>
                <w:szCs w:val="24"/>
                <w:highlight w:val="none"/>
                <w:lang w:val="en-US" w:eastAsia="zh-CN"/>
              </w:rPr>
            </w:pPr>
          </w:p>
        </w:tc>
      </w:tr>
    </w:tbl>
    <w:p w14:paraId="0300D657">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asciiTheme="minorEastAsia" w:hAnsiTheme="minorEastAsia" w:eastAsiaTheme="minorEastAsia" w:cstheme="minorEastAsia"/>
          <w:color w:val="auto"/>
          <w:sz w:val="24"/>
          <w:szCs w:val="24"/>
          <w:highlight w:val="none"/>
          <w:lang w:val="en-US" w:eastAsia="zh-CN"/>
        </w:rPr>
      </w:pPr>
    </w:p>
    <w:p w14:paraId="3862B268">
      <w:pPr>
        <w:pStyle w:val="4"/>
        <w:keepNext w:val="0"/>
        <w:keepLines w:val="0"/>
        <w:pageBreakBefore w:val="0"/>
        <w:numPr>
          <w:ilvl w:val="0"/>
          <w:numId w:val="8"/>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全面开展标准建设清单</w:t>
      </w:r>
    </w:p>
    <w:tbl>
      <w:tblPr>
        <w:tblStyle w:val="12"/>
        <w:tblW w:w="8866" w:type="dxa"/>
        <w:tblInd w:w="-3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
        <w:gridCol w:w="2302"/>
        <w:gridCol w:w="2420"/>
        <w:gridCol w:w="1552"/>
        <w:gridCol w:w="1552"/>
      </w:tblGrid>
      <w:tr w14:paraId="5230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040" w:type="dxa"/>
            <w:noWrap w:val="0"/>
            <w:vAlign w:val="center"/>
          </w:tcPr>
          <w:p w14:paraId="12ADF762">
            <w:pPr>
              <w:autoSpaceDE w:val="0"/>
              <w:autoSpaceDN w:val="0"/>
              <w:jc w:val="center"/>
              <w:rPr>
                <w:rFonts w:hint="eastAsia" w:ascii="宋体" w:hAnsi="宋体"/>
                <w:color w:val="auto"/>
                <w:szCs w:val="21"/>
                <w:highlight w:val="none"/>
              </w:rPr>
            </w:pPr>
            <w:r>
              <w:rPr>
                <w:rFonts w:hint="eastAsia" w:ascii="宋体" w:hAnsi="宋体"/>
                <w:color w:val="auto"/>
                <w:szCs w:val="21"/>
                <w:highlight w:val="none"/>
              </w:rPr>
              <w:t>序号</w:t>
            </w:r>
          </w:p>
        </w:tc>
        <w:tc>
          <w:tcPr>
            <w:tcW w:w="2302" w:type="dxa"/>
            <w:noWrap w:val="0"/>
            <w:vAlign w:val="center"/>
          </w:tcPr>
          <w:p w14:paraId="18105889">
            <w:pPr>
              <w:autoSpaceDE w:val="0"/>
              <w:autoSpaceDN w:val="0"/>
              <w:jc w:val="center"/>
              <w:rPr>
                <w:rFonts w:hint="eastAsia" w:ascii="宋体" w:hAnsi="宋体"/>
                <w:color w:val="auto"/>
                <w:szCs w:val="21"/>
                <w:highlight w:val="none"/>
              </w:rPr>
            </w:pPr>
            <w:r>
              <w:rPr>
                <w:rFonts w:hint="eastAsia" w:ascii="宋体" w:hAnsi="宋体"/>
                <w:color w:val="auto"/>
                <w:szCs w:val="21"/>
                <w:highlight w:val="none"/>
              </w:rPr>
              <w:t>标准点</w:t>
            </w:r>
          </w:p>
        </w:tc>
        <w:tc>
          <w:tcPr>
            <w:tcW w:w="2420" w:type="dxa"/>
            <w:noWrap w:val="0"/>
            <w:vAlign w:val="center"/>
          </w:tcPr>
          <w:p w14:paraId="3CD93023">
            <w:pPr>
              <w:autoSpaceDE w:val="0"/>
              <w:autoSpaceDN w:val="0"/>
              <w:jc w:val="center"/>
              <w:rPr>
                <w:rFonts w:hint="eastAsia" w:ascii="宋体" w:hAnsi="宋体"/>
                <w:color w:val="auto"/>
                <w:szCs w:val="21"/>
                <w:highlight w:val="none"/>
              </w:rPr>
            </w:pPr>
            <w:r>
              <w:rPr>
                <w:rFonts w:hint="eastAsia" w:ascii="宋体" w:hAnsi="宋体"/>
                <w:color w:val="auto"/>
                <w:szCs w:val="21"/>
                <w:highlight w:val="none"/>
              </w:rPr>
              <w:t>部位</w:t>
            </w:r>
          </w:p>
        </w:tc>
        <w:tc>
          <w:tcPr>
            <w:tcW w:w="1552" w:type="dxa"/>
            <w:noWrap w:val="0"/>
            <w:vAlign w:val="center"/>
          </w:tcPr>
          <w:p w14:paraId="03CD6628">
            <w:pPr>
              <w:autoSpaceDE w:val="0"/>
              <w:autoSpaceDN w:val="0"/>
              <w:jc w:val="center"/>
              <w:rPr>
                <w:rFonts w:hint="eastAsia" w:ascii="宋体" w:hAnsi="宋体"/>
                <w:color w:val="auto"/>
                <w:szCs w:val="21"/>
                <w:highlight w:val="none"/>
              </w:rPr>
            </w:pPr>
            <w:r>
              <w:rPr>
                <w:rFonts w:hint="eastAsia" w:ascii="宋体" w:hAnsi="宋体"/>
                <w:color w:val="auto"/>
                <w:szCs w:val="21"/>
                <w:highlight w:val="none"/>
              </w:rPr>
              <w:t>作法</w:t>
            </w:r>
          </w:p>
        </w:tc>
        <w:tc>
          <w:tcPr>
            <w:tcW w:w="1552" w:type="dxa"/>
            <w:noWrap w:val="0"/>
            <w:vAlign w:val="center"/>
          </w:tcPr>
          <w:p w14:paraId="53928F55">
            <w:pPr>
              <w:autoSpaceDE w:val="0"/>
              <w:autoSpaceDN w:val="0"/>
              <w:jc w:val="center"/>
              <w:rPr>
                <w:rFonts w:hint="eastAsia" w:ascii="宋体" w:hAnsi="宋体"/>
                <w:color w:val="auto"/>
                <w:szCs w:val="21"/>
                <w:highlight w:val="none"/>
              </w:rPr>
            </w:pPr>
            <w:r>
              <w:rPr>
                <w:rFonts w:hint="eastAsia" w:ascii="宋体" w:hAnsi="宋体"/>
                <w:color w:val="auto"/>
                <w:szCs w:val="21"/>
                <w:highlight w:val="none"/>
              </w:rPr>
              <w:t>备注</w:t>
            </w:r>
          </w:p>
        </w:tc>
      </w:tr>
      <w:tr w14:paraId="63F8A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040" w:type="dxa"/>
            <w:noWrap w:val="0"/>
            <w:vAlign w:val="center"/>
          </w:tcPr>
          <w:p w14:paraId="1412521C">
            <w:pPr>
              <w:autoSpaceDE w:val="0"/>
              <w:autoSpaceDN w:val="0"/>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c>
          <w:tcPr>
            <w:tcW w:w="2302" w:type="dxa"/>
            <w:noWrap w:val="0"/>
            <w:vAlign w:val="center"/>
          </w:tcPr>
          <w:p w14:paraId="1B77B4F2">
            <w:pPr>
              <w:autoSpaceDE w:val="0"/>
              <w:autoSpaceDN w:val="0"/>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c>
          <w:tcPr>
            <w:tcW w:w="2420" w:type="dxa"/>
            <w:noWrap w:val="0"/>
            <w:vAlign w:val="center"/>
          </w:tcPr>
          <w:p w14:paraId="12CC338C">
            <w:pPr>
              <w:autoSpaceDE w:val="0"/>
              <w:autoSpaceDN w:val="0"/>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c>
          <w:tcPr>
            <w:tcW w:w="1552" w:type="dxa"/>
            <w:noWrap w:val="0"/>
            <w:vAlign w:val="center"/>
          </w:tcPr>
          <w:p w14:paraId="6BF80E74">
            <w:pPr>
              <w:autoSpaceDE w:val="0"/>
              <w:autoSpaceDN w:val="0"/>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c>
          <w:tcPr>
            <w:tcW w:w="1552" w:type="dxa"/>
            <w:noWrap w:val="0"/>
            <w:vAlign w:val="center"/>
          </w:tcPr>
          <w:p w14:paraId="22BEB935">
            <w:pPr>
              <w:autoSpaceDE w:val="0"/>
              <w:autoSpaceDN w:val="0"/>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w:t>
            </w:r>
          </w:p>
        </w:tc>
      </w:tr>
    </w:tbl>
    <w:p w14:paraId="239147BE">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color w:val="auto"/>
          <w:highlight w:val="none"/>
          <w:lang w:val="en-US" w:eastAsia="zh-CN"/>
        </w:rPr>
      </w:pPr>
    </w:p>
    <w:p w14:paraId="091984A3">
      <w:pPr>
        <w:pStyle w:val="4"/>
        <w:keepNext w:val="0"/>
        <w:keepLines w:val="0"/>
        <w:pageBreakBefore w:val="0"/>
        <w:numPr>
          <w:ilvl w:val="0"/>
          <w:numId w:val="8"/>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施工力量及机具配置要求</w:t>
      </w:r>
    </w:p>
    <w:tbl>
      <w:tblPr>
        <w:tblStyle w:val="12"/>
        <w:tblW w:w="8927" w:type="dxa"/>
        <w:tblInd w:w="-43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52"/>
        <w:gridCol w:w="2255"/>
        <w:gridCol w:w="652"/>
        <w:gridCol w:w="2100"/>
        <w:gridCol w:w="2968"/>
      </w:tblGrid>
      <w:tr w14:paraId="5419B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40" w:hRule="atLeast"/>
        </w:trPr>
        <w:tc>
          <w:tcPr>
            <w:tcW w:w="8927" w:type="dxa"/>
            <w:gridSpan w:val="5"/>
            <w:tcBorders>
              <w:top w:val="nil"/>
              <w:left w:val="nil"/>
              <w:bottom w:val="nil"/>
              <w:right w:val="nil"/>
            </w:tcBorders>
            <w:shd w:val="clear" w:color="auto" w:fill="auto"/>
            <w:tcMar>
              <w:top w:w="15" w:type="dxa"/>
              <w:left w:w="15" w:type="dxa"/>
              <w:right w:w="15" w:type="dxa"/>
            </w:tcMar>
            <w:vAlign w:val="center"/>
          </w:tcPr>
          <w:p w14:paraId="008DE6F4">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 xml:space="preserve">    投标人的人员投入及配置机具应符合</w:t>
            </w:r>
            <w:r>
              <w:rPr>
                <w:rFonts w:hint="eastAsia" w:hAnsi="宋体"/>
                <w:b w:val="0"/>
                <w:bCs w:val="0"/>
                <w:color w:val="auto"/>
                <w:sz w:val="24"/>
                <w:szCs w:val="24"/>
                <w:highlight w:val="none"/>
                <w:u w:val="none"/>
                <w:lang w:val="en-US" w:eastAsia="zh-CN"/>
              </w:rPr>
              <w:t>广东电网有限责任公司</w:t>
            </w:r>
            <w:r>
              <w:rPr>
                <w:rFonts w:hint="eastAsia" w:ascii="宋体" w:hAnsi="宋体" w:eastAsia="宋体" w:cs="宋体"/>
                <w:i w:val="0"/>
                <w:color w:val="auto"/>
                <w:kern w:val="0"/>
                <w:sz w:val="24"/>
                <w:szCs w:val="24"/>
                <w:highlight w:val="none"/>
                <w:u w:val="none"/>
                <w:lang w:val="en-US" w:eastAsia="zh-CN" w:bidi="ar"/>
              </w:rPr>
              <w:t>《关于印发广东电网有限责任公司施工承包商“三基”工程建设工作指引的通知》（广电建〔2020〕35号）的要求，具体配置应不低于以下标准：</w:t>
            </w:r>
          </w:p>
        </w:tc>
      </w:tr>
      <w:tr w14:paraId="7A412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927" w:type="dxa"/>
            <w:gridSpan w:val="5"/>
            <w:tcBorders>
              <w:top w:val="nil"/>
              <w:left w:val="nil"/>
              <w:bottom w:val="nil"/>
              <w:right w:val="nil"/>
            </w:tcBorders>
            <w:shd w:val="clear" w:color="auto" w:fill="auto"/>
            <w:noWrap/>
            <w:tcMar>
              <w:top w:w="15" w:type="dxa"/>
              <w:left w:w="15" w:type="dxa"/>
              <w:right w:w="15" w:type="dxa"/>
            </w:tcMar>
            <w:vAlign w:val="center"/>
          </w:tcPr>
          <w:p w14:paraId="26EC5F39">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（一）施工力量配置要求</w:t>
            </w:r>
          </w:p>
        </w:tc>
      </w:tr>
      <w:tr w14:paraId="3E78C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927" w:type="dxa"/>
            <w:gridSpan w:val="5"/>
            <w:tcBorders>
              <w:top w:val="nil"/>
              <w:left w:val="nil"/>
              <w:bottom w:val="nil"/>
              <w:right w:val="nil"/>
            </w:tcBorders>
            <w:shd w:val="clear" w:color="auto" w:fill="auto"/>
            <w:noWrap/>
            <w:tcMar>
              <w:top w:w="15" w:type="dxa"/>
              <w:left w:w="15" w:type="dxa"/>
              <w:right w:w="15" w:type="dxa"/>
            </w:tcMar>
            <w:vAlign w:val="center"/>
          </w:tcPr>
          <w:p w14:paraId="3601808C">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（1）项目管理人员</w:t>
            </w:r>
          </w:p>
        </w:tc>
      </w:tr>
      <w:tr w14:paraId="7703E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511691">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序号</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48731">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岗位（工种）</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CEDE6">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人员数量</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BF9B3">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兼项与否</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28111">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备注说明</w:t>
            </w:r>
          </w:p>
        </w:tc>
      </w:tr>
      <w:tr w14:paraId="05C31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24B21">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F2E41">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项目经理</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131D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E97B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不可兼项</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11301">
            <w:pPr>
              <w:keepNext w:val="0"/>
              <w:keepLines w:val="0"/>
              <w:widowControl/>
              <w:suppressLineNumbers w:val="0"/>
              <w:jc w:val="both"/>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输变电工程可配置</w:t>
            </w:r>
            <w:r>
              <w:rPr>
                <w:rFonts w:ascii="Calibri" w:hAnsi="Calibri" w:eastAsia="宋体" w:cs="Calibri"/>
                <w:i w:val="0"/>
                <w:color w:val="auto"/>
                <w:kern w:val="0"/>
                <w:sz w:val="24"/>
                <w:szCs w:val="24"/>
                <w:highlight w:val="none"/>
                <w:u w:val="none"/>
                <w:lang w:val="en-US" w:eastAsia="zh-CN" w:bidi="ar"/>
              </w:rPr>
              <w:t>1-2</w:t>
            </w:r>
            <w:r>
              <w:rPr>
                <w:rFonts w:hint="eastAsia" w:ascii="宋体" w:hAnsi="宋体" w:eastAsia="宋体" w:cs="宋体"/>
                <w:i w:val="0"/>
                <w:color w:val="auto"/>
                <w:kern w:val="0"/>
                <w:sz w:val="24"/>
                <w:szCs w:val="24"/>
                <w:highlight w:val="none"/>
                <w:u w:val="none"/>
                <w:lang w:val="en-US" w:eastAsia="zh-CN" w:bidi="ar"/>
              </w:rPr>
              <w:t>名副经理，专门负责土建工程或线路工程</w:t>
            </w:r>
          </w:p>
        </w:tc>
      </w:tr>
      <w:tr w14:paraId="09B89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72D1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2BA2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项目总工（技术负责人）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B05CC">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A87B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不可兼项</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E117F">
            <w:pPr>
              <w:keepNext w:val="0"/>
              <w:keepLines w:val="0"/>
              <w:widowControl/>
              <w:suppressLineNumbers w:val="0"/>
              <w:jc w:val="both"/>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输变电工程可配置</w:t>
            </w:r>
            <w:r>
              <w:rPr>
                <w:rFonts w:ascii="Calibri" w:hAnsi="Calibri" w:eastAsia="宋体" w:cs="Calibri"/>
                <w:i w:val="0"/>
                <w:color w:val="auto"/>
                <w:kern w:val="0"/>
                <w:sz w:val="24"/>
                <w:szCs w:val="24"/>
                <w:highlight w:val="none"/>
                <w:u w:val="none"/>
                <w:lang w:val="en-US" w:eastAsia="zh-CN" w:bidi="ar"/>
              </w:rPr>
              <w:t>1-2</w:t>
            </w:r>
            <w:r>
              <w:rPr>
                <w:rFonts w:hint="eastAsia" w:ascii="宋体" w:hAnsi="宋体" w:eastAsia="宋体" w:cs="宋体"/>
                <w:i w:val="0"/>
                <w:color w:val="auto"/>
                <w:kern w:val="0"/>
                <w:sz w:val="24"/>
                <w:szCs w:val="24"/>
                <w:highlight w:val="none"/>
                <w:u w:val="none"/>
                <w:lang w:val="en-US" w:eastAsia="zh-CN" w:bidi="ar"/>
              </w:rPr>
              <w:t>名副总工或技术员，专门负责土建工程或线路工程</w:t>
            </w:r>
          </w:p>
        </w:tc>
      </w:tr>
      <w:tr w14:paraId="19338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4"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0F289">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769B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质检员</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1CB2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0325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项目内可兼项</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40029">
            <w:pPr>
              <w:jc w:val="both"/>
              <w:rPr>
                <w:rFonts w:hint="default" w:ascii="Calibri" w:hAnsi="Calibri" w:eastAsia="宋体" w:cs="Calibri"/>
                <w:i w:val="0"/>
                <w:color w:val="auto"/>
                <w:sz w:val="24"/>
                <w:szCs w:val="24"/>
                <w:highlight w:val="none"/>
                <w:u w:val="none"/>
              </w:rPr>
            </w:pPr>
          </w:p>
        </w:tc>
      </w:tr>
      <w:tr w14:paraId="73B93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7C623">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4</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EAFA1">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安全员</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73E13">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9545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项目内可兼项</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9227E">
            <w:pPr>
              <w:jc w:val="both"/>
              <w:rPr>
                <w:rFonts w:hint="default" w:ascii="Calibri" w:hAnsi="Calibri" w:eastAsia="宋体" w:cs="Calibri"/>
                <w:i w:val="0"/>
                <w:color w:val="auto"/>
                <w:sz w:val="24"/>
                <w:szCs w:val="24"/>
                <w:highlight w:val="none"/>
                <w:u w:val="none"/>
              </w:rPr>
            </w:pPr>
          </w:p>
        </w:tc>
      </w:tr>
      <w:tr w14:paraId="5FA08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66F5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5</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93CB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机具管理员</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F6BC7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7E48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同一地区可适度兼项</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17075">
            <w:pPr>
              <w:jc w:val="both"/>
              <w:rPr>
                <w:rFonts w:hint="default" w:ascii="Calibri" w:hAnsi="Calibri" w:eastAsia="宋体" w:cs="Calibri"/>
                <w:i w:val="0"/>
                <w:color w:val="auto"/>
                <w:sz w:val="24"/>
                <w:szCs w:val="24"/>
                <w:highlight w:val="none"/>
                <w:u w:val="none"/>
              </w:rPr>
            </w:pPr>
          </w:p>
        </w:tc>
      </w:tr>
      <w:tr w14:paraId="2391F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39A2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6</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3DFF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材料员</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067D9">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9946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同一地区可适度兼项、可项目内兼项</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97887">
            <w:pPr>
              <w:jc w:val="both"/>
              <w:rPr>
                <w:rFonts w:hint="default" w:ascii="Calibri" w:hAnsi="Calibri" w:eastAsia="宋体" w:cs="Calibri"/>
                <w:i w:val="0"/>
                <w:color w:val="auto"/>
                <w:sz w:val="24"/>
                <w:szCs w:val="24"/>
                <w:highlight w:val="none"/>
                <w:u w:val="none"/>
              </w:rPr>
            </w:pPr>
          </w:p>
        </w:tc>
      </w:tr>
      <w:tr w14:paraId="380AC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3121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7</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D28B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资料员</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08E4C">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0213C">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可兼项</w:t>
            </w:r>
          </w:p>
        </w:tc>
        <w:tc>
          <w:tcPr>
            <w:tcW w:w="29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2D85EE">
            <w:pPr>
              <w:rPr>
                <w:rFonts w:hint="eastAsia" w:ascii="宋体" w:hAnsi="宋体" w:eastAsia="宋体" w:cs="宋体"/>
                <w:i w:val="0"/>
                <w:color w:val="auto"/>
                <w:sz w:val="24"/>
                <w:szCs w:val="24"/>
                <w:highlight w:val="none"/>
                <w:u w:val="none"/>
              </w:rPr>
            </w:pPr>
          </w:p>
        </w:tc>
      </w:tr>
      <w:tr w14:paraId="54FBF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927" w:type="dxa"/>
            <w:gridSpan w:val="5"/>
            <w:tcBorders>
              <w:top w:val="nil"/>
              <w:left w:val="nil"/>
              <w:bottom w:val="nil"/>
              <w:right w:val="nil"/>
            </w:tcBorders>
            <w:shd w:val="clear" w:color="auto" w:fill="auto"/>
            <w:noWrap/>
            <w:tcMar>
              <w:top w:w="15" w:type="dxa"/>
              <w:left w:w="15" w:type="dxa"/>
              <w:right w:w="15" w:type="dxa"/>
            </w:tcMar>
            <w:vAlign w:val="center"/>
          </w:tcPr>
          <w:p w14:paraId="05135985">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（2）班组及技术工人</w:t>
            </w:r>
          </w:p>
        </w:tc>
      </w:tr>
      <w:tr w14:paraId="1E3B2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6BB03">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序号</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22B2F">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类型</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89D45">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班组数量</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94518">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本项目自有人员数量要求</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B2C71">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工种配置</w:t>
            </w:r>
          </w:p>
        </w:tc>
      </w:tr>
      <w:tr w14:paraId="2530A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B4874">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06EFF">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变电工程</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D35FF">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5</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AE9FA">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34</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4AF3C">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高压电工、焊接与切割、高处作业、起重与司索、导线压接及普工、继电保护、低压电工、焊接与切割、起重与司索及普工、高压试验、高处作业及普工等</w:t>
            </w:r>
          </w:p>
        </w:tc>
      </w:tr>
      <w:tr w14:paraId="3C74E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8C8D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21679">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线路工程</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96B1D">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5</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F2D0F">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16</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4A5C2">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高处作业、起重与司索、绞磨机操作及普工、张力机操作、牵引机操作、液压、测量、高处作业、起重与司索、绞磨操作、及普工等</w:t>
            </w:r>
          </w:p>
        </w:tc>
      </w:tr>
      <w:tr w14:paraId="210D6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927" w:type="dxa"/>
            <w:gridSpan w:val="5"/>
            <w:tcBorders>
              <w:top w:val="nil"/>
              <w:left w:val="nil"/>
              <w:bottom w:val="nil"/>
              <w:right w:val="nil"/>
            </w:tcBorders>
            <w:shd w:val="clear" w:color="auto" w:fill="auto"/>
            <w:noWrap/>
            <w:tcMar>
              <w:top w:w="15" w:type="dxa"/>
              <w:left w:w="15" w:type="dxa"/>
              <w:right w:w="15" w:type="dxa"/>
            </w:tcMar>
            <w:vAlign w:val="center"/>
          </w:tcPr>
          <w:p w14:paraId="1DC483F5">
            <w:pPr>
              <w:keepNext w:val="0"/>
              <w:keepLines w:val="0"/>
              <w:widowControl/>
              <w:suppressLineNumbers w:val="0"/>
              <w:jc w:val="left"/>
              <w:textAlignment w:val="center"/>
              <w:rPr>
                <w:rFonts w:hint="eastAsia" w:ascii="宋体" w:hAnsi="宋体" w:eastAsia="宋体" w:cs="宋体"/>
                <w:b/>
                <w:bCs/>
                <w:i w:val="0"/>
                <w:color w:val="auto"/>
                <w:sz w:val="24"/>
                <w:szCs w:val="24"/>
                <w:highlight w:val="none"/>
                <w:u w:val="none"/>
              </w:rPr>
            </w:pPr>
            <w:r>
              <w:rPr>
                <w:rFonts w:hint="eastAsia" w:ascii="宋体" w:hAnsi="宋体" w:eastAsia="宋体" w:cs="宋体"/>
                <w:b/>
                <w:bCs/>
                <w:i w:val="0"/>
                <w:color w:val="auto"/>
                <w:kern w:val="0"/>
                <w:sz w:val="24"/>
                <w:szCs w:val="24"/>
                <w:highlight w:val="none"/>
                <w:u w:val="none"/>
                <w:lang w:val="en-US" w:eastAsia="zh-CN" w:bidi="ar"/>
              </w:rPr>
              <w:t>（二）施工机具配置要求</w:t>
            </w:r>
          </w:p>
        </w:tc>
      </w:tr>
      <w:tr w14:paraId="7C407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927" w:type="dxa"/>
            <w:gridSpan w:val="5"/>
            <w:tcBorders>
              <w:top w:val="nil"/>
              <w:left w:val="nil"/>
              <w:bottom w:val="nil"/>
              <w:right w:val="nil"/>
            </w:tcBorders>
            <w:shd w:val="clear" w:color="auto" w:fill="auto"/>
            <w:noWrap/>
            <w:tcMar>
              <w:top w:w="15" w:type="dxa"/>
              <w:left w:w="15" w:type="dxa"/>
              <w:right w:w="15" w:type="dxa"/>
            </w:tcMar>
            <w:vAlign w:val="center"/>
          </w:tcPr>
          <w:p w14:paraId="6B21C1F7">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（1）变电站工程（按项目配置，且不含试验）</w:t>
            </w:r>
          </w:p>
        </w:tc>
      </w:tr>
      <w:tr w14:paraId="1512A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927" w:type="dxa"/>
            <w:gridSpan w:val="5"/>
            <w:tcBorders>
              <w:top w:val="nil"/>
              <w:left w:val="nil"/>
              <w:bottom w:val="nil"/>
              <w:right w:val="nil"/>
            </w:tcBorders>
            <w:shd w:val="clear" w:color="auto" w:fill="auto"/>
            <w:noWrap/>
            <w:tcMar>
              <w:top w:w="15" w:type="dxa"/>
              <w:left w:w="15" w:type="dxa"/>
              <w:right w:w="15" w:type="dxa"/>
            </w:tcMar>
            <w:vAlign w:val="center"/>
          </w:tcPr>
          <w:p w14:paraId="6D11829F">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①电气安装</w:t>
            </w:r>
          </w:p>
        </w:tc>
      </w:tr>
      <w:tr w14:paraId="4AFB2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882E9">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序号</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78B3E">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机具名称</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93E29">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单位</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6885B">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本项目数量要求</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79F38">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lang w:val="en-US" w:eastAsia="zh-CN"/>
              </w:rPr>
            </w:pPr>
            <w:r>
              <w:rPr>
                <w:rFonts w:hint="eastAsia" w:ascii="宋体" w:hAnsi="宋体" w:eastAsia="宋体" w:cs="宋体"/>
                <w:b/>
                <w:i w:val="0"/>
                <w:color w:val="auto"/>
                <w:kern w:val="0"/>
                <w:sz w:val="24"/>
                <w:szCs w:val="24"/>
                <w:highlight w:val="none"/>
                <w:u w:val="none"/>
                <w:lang w:val="en-US" w:eastAsia="zh-CN" w:bidi="ar"/>
              </w:rPr>
              <w:t>标记项需提供该设备/工器具的购买或租赁时间不少于投标截止日前三个月的有效证明</w:t>
            </w:r>
            <w:r>
              <w:rPr>
                <w:rFonts w:hint="eastAsia"/>
                <w:color w:val="auto"/>
                <w:highlight w:val="none"/>
                <w:lang w:val="en-US" w:eastAsia="zh-CN"/>
              </w:rPr>
              <w:t>材料</w:t>
            </w:r>
          </w:p>
        </w:tc>
      </w:tr>
      <w:tr w14:paraId="55113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2127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073A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真空滤油机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B9F8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3A0CB">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69601">
            <w:pPr>
              <w:keepNext w:val="0"/>
              <w:keepLines w:val="0"/>
              <w:widowControl/>
              <w:suppressLineNumbers w:val="0"/>
              <w:jc w:val="center"/>
              <w:textAlignment w:val="center"/>
              <w:rPr>
                <w:rFonts w:hint="default" w:ascii="宋体" w:hAnsi="宋体" w:eastAsia="宋体" w:cs="宋体"/>
                <w:i w:val="0"/>
                <w:color w:val="auto"/>
                <w:sz w:val="24"/>
                <w:szCs w:val="24"/>
                <w:highlight w:val="none"/>
                <w:u w:val="none"/>
                <w:lang w:val="en-US" w:eastAsia="zh-CN"/>
              </w:rPr>
            </w:pPr>
            <w:r>
              <w:rPr>
                <w:rFonts w:hint="eastAsia" w:ascii="宋体" w:hAnsi="宋体" w:cs="宋体"/>
                <w:i w:val="0"/>
                <w:color w:val="auto"/>
                <w:sz w:val="24"/>
                <w:szCs w:val="24"/>
                <w:highlight w:val="none"/>
                <w:u w:val="none"/>
                <w:lang w:val="en-US" w:eastAsia="zh-CN"/>
              </w:rPr>
              <w:t>/</w:t>
            </w:r>
          </w:p>
        </w:tc>
      </w:tr>
      <w:tr w14:paraId="77AD5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0E41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D3E2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真空抽气机组</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8443A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F03D0">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9C0BC">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4A71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7D99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36527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干燥空气发生器</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53732">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63B13">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D870D">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5491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9089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4</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6D184">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烘箱</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41FF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EA0EA">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B230F">
            <w:pPr>
              <w:jc w:val="center"/>
              <w:rPr>
                <w:rFonts w:hint="eastAsia" w:ascii="宋体" w:hAnsi="宋体" w:eastAsia="宋体" w:cs="宋体"/>
                <w:i w:val="0"/>
                <w:color w:val="auto"/>
                <w:sz w:val="24"/>
                <w:szCs w:val="24"/>
                <w:highlight w:val="none"/>
                <w:u w:val="none"/>
                <w:lang w:val="en-US" w:eastAsia="zh-CN"/>
              </w:rPr>
            </w:pPr>
            <w:r>
              <w:rPr>
                <w:rFonts w:hint="eastAsia" w:ascii="宋体" w:hAnsi="宋体" w:cs="宋体"/>
                <w:i w:val="0"/>
                <w:color w:val="auto"/>
                <w:sz w:val="24"/>
                <w:szCs w:val="24"/>
                <w:highlight w:val="none"/>
                <w:u w:val="none"/>
                <w:lang w:val="en-US" w:eastAsia="zh-CN"/>
              </w:rPr>
              <w:t>/</w:t>
            </w:r>
          </w:p>
        </w:tc>
      </w:tr>
      <w:tr w14:paraId="7AC13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C7243">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5</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877CD">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真空泵</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6825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08536">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0D13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1095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98D7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6</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BB54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SF6气体回收处理装置</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0031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D4554">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05572">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F9BF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A1B9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7</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239E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交流氩弧焊机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AF09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52CD2">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48E5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DC57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D21F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8</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C6C19">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电动坡口机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93EE9">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822B4">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FE3D6">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A5E9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DA120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9</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1C50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合金切割机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4DDD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E65C3">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DEA9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2D7D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405CD">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10</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4A33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电动绞磨</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35E6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F8850">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5A818">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EB09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CEC1D">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11</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0F64C">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导线液压压接机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140B1">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F2B54">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6F86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DC36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01B4D">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12</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730D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液压电缆支架</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7944D">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151AB">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C4C72">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26F8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B50B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13</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1FCF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砂轮切割机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3F7DD">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4B351">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CCB8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D59F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00BE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14</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16164">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台式钻床</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BAAB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3BA4B">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A9CEA">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F364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C4591">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15</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941D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电冲剪</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EF04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35ABA">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775E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40B3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624B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16</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81BB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冲孔机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B92A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53210">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CC330">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C746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11F8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17</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7026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弯排机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32132">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5224A">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11A22">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71C6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4208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18</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F8F0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弯管机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783F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BB5D3">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C443F">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DBE1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E4D6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19</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F671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蓄电池放电试验装置</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1ED9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10372">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9FA3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1C60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66763">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20</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7748C">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蓄电池内阻测量仪</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B678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C21FD">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490DE">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6356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9EF32">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21</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E9D83">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电焊机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A50BC">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6930A">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4F614">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7228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E8002">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22</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B3ED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液压叉车</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54119">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F3BD5">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BE669">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ABAF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92BC3">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23</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FC44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吊车</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282B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辆</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663F2">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E94F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D142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8AF2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24</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5159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绝缘电阻表</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54EE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只</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BE0B8">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EA256">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457F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EBFED">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25</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CF1C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数字真空计</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0BC2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72BBE">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26C9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C449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607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26</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D8854">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经纬仪</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DFD8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85A6E">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B4D08">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84B6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67102">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27</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C200C">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全站仪</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5A0AC">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E43CD">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1958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D7AB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1A3D4">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28</w:t>
            </w:r>
          </w:p>
        </w:tc>
        <w:tc>
          <w:tcPr>
            <w:tcW w:w="225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6106299">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SF</w:t>
            </w:r>
            <w:r>
              <w:rPr>
                <w:rFonts w:hint="eastAsia" w:ascii="宋体" w:hAnsi="宋体" w:eastAsia="宋体" w:cs="宋体"/>
                <w:i w:val="0"/>
                <w:color w:val="auto"/>
                <w:kern w:val="0"/>
                <w:sz w:val="24"/>
                <w:szCs w:val="24"/>
                <w:highlight w:val="none"/>
                <w:u w:val="none"/>
                <w:vertAlign w:val="subscript"/>
                <w:lang w:val="en-US" w:eastAsia="zh-CN" w:bidi="ar"/>
              </w:rPr>
              <w:t>6</w:t>
            </w:r>
            <w:r>
              <w:rPr>
                <w:rFonts w:hint="eastAsia" w:ascii="宋体" w:hAnsi="宋体" w:eastAsia="宋体" w:cs="宋体"/>
                <w:i w:val="0"/>
                <w:color w:val="auto"/>
                <w:kern w:val="0"/>
                <w:sz w:val="24"/>
                <w:szCs w:val="24"/>
                <w:highlight w:val="none"/>
                <w:u w:val="none"/>
                <w:lang w:val="en-US" w:eastAsia="zh-CN" w:bidi="ar"/>
              </w:rPr>
              <w:t>气体检漏仪</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B92C3">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2ADC2">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688B9">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4B45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4DDD9">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29</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F4DD9">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视频监控摄像头（移动式</w:t>
            </w:r>
            <w:r>
              <w:rPr>
                <w:rFonts w:hint="eastAsia" w:ascii="宋体" w:hAnsi="宋体" w:cs="宋体"/>
                <w:i w:val="0"/>
                <w:color w:val="auto"/>
                <w:kern w:val="0"/>
                <w:sz w:val="24"/>
                <w:szCs w:val="24"/>
                <w:highlight w:val="none"/>
                <w:u w:val="none"/>
                <w:lang w:val="en-US" w:eastAsia="zh-CN" w:bidi="ar"/>
              </w:rPr>
              <w:t>、</w:t>
            </w:r>
            <w:r>
              <w:rPr>
                <w:rFonts w:hint="default" w:ascii="宋体" w:hAnsi="宋体" w:eastAsia="宋体" w:cs="宋体"/>
                <w:i w:val="0"/>
                <w:color w:val="auto"/>
                <w:kern w:val="0"/>
                <w:sz w:val="24"/>
                <w:szCs w:val="24"/>
                <w:highlight w:val="none"/>
                <w:u w:val="none"/>
                <w:lang w:val="en-US" w:eastAsia="zh-CN" w:bidi="ar"/>
              </w:rPr>
              <w:t>满足视频监控接入技术要求</w:t>
            </w:r>
            <w:r>
              <w:rPr>
                <w:rFonts w:hint="eastAsia" w:ascii="宋体" w:hAnsi="宋体" w:eastAsia="宋体" w:cs="宋体"/>
                <w:i w:val="0"/>
                <w:color w:val="auto"/>
                <w:kern w:val="0"/>
                <w:sz w:val="24"/>
                <w:szCs w:val="24"/>
                <w:highlight w:val="none"/>
                <w:u w:val="none"/>
                <w:lang w:val="en-US" w:eastAsia="zh-CN" w:bidi="ar"/>
              </w:rPr>
              <w:t>）</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F545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896A6">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4</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D6A9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5572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927" w:type="dxa"/>
            <w:gridSpan w:val="5"/>
            <w:tcBorders>
              <w:top w:val="nil"/>
              <w:left w:val="nil"/>
              <w:bottom w:val="nil"/>
              <w:right w:val="nil"/>
            </w:tcBorders>
            <w:shd w:val="clear" w:color="auto" w:fill="auto"/>
            <w:noWrap/>
            <w:tcMar>
              <w:top w:w="15" w:type="dxa"/>
              <w:left w:w="15" w:type="dxa"/>
              <w:right w:w="15" w:type="dxa"/>
            </w:tcMar>
            <w:vAlign w:val="center"/>
          </w:tcPr>
          <w:p w14:paraId="210E652F">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②土建（不含桩基、隧道）</w:t>
            </w:r>
          </w:p>
        </w:tc>
      </w:tr>
      <w:tr w14:paraId="2FBDA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96C8A">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序号</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4AA37">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设备名称</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AA1AA">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单位</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DA426">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数量</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D0C8A">
            <w:pPr>
              <w:keepNext w:val="0"/>
              <w:keepLines w:val="0"/>
              <w:widowControl/>
              <w:suppressLineNumbers w:val="0"/>
              <w:jc w:val="center"/>
              <w:textAlignment w:val="center"/>
              <w:rPr>
                <w:rFonts w:hint="eastAsia" w:ascii="宋体" w:hAnsi="宋体" w:eastAsia="宋体" w:cs="宋体"/>
                <w:b/>
                <w:i w:val="0"/>
                <w:color w:val="auto"/>
                <w:kern w:val="2"/>
                <w:sz w:val="24"/>
                <w:szCs w:val="24"/>
                <w:highlight w:val="none"/>
                <w:u w:val="none"/>
                <w:lang w:val="en-US" w:eastAsia="zh-CN" w:bidi="ar-SA"/>
              </w:rPr>
            </w:pPr>
            <w:r>
              <w:rPr>
                <w:rFonts w:hint="eastAsia" w:ascii="宋体" w:hAnsi="宋体" w:eastAsia="宋体" w:cs="宋体"/>
                <w:b/>
                <w:i w:val="0"/>
                <w:color w:val="auto"/>
                <w:kern w:val="0"/>
                <w:sz w:val="24"/>
                <w:szCs w:val="24"/>
                <w:highlight w:val="none"/>
                <w:u w:val="none"/>
                <w:lang w:val="en-US" w:eastAsia="zh-CN" w:bidi="ar"/>
              </w:rPr>
              <w:t>标记项需提供该设备/工器具的购买或租赁时间不少于投标截止日前三个月的有效证明</w:t>
            </w:r>
            <w:r>
              <w:rPr>
                <w:rFonts w:hint="eastAsia"/>
                <w:color w:val="auto"/>
                <w:highlight w:val="none"/>
                <w:lang w:val="en-US" w:eastAsia="zh-CN"/>
              </w:rPr>
              <w:t>材料</w:t>
            </w:r>
          </w:p>
        </w:tc>
      </w:tr>
      <w:tr w14:paraId="54EAE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D198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75644">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挖土机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9C99C">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2E3DD">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EF337">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145C0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5D74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D1772">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装载机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0644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E265F">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789F6">
            <w:pPr>
              <w:jc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49462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B748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BAFE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压路机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7B06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02C7A">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18972">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4B40C2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FC24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4</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BC69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机动翻斗车</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7FDA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C6CFB">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7AAE3">
            <w:pPr>
              <w:jc w:val="center"/>
              <w:rPr>
                <w:rFonts w:hint="default"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6197C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CF34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5</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4C903">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电焊机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D9E9D">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D7300">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1811C">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153C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E058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6</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AAB9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气割设备</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BDFF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8E094">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05BDB">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62AF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E19D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7</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1C97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搅拌机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3F5A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D28BB">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41BAD">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3D89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8D0E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8</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FDDDC">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砂浆机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4159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27471">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83512">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D2B5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FA74D">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9</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2867C">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钢筋弯曲机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72B7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74C9E">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20AED">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F582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BB2D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10</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B0B81">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钢筋调直机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1FFF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DC32F">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C45DE">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9ED5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23123">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11</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5F61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钢筋切断机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A90D2">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EC2C9">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2E14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B647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0946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12</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E877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直螺纹机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E4FBC">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45503">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70851">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64B3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5C23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13</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B4AF3">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台式圆盘锯</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B64F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26203">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464C4">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415A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38E1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14</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C4BC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砂轮切割机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13B1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1AF27">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1150A">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A188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06E8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15</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D915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马路切割机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8A4E1">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69B5C7">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E717D">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BD40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0E27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16</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9C6B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马路切纹机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7724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E058D">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60A6B">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4FD9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7946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17</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2EFF6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路面磨光机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218B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74CCB">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9F40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D8F2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BAD8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18</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A7031">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蛙式打夯机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D9F9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BAEDB">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26ED2">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E610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148D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19</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DB3F2">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抽水泵</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5393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CC303">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4ACD1">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84AB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60C9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20</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AE6D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振捣棒、振捣器</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1446C2">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F140C">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00161">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9773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00D6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21</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632D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经纬仪</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FF4DC">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7CBE7">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FEE9D">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1BC7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8993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22</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E1443">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全站仪</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20A44">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123B1">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BC30F2">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49DF2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927" w:type="dxa"/>
            <w:gridSpan w:val="5"/>
            <w:tcBorders>
              <w:top w:val="nil"/>
              <w:left w:val="nil"/>
              <w:bottom w:val="nil"/>
              <w:right w:val="nil"/>
            </w:tcBorders>
            <w:shd w:val="clear" w:color="auto" w:fill="auto"/>
            <w:noWrap/>
            <w:tcMar>
              <w:top w:w="15" w:type="dxa"/>
              <w:left w:w="15" w:type="dxa"/>
              <w:right w:w="15" w:type="dxa"/>
            </w:tcMar>
            <w:vAlign w:val="center"/>
          </w:tcPr>
          <w:p w14:paraId="3D25AF61">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（2）线路工程（按班组配置）</w:t>
            </w:r>
          </w:p>
        </w:tc>
      </w:tr>
      <w:tr w14:paraId="3BDF2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927" w:type="dxa"/>
            <w:gridSpan w:val="5"/>
            <w:tcBorders>
              <w:top w:val="nil"/>
              <w:left w:val="nil"/>
              <w:bottom w:val="nil"/>
              <w:right w:val="nil"/>
            </w:tcBorders>
            <w:shd w:val="clear" w:color="auto" w:fill="auto"/>
            <w:noWrap/>
            <w:tcMar>
              <w:top w:w="15" w:type="dxa"/>
              <w:left w:w="15" w:type="dxa"/>
              <w:right w:w="15" w:type="dxa"/>
            </w:tcMar>
            <w:vAlign w:val="center"/>
          </w:tcPr>
          <w:p w14:paraId="2A3CB01A">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①架空线路</w:t>
            </w:r>
          </w:p>
        </w:tc>
      </w:tr>
      <w:tr w14:paraId="630FA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31D09">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序号</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454D2">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工具名称</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AA769">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单位</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F89228">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数量</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35AA8">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lang w:val="en-US" w:eastAsia="zh-CN"/>
              </w:rPr>
            </w:pPr>
            <w:r>
              <w:rPr>
                <w:rFonts w:hint="eastAsia" w:ascii="宋体" w:hAnsi="宋体" w:eastAsia="宋体" w:cs="宋体"/>
                <w:b/>
                <w:i w:val="0"/>
                <w:color w:val="auto"/>
                <w:kern w:val="0"/>
                <w:sz w:val="24"/>
                <w:szCs w:val="24"/>
                <w:highlight w:val="none"/>
                <w:u w:val="none"/>
                <w:lang w:val="en-US" w:eastAsia="zh-CN" w:bidi="ar"/>
              </w:rPr>
              <w:t>标记项需提供该设备/工器具的购买或租赁时间不少于投标截止日前三个月的有效证明</w:t>
            </w:r>
            <w:r>
              <w:rPr>
                <w:rFonts w:hint="eastAsia"/>
                <w:color w:val="auto"/>
                <w:highlight w:val="none"/>
                <w:lang w:val="en-US" w:eastAsia="zh-CN"/>
              </w:rPr>
              <w:t>材料</w:t>
            </w:r>
          </w:p>
        </w:tc>
      </w:tr>
      <w:tr w14:paraId="6E67E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92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3943C">
            <w:pPr>
              <w:keepNext w:val="0"/>
              <w:keepLines w:val="0"/>
              <w:widowControl/>
              <w:suppressLineNumbers w:val="0"/>
              <w:jc w:val="left"/>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立塔</w:t>
            </w:r>
          </w:p>
        </w:tc>
      </w:tr>
      <w:tr w14:paraId="313B8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FC701">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F4DE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抱杆</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AF76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5F2C3">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8DB0D">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7809A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E0439">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D6F01">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机动绞磨</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B1DE2">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D75A2">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38A43">
            <w:pPr>
              <w:jc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3AF23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EFDE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636D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起重滑车</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F4E8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个</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787CA">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8</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A52C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FDB6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62C1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4</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8A59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手板链条葫芦</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9469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个</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0882C">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4</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5F052">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2BD4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D23F3">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5</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8B1C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圆钢丝绳卡线器</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5ACF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把</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6D081">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5</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09844">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1697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54303">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6</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AF909">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钢丝绳制动器</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31E29">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个</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DEB5A">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5</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1A3C0">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BC4D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B0DA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7</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BFB1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自锁器</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A453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付</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C4139">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6D75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3C01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8C939">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8</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9AFA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速差器</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D1AC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个</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87193">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7030B">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15CED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C6342">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9</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DA139">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吊车</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7B4F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辆</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02666">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100C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FD42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F043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10</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B512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经纬仪/全站仪</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31AA9">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DADE4">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0A84D">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684C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5B62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11</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B9C91">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视频监控摄像头（移动式</w:t>
            </w:r>
            <w:r>
              <w:rPr>
                <w:rFonts w:hint="eastAsia" w:ascii="宋体" w:hAnsi="宋体" w:cs="宋体"/>
                <w:i w:val="0"/>
                <w:color w:val="auto"/>
                <w:kern w:val="0"/>
                <w:sz w:val="24"/>
                <w:szCs w:val="24"/>
                <w:highlight w:val="none"/>
                <w:u w:val="none"/>
                <w:lang w:val="en-US" w:eastAsia="zh-CN" w:bidi="ar"/>
              </w:rPr>
              <w:t>、</w:t>
            </w:r>
            <w:r>
              <w:rPr>
                <w:rFonts w:hint="default" w:ascii="宋体" w:hAnsi="宋体" w:eastAsia="宋体" w:cs="宋体"/>
                <w:i w:val="0"/>
                <w:color w:val="auto"/>
                <w:kern w:val="0"/>
                <w:sz w:val="24"/>
                <w:szCs w:val="24"/>
                <w:highlight w:val="none"/>
                <w:u w:val="none"/>
                <w:lang w:val="en-US" w:eastAsia="zh-CN" w:bidi="ar"/>
              </w:rPr>
              <w:t>满足视频监控接入技术要求</w:t>
            </w:r>
            <w:r>
              <w:rPr>
                <w:rFonts w:hint="eastAsia" w:ascii="宋体" w:hAnsi="宋体" w:eastAsia="宋体" w:cs="宋体"/>
                <w:i w:val="0"/>
                <w:color w:val="auto"/>
                <w:kern w:val="0"/>
                <w:sz w:val="24"/>
                <w:szCs w:val="24"/>
                <w:highlight w:val="none"/>
                <w:u w:val="none"/>
                <w:lang w:val="en-US" w:eastAsia="zh-CN" w:bidi="ar"/>
              </w:rPr>
              <w:t>）</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9A661">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204D7">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0032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5373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92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485AF">
            <w:pPr>
              <w:keepNext w:val="0"/>
              <w:keepLines w:val="0"/>
              <w:widowControl/>
              <w:suppressLineNumbers w:val="0"/>
              <w:jc w:val="left"/>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架线</w:t>
            </w:r>
          </w:p>
        </w:tc>
      </w:tr>
      <w:tr w14:paraId="39F27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4222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5413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大牵机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07872">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DCE4E">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6F9E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AD07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FB29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91481">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大张机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6863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CA6B3">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494FC">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0A69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90E2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CA6C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小牵机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27AF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8248D">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400A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13AC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8F6C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4</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F8D2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小张机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6664D">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59A68">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40F7A7">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C898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55C0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5</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7978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各类连接器</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3FEC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个</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3E30F">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30</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5FDD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631A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EFEE4">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6</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E8624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各类滑车</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835D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个</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31B8A">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30</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009EA">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6706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3044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7</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6462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各类卡线器</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1354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把</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B655E">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30</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A3AA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81AF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7362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8</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B06B4">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压接机（含泵站）</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DC9B9">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FAEBE">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10</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299C9">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4E80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1A5B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9</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8C0F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手板链条葫芦</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D46D4">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个</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51036">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30</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148B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2C112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6335D">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10</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A0739">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高处作业压接吊笼</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5947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3B695">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10</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A70AB">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889B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F7701">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11</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87CC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出线飞车</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D6D4D">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5C8F3">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2E412">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41E8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987D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12</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9585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机动绞磨</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EEB3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660F9">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617D3">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9097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65B9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13</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CB23C">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自锁器</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6DAD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付</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CC9DD">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DF9C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05E4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62D0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14</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F0AC1">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经纬仪/全站仪</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93AE2">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4FCA5">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73AC1">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9657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F18F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15</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A9F2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通信设备</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46E5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批</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F8BD2">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1373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3975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786F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16</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0C1F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吊车</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A362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辆</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6EF7E">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5B961">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3F63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AF41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17</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D9D1D">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视频监控摄像头（移动式</w:t>
            </w:r>
            <w:r>
              <w:rPr>
                <w:rFonts w:hint="eastAsia" w:ascii="宋体" w:hAnsi="宋体" w:cs="宋体"/>
                <w:i w:val="0"/>
                <w:color w:val="auto"/>
                <w:kern w:val="0"/>
                <w:sz w:val="24"/>
                <w:szCs w:val="24"/>
                <w:highlight w:val="none"/>
                <w:u w:val="none"/>
                <w:lang w:val="en-US" w:eastAsia="zh-CN" w:bidi="ar"/>
              </w:rPr>
              <w:t>、</w:t>
            </w:r>
            <w:r>
              <w:rPr>
                <w:rFonts w:hint="default" w:ascii="宋体" w:hAnsi="宋体" w:eastAsia="宋体" w:cs="宋体"/>
                <w:i w:val="0"/>
                <w:color w:val="auto"/>
                <w:kern w:val="0"/>
                <w:sz w:val="24"/>
                <w:szCs w:val="24"/>
                <w:highlight w:val="none"/>
                <w:u w:val="none"/>
                <w:lang w:val="en-US" w:eastAsia="zh-CN" w:bidi="ar"/>
              </w:rPr>
              <w:t>满足视频监控接入技术要求</w:t>
            </w:r>
            <w:r>
              <w:rPr>
                <w:rFonts w:hint="eastAsia" w:ascii="宋体" w:hAnsi="宋体" w:eastAsia="宋体" w:cs="宋体"/>
                <w:i w:val="0"/>
                <w:color w:val="auto"/>
                <w:kern w:val="0"/>
                <w:sz w:val="24"/>
                <w:szCs w:val="24"/>
                <w:highlight w:val="none"/>
                <w:u w:val="none"/>
                <w:lang w:val="en-US" w:eastAsia="zh-CN" w:bidi="ar"/>
              </w:rPr>
              <w:t>）</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BADE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B3AD3">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C495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8CA9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927" w:type="dxa"/>
            <w:gridSpan w:val="5"/>
            <w:tcBorders>
              <w:top w:val="nil"/>
              <w:left w:val="nil"/>
              <w:bottom w:val="nil"/>
              <w:right w:val="nil"/>
            </w:tcBorders>
            <w:shd w:val="clear" w:color="auto" w:fill="auto"/>
            <w:noWrap/>
            <w:tcMar>
              <w:top w:w="15" w:type="dxa"/>
              <w:left w:w="15" w:type="dxa"/>
              <w:right w:w="15" w:type="dxa"/>
            </w:tcMar>
            <w:vAlign w:val="center"/>
          </w:tcPr>
          <w:p w14:paraId="2755D15C">
            <w:pPr>
              <w:keepNext w:val="0"/>
              <w:keepLines w:val="0"/>
              <w:widowControl/>
              <w:suppressLineNumbers w:val="0"/>
              <w:jc w:val="left"/>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②电缆敷设及附件安装</w:t>
            </w:r>
          </w:p>
        </w:tc>
      </w:tr>
      <w:tr w14:paraId="71CEB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3CFB7">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序号</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596FB">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名称</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A2A92">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单位</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A0059">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rPr>
            </w:pPr>
            <w:r>
              <w:rPr>
                <w:rFonts w:hint="eastAsia" w:ascii="宋体" w:hAnsi="宋体" w:eastAsia="宋体" w:cs="宋体"/>
                <w:b/>
                <w:i w:val="0"/>
                <w:color w:val="auto"/>
                <w:kern w:val="0"/>
                <w:sz w:val="24"/>
                <w:szCs w:val="24"/>
                <w:highlight w:val="none"/>
                <w:u w:val="none"/>
                <w:lang w:val="en-US" w:eastAsia="zh-CN" w:bidi="ar"/>
              </w:rPr>
              <w:t>数量</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B21F9">
            <w:pPr>
              <w:keepNext w:val="0"/>
              <w:keepLines w:val="0"/>
              <w:widowControl/>
              <w:suppressLineNumbers w:val="0"/>
              <w:jc w:val="center"/>
              <w:textAlignment w:val="center"/>
              <w:rPr>
                <w:rFonts w:hint="eastAsia" w:ascii="宋体" w:hAnsi="宋体" w:eastAsia="宋体" w:cs="宋体"/>
                <w:b/>
                <w:i w:val="0"/>
                <w:color w:val="auto"/>
                <w:sz w:val="24"/>
                <w:szCs w:val="24"/>
                <w:highlight w:val="none"/>
                <w:u w:val="none"/>
                <w:lang w:val="en-US" w:eastAsia="zh-CN"/>
              </w:rPr>
            </w:pPr>
            <w:r>
              <w:rPr>
                <w:rFonts w:hint="eastAsia" w:ascii="宋体" w:hAnsi="宋体" w:eastAsia="宋体" w:cs="宋体"/>
                <w:b/>
                <w:i w:val="0"/>
                <w:color w:val="auto"/>
                <w:kern w:val="0"/>
                <w:sz w:val="24"/>
                <w:szCs w:val="24"/>
                <w:highlight w:val="none"/>
                <w:u w:val="none"/>
                <w:lang w:val="en-US" w:eastAsia="zh-CN" w:bidi="ar"/>
              </w:rPr>
              <w:t>标记项需提供该设备/工器具的购买或租赁时间不少于投标截止日前三个月的有效证明</w:t>
            </w:r>
            <w:r>
              <w:rPr>
                <w:rFonts w:hint="eastAsia"/>
                <w:color w:val="auto"/>
                <w:highlight w:val="none"/>
                <w:lang w:val="en-US" w:eastAsia="zh-CN"/>
              </w:rPr>
              <w:t>材料</w:t>
            </w:r>
          </w:p>
        </w:tc>
      </w:tr>
      <w:tr w14:paraId="366CA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333E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C5DD2">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吊车</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6AB94">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4B86F">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65AFC">
            <w:pPr>
              <w:keepNext w:val="0"/>
              <w:keepLines w:val="0"/>
              <w:widowControl/>
              <w:suppressLineNumbers w:val="0"/>
              <w:jc w:val="center"/>
              <w:textAlignment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26E9A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FE3F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2</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25C7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拉力计</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3BAE9">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个</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236DF">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F3B45">
            <w:pPr>
              <w:jc w:val="center"/>
              <w:rPr>
                <w:rFonts w:hint="eastAsia" w:ascii="宋体" w:hAnsi="宋体" w:eastAsia="宋体" w:cs="宋体"/>
                <w:i w:val="0"/>
                <w:color w:val="auto"/>
                <w:kern w:val="2"/>
                <w:sz w:val="24"/>
                <w:szCs w:val="24"/>
                <w:highlight w:val="none"/>
                <w:u w:val="none"/>
                <w:lang w:val="en-US" w:eastAsia="zh-CN" w:bidi="ar-SA"/>
              </w:rPr>
            </w:pPr>
            <w:r>
              <w:rPr>
                <w:rFonts w:hint="eastAsia" w:ascii="宋体" w:hAnsi="宋体" w:cs="宋体"/>
                <w:i w:val="0"/>
                <w:color w:val="auto"/>
                <w:sz w:val="24"/>
                <w:szCs w:val="24"/>
                <w:highlight w:val="none"/>
                <w:u w:val="none"/>
                <w:lang w:val="en-US" w:eastAsia="zh-CN"/>
              </w:rPr>
              <w:t>/</w:t>
            </w:r>
          </w:p>
        </w:tc>
      </w:tr>
      <w:tr w14:paraId="5D5D9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05B3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3</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2865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电缆放线架（千斤顶）</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FE2C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个</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D265B">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F414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6716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39C4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4</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D041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牵引工具</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9B91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6C14A">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22A36">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698D9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3803A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5</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C2CA1">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机动绞磨</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2282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28601">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A0D3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395C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C023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6</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F4379">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电缆输送机（含总控箱、分控箱）</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025A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8D2FC">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6</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56ECD">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3B39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FE7A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7</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0A9E1">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电缆校直机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5588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FC5DA">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D1D6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B9DC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ACBCD">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8</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D5A5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电动液压泵</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4F28D">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21B84">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320D7">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1E22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28F83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9</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84C5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超高压液压钳</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3F112">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C26EE">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4C1C8">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C901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B1FD4">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10</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FC43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电动锯</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A6A03">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把</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4155A">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F657C">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03A4E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6F87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11</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E673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电缆加温机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28FC2">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套</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CE7DC">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F56E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01FF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8DB8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12</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77073">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环形电锯</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1DDF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把</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F1FD9">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E5369">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4AAC2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F38F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13</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C3401">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电动打磨沙带机</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BC532">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93D96">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C7549">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CF68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04EFC">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14</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59434">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链条扳手</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18A8A">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把</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A1F51">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9F58F">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38001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A68B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15</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BBDBF">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手板葫芦、链条葫芦</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BE746">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D9CF1">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2</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C9264">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57A91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3951E">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16</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8BC33">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绝缘电阻表</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A0769">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51A4E">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42978">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76DDF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27E85">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17</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68E20">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通信设备</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03563">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批</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B4731">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739B3">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r w14:paraId="1AFE4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4556B">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18</w:t>
            </w:r>
          </w:p>
        </w:tc>
        <w:tc>
          <w:tcPr>
            <w:tcW w:w="22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E0197">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视频监控摄像头（移动式</w:t>
            </w:r>
            <w:r>
              <w:rPr>
                <w:rFonts w:hint="eastAsia" w:ascii="宋体" w:hAnsi="宋体" w:cs="宋体"/>
                <w:i w:val="0"/>
                <w:color w:val="auto"/>
                <w:kern w:val="0"/>
                <w:sz w:val="24"/>
                <w:szCs w:val="24"/>
                <w:highlight w:val="none"/>
                <w:u w:val="none"/>
                <w:lang w:val="en-US" w:eastAsia="zh-CN" w:bidi="ar"/>
              </w:rPr>
              <w:t>、</w:t>
            </w:r>
            <w:r>
              <w:rPr>
                <w:rFonts w:hint="default" w:ascii="宋体" w:hAnsi="宋体" w:eastAsia="宋体" w:cs="宋体"/>
                <w:i w:val="0"/>
                <w:color w:val="auto"/>
                <w:kern w:val="0"/>
                <w:sz w:val="24"/>
                <w:szCs w:val="24"/>
                <w:highlight w:val="none"/>
                <w:u w:val="none"/>
                <w:lang w:val="en-US" w:eastAsia="zh-CN" w:bidi="ar"/>
              </w:rPr>
              <w:t>满足视频监控接入技术要求</w:t>
            </w:r>
            <w:r>
              <w:rPr>
                <w:rFonts w:hint="eastAsia" w:ascii="宋体" w:hAnsi="宋体" w:eastAsia="宋体" w:cs="宋体"/>
                <w:i w:val="0"/>
                <w:color w:val="auto"/>
                <w:kern w:val="0"/>
                <w:sz w:val="24"/>
                <w:szCs w:val="24"/>
                <w:highlight w:val="none"/>
                <w:u w:val="none"/>
                <w:lang w:val="en-US" w:eastAsia="zh-CN" w:bidi="ar"/>
              </w:rPr>
              <w:t>）</w:t>
            </w:r>
          </w:p>
        </w:tc>
        <w:tc>
          <w:tcPr>
            <w:tcW w:w="6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49B61">
            <w:pPr>
              <w:keepNext w:val="0"/>
              <w:keepLines w:val="0"/>
              <w:widowControl/>
              <w:suppressLineNumbers w:val="0"/>
              <w:jc w:val="center"/>
              <w:textAlignment w:val="center"/>
              <w:rPr>
                <w:rFonts w:hint="eastAsia" w:ascii="宋体" w:hAnsi="宋体" w:eastAsia="宋体" w:cs="宋体"/>
                <w:i w:val="0"/>
                <w:color w:val="auto"/>
                <w:sz w:val="24"/>
                <w:szCs w:val="24"/>
                <w:highlight w:val="none"/>
                <w:u w:val="none"/>
              </w:rPr>
            </w:pPr>
            <w:r>
              <w:rPr>
                <w:rFonts w:hint="eastAsia" w:ascii="宋体" w:hAnsi="宋体" w:eastAsia="宋体" w:cs="宋体"/>
                <w:i w:val="0"/>
                <w:color w:val="auto"/>
                <w:kern w:val="0"/>
                <w:sz w:val="24"/>
                <w:szCs w:val="24"/>
                <w:highlight w:val="none"/>
                <w:u w:val="none"/>
                <w:lang w:val="en-US" w:eastAsia="zh-CN" w:bidi="ar"/>
              </w:rPr>
              <w:t>台</w:t>
            </w:r>
          </w:p>
        </w:tc>
        <w:tc>
          <w:tcPr>
            <w:tcW w:w="21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2BED9">
            <w:pPr>
              <w:keepNext w:val="0"/>
              <w:keepLines w:val="0"/>
              <w:widowControl/>
              <w:suppressLineNumbers w:val="0"/>
              <w:jc w:val="center"/>
              <w:textAlignment w:val="center"/>
              <w:rPr>
                <w:rFonts w:hint="eastAsia" w:ascii="宋体" w:hAnsi="宋体" w:eastAsia="宋体" w:cs="宋体"/>
                <w:i w:val="0"/>
                <w:color w:val="auto"/>
                <w:sz w:val="24"/>
                <w:szCs w:val="24"/>
                <w:highlight w:val="none"/>
                <w:u w:val="single"/>
              </w:rPr>
            </w:pPr>
            <w:r>
              <w:rPr>
                <w:rFonts w:hint="eastAsia" w:ascii="宋体" w:hAnsi="宋体" w:eastAsia="宋体" w:cs="宋体"/>
                <w:i w:val="0"/>
                <w:color w:val="auto"/>
                <w:kern w:val="0"/>
                <w:sz w:val="24"/>
                <w:szCs w:val="24"/>
                <w:highlight w:val="none"/>
                <w:u w:val="single"/>
                <w:lang w:val="en-US" w:eastAsia="zh-CN" w:bidi="ar"/>
              </w:rPr>
              <w:t>1</w:t>
            </w:r>
          </w:p>
        </w:tc>
        <w:tc>
          <w:tcPr>
            <w:tcW w:w="29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82CFA">
            <w:pPr>
              <w:jc w:val="center"/>
              <w:rPr>
                <w:rFonts w:hint="eastAsia" w:ascii="宋体" w:hAnsi="宋体" w:eastAsia="宋体" w:cs="宋体"/>
                <w:i w:val="0"/>
                <w:color w:val="auto"/>
                <w:sz w:val="24"/>
                <w:szCs w:val="24"/>
                <w:highlight w:val="none"/>
                <w:u w:val="none"/>
              </w:rPr>
            </w:pPr>
            <w:r>
              <w:rPr>
                <w:rFonts w:hint="eastAsia" w:ascii="宋体" w:hAnsi="宋体" w:cs="宋体"/>
                <w:i w:val="0"/>
                <w:color w:val="auto"/>
                <w:sz w:val="24"/>
                <w:szCs w:val="24"/>
                <w:highlight w:val="none"/>
                <w:u w:val="none"/>
                <w:lang w:val="en-US" w:eastAsia="zh-CN"/>
              </w:rPr>
              <w:t>/</w:t>
            </w:r>
          </w:p>
        </w:tc>
      </w:tr>
    </w:tbl>
    <w:p w14:paraId="22D0B304">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BCFC9A"/>
    <w:multiLevelType w:val="singleLevel"/>
    <w:tmpl w:val="BDBCFC9A"/>
    <w:lvl w:ilvl="0" w:tentative="0">
      <w:start w:val="6"/>
      <w:numFmt w:val="chineseCounting"/>
      <w:suff w:val="nothing"/>
      <w:lvlText w:val="%1、"/>
      <w:lvlJc w:val="left"/>
      <w:rPr>
        <w:rFonts w:hint="eastAsia"/>
      </w:rPr>
    </w:lvl>
  </w:abstractNum>
  <w:abstractNum w:abstractNumId="1">
    <w:nsid w:val="BEBFC879"/>
    <w:multiLevelType w:val="singleLevel"/>
    <w:tmpl w:val="BEBFC879"/>
    <w:lvl w:ilvl="0" w:tentative="0">
      <w:start w:val="6"/>
      <w:numFmt w:val="chineseCounting"/>
      <w:suff w:val="nothing"/>
      <w:lvlText w:val="%1、"/>
      <w:lvlJc w:val="left"/>
      <w:rPr>
        <w:rFonts w:hint="eastAsia"/>
      </w:rPr>
    </w:lvl>
  </w:abstractNum>
  <w:abstractNum w:abstractNumId="2">
    <w:nsid w:val="D6CD7849"/>
    <w:multiLevelType w:val="singleLevel"/>
    <w:tmpl w:val="D6CD7849"/>
    <w:lvl w:ilvl="0" w:tentative="0">
      <w:start w:val="1"/>
      <w:numFmt w:val="decimal"/>
      <w:suff w:val="nothing"/>
      <w:lvlText w:val="（%1）"/>
      <w:lvlJc w:val="left"/>
    </w:lvl>
  </w:abstractNum>
  <w:abstractNum w:abstractNumId="3">
    <w:nsid w:val="EAEE20F8"/>
    <w:multiLevelType w:val="singleLevel"/>
    <w:tmpl w:val="EAEE20F8"/>
    <w:lvl w:ilvl="0" w:tentative="0">
      <w:start w:val="2"/>
      <w:numFmt w:val="chineseCounting"/>
      <w:suff w:val="nothing"/>
      <w:lvlText w:val="第%1部分."/>
      <w:lvlJc w:val="left"/>
      <w:rPr>
        <w:rFonts w:hint="eastAsia"/>
      </w:rPr>
    </w:lvl>
  </w:abstractNum>
  <w:abstractNum w:abstractNumId="4">
    <w:nsid w:val="EDA2813B"/>
    <w:multiLevelType w:val="multilevel"/>
    <w:tmpl w:val="EDA2813B"/>
    <w:lvl w:ilvl="0" w:tentative="0">
      <w:start w:val="1"/>
      <w:numFmt w:val="decimal"/>
      <w:lvlText w:val="%1"/>
      <w:lvlJc w:val="left"/>
      <w:pPr>
        <w:ind w:left="432" w:hanging="432"/>
      </w:pPr>
      <w:rPr>
        <w:rFonts w:hint="eastAsia" w:ascii="Times New Roman" w:hAnsi="Times New Roman" w:cs="Times New Roman"/>
        <w:b w:val="0"/>
        <w:i w:val="0"/>
        <w:iCs w:val="0"/>
        <w:caps w:val="0"/>
        <w:smallCaps w:val="0"/>
        <w:strike w:val="0"/>
        <w:dstrike w:val="0"/>
        <w:vanish w:val="0"/>
        <w:spacing w:val="0"/>
        <w:position w:val="0"/>
        <w:u w:val="none"/>
        <w:vertAlign w:val="baseline"/>
      </w:rPr>
    </w:lvl>
    <w:lvl w:ilvl="1" w:tentative="0">
      <w:start w:val="1"/>
      <w:numFmt w:val="decimal"/>
      <w:lvlText w:val="%1.%2 "/>
      <w:lvlJc w:val="left"/>
      <w:pPr>
        <w:ind w:left="576" w:hanging="576"/>
      </w:pPr>
      <w:rPr>
        <w:rFonts w:hint="eastAsia" w:ascii="Times New Roman" w:hAnsi="Times New Roman" w:cs="Times New Roman"/>
        <w:b/>
        <w:i w:val="0"/>
        <w:iCs w:val="0"/>
        <w:caps w:val="0"/>
        <w:smallCaps w:val="0"/>
        <w:strike w:val="0"/>
        <w:dstrike w:val="0"/>
        <w:vanish w:val="0"/>
        <w:spacing w:val="0"/>
        <w:kern w:val="0"/>
        <w:position w:val="0"/>
        <w:u w:val="none"/>
        <w:vertAlign w:val="baseline"/>
      </w:rPr>
    </w:lvl>
    <w:lvl w:ilvl="2" w:tentative="0">
      <w:start w:val="1"/>
      <w:numFmt w:val="decimal"/>
      <w:lvlText w:val="%1.%2.%3 "/>
      <w:lvlJc w:val="left"/>
      <w:pPr>
        <w:ind w:left="1440" w:hanging="1440"/>
      </w:pPr>
      <w:rPr>
        <w:rFonts w:hint="default" w:ascii="Times New Roman" w:hAnsi="Times New Roman" w:cs="Times New Roman"/>
        <w:sz w:val="24"/>
        <w:szCs w:val="24"/>
      </w:rPr>
    </w:lvl>
    <w:lvl w:ilvl="3" w:tentative="0">
      <w:start w:val="1"/>
      <w:numFmt w:val="decimal"/>
      <w:pStyle w:val="5"/>
      <w:lvlText w:val="%1.%2.%3.%4 "/>
      <w:lvlJc w:val="left"/>
      <w:pPr>
        <w:ind w:left="1715" w:hanging="864"/>
      </w:pPr>
      <w:rPr>
        <w:rFonts w:hint="default" w:ascii="Times New Roman" w:hAnsi="Times New Roman" w:cs="Times New Roman"/>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5">
    <w:nsid w:val="0BD65854"/>
    <w:multiLevelType w:val="singleLevel"/>
    <w:tmpl w:val="0BD65854"/>
    <w:lvl w:ilvl="0" w:tentative="0">
      <w:start w:val="1"/>
      <w:numFmt w:val="chineseCounting"/>
      <w:suff w:val="nothing"/>
      <w:lvlText w:val="第%1部分."/>
      <w:lvlJc w:val="left"/>
      <w:rPr>
        <w:rFonts w:hint="eastAsia"/>
      </w:rPr>
    </w:lvl>
  </w:abstractNum>
  <w:abstractNum w:abstractNumId="6">
    <w:nsid w:val="273F47E8"/>
    <w:multiLevelType w:val="singleLevel"/>
    <w:tmpl w:val="273F47E8"/>
    <w:lvl w:ilvl="0" w:tentative="0">
      <w:start w:val="1"/>
      <w:numFmt w:val="chineseCounting"/>
      <w:suff w:val="nothing"/>
      <w:lvlText w:val="%1、"/>
      <w:lvlJc w:val="left"/>
      <w:pPr>
        <w:ind w:left="0" w:firstLine="420"/>
      </w:pPr>
      <w:rPr>
        <w:rFonts w:hint="eastAsia"/>
        <w:b/>
        <w:bCs/>
        <w:color w:val="auto"/>
        <w:sz w:val="24"/>
        <w:szCs w:val="24"/>
      </w:rPr>
    </w:lvl>
  </w:abstractNum>
  <w:abstractNum w:abstractNumId="7">
    <w:nsid w:val="4122DDE1"/>
    <w:multiLevelType w:val="singleLevel"/>
    <w:tmpl w:val="4122DDE1"/>
    <w:lvl w:ilvl="0" w:tentative="0">
      <w:start w:val="2"/>
      <w:numFmt w:val="decimal"/>
      <w:suff w:val="nothing"/>
      <w:lvlText w:val="%1、"/>
      <w:lvlJc w:val="left"/>
    </w:lvl>
  </w:abstractNum>
  <w:num w:numId="1">
    <w:abstractNumId w:val="4"/>
  </w:num>
  <w:num w:numId="2">
    <w:abstractNumId w:val="5"/>
  </w:num>
  <w:num w:numId="3">
    <w:abstractNumId w:val="6"/>
  </w:num>
  <w:num w:numId="4">
    <w:abstractNumId w:val="2"/>
  </w:num>
  <w:num w:numId="5">
    <w:abstractNumId w:val="3"/>
  </w:num>
  <w:num w:numId="6">
    <w:abstractNumId w:val="7"/>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xMDY5ZGVlYjdhMTRlZGI2M2RhZDEwNzJjMmZkZTIifQ=="/>
  </w:docVars>
  <w:rsids>
    <w:rsidRoot w:val="740D71D5"/>
    <w:rsid w:val="0039477E"/>
    <w:rsid w:val="0109277B"/>
    <w:rsid w:val="036208AE"/>
    <w:rsid w:val="054A2620"/>
    <w:rsid w:val="062C0A5B"/>
    <w:rsid w:val="071B3875"/>
    <w:rsid w:val="077057CE"/>
    <w:rsid w:val="08001F60"/>
    <w:rsid w:val="09676CF8"/>
    <w:rsid w:val="09790D9C"/>
    <w:rsid w:val="09D43B87"/>
    <w:rsid w:val="0B2F6C65"/>
    <w:rsid w:val="0C1A29E8"/>
    <w:rsid w:val="0D153780"/>
    <w:rsid w:val="0DAB15E2"/>
    <w:rsid w:val="0DB75190"/>
    <w:rsid w:val="0FB13319"/>
    <w:rsid w:val="10826080"/>
    <w:rsid w:val="110034DB"/>
    <w:rsid w:val="113A0F19"/>
    <w:rsid w:val="120A46B1"/>
    <w:rsid w:val="12331667"/>
    <w:rsid w:val="13166EC3"/>
    <w:rsid w:val="13186C6C"/>
    <w:rsid w:val="135D0C49"/>
    <w:rsid w:val="1377055B"/>
    <w:rsid w:val="137F0EAC"/>
    <w:rsid w:val="13AB57C5"/>
    <w:rsid w:val="14EF7AC7"/>
    <w:rsid w:val="1576177E"/>
    <w:rsid w:val="15CE07BC"/>
    <w:rsid w:val="15D62BE2"/>
    <w:rsid w:val="163C61B2"/>
    <w:rsid w:val="167D7355"/>
    <w:rsid w:val="16C005E1"/>
    <w:rsid w:val="16E60230"/>
    <w:rsid w:val="183463F4"/>
    <w:rsid w:val="1D7D0B48"/>
    <w:rsid w:val="1D8F4B51"/>
    <w:rsid w:val="1E1B62F5"/>
    <w:rsid w:val="1E7D26BC"/>
    <w:rsid w:val="21592EC3"/>
    <w:rsid w:val="21B60804"/>
    <w:rsid w:val="22234D1E"/>
    <w:rsid w:val="226C006B"/>
    <w:rsid w:val="22906A51"/>
    <w:rsid w:val="22D60A95"/>
    <w:rsid w:val="23333912"/>
    <w:rsid w:val="24DD0910"/>
    <w:rsid w:val="24F81F57"/>
    <w:rsid w:val="255F233B"/>
    <w:rsid w:val="25B05051"/>
    <w:rsid w:val="27337CE7"/>
    <w:rsid w:val="28757DED"/>
    <w:rsid w:val="29576DD3"/>
    <w:rsid w:val="2AF6240B"/>
    <w:rsid w:val="2B3C44D5"/>
    <w:rsid w:val="2BC145A9"/>
    <w:rsid w:val="2BC87E6A"/>
    <w:rsid w:val="2D2B2AA3"/>
    <w:rsid w:val="2E326D00"/>
    <w:rsid w:val="2E3C6EAB"/>
    <w:rsid w:val="2E932876"/>
    <w:rsid w:val="2E9642AB"/>
    <w:rsid w:val="30D320BD"/>
    <w:rsid w:val="31432160"/>
    <w:rsid w:val="318F66BE"/>
    <w:rsid w:val="323A1F14"/>
    <w:rsid w:val="344A3184"/>
    <w:rsid w:val="34644A0D"/>
    <w:rsid w:val="35613C72"/>
    <w:rsid w:val="35A85D44"/>
    <w:rsid w:val="389D3EE3"/>
    <w:rsid w:val="38A21B1B"/>
    <w:rsid w:val="38C03BB6"/>
    <w:rsid w:val="39684EB4"/>
    <w:rsid w:val="39E11709"/>
    <w:rsid w:val="39F710DF"/>
    <w:rsid w:val="3A5E5795"/>
    <w:rsid w:val="3A865B12"/>
    <w:rsid w:val="3B730350"/>
    <w:rsid w:val="3BD038FF"/>
    <w:rsid w:val="3BE40D20"/>
    <w:rsid w:val="3C5C0DD3"/>
    <w:rsid w:val="3C676B7D"/>
    <w:rsid w:val="3C6E4EB1"/>
    <w:rsid w:val="3CD70CBD"/>
    <w:rsid w:val="3D404020"/>
    <w:rsid w:val="3D706AF4"/>
    <w:rsid w:val="3DA07FC8"/>
    <w:rsid w:val="3DE911DF"/>
    <w:rsid w:val="3F0F6EA6"/>
    <w:rsid w:val="407713A8"/>
    <w:rsid w:val="409712D0"/>
    <w:rsid w:val="419D318D"/>
    <w:rsid w:val="42C179DE"/>
    <w:rsid w:val="436B795D"/>
    <w:rsid w:val="43A773DD"/>
    <w:rsid w:val="44BB11B1"/>
    <w:rsid w:val="468C7F0B"/>
    <w:rsid w:val="46CD773D"/>
    <w:rsid w:val="472945F5"/>
    <w:rsid w:val="4739604D"/>
    <w:rsid w:val="47875238"/>
    <w:rsid w:val="478D7E58"/>
    <w:rsid w:val="486B4D70"/>
    <w:rsid w:val="48880060"/>
    <w:rsid w:val="49B05850"/>
    <w:rsid w:val="4C4C5224"/>
    <w:rsid w:val="4C600C9E"/>
    <w:rsid w:val="4CE27CFA"/>
    <w:rsid w:val="4D063CD2"/>
    <w:rsid w:val="4D61270F"/>
    <w:rsid w:val="4DB746E4"/>
    <w:rsid w:val="4E9F73BA"/>
    <w:rsid w:val="4F0427EA"/>
    <w:rsid w:val="4F300272"/>
    <w:rsid w:val="515320B5"/>
    <w:rsid w:val="52E14633"/>
    <w:rsid w:val="53250778"/>
    <w:rsid w:val="53517035"/>
    <w:rsid w:val="53A92998"/>
    <w:rsid w:val="55D45164"/>
    <w:rsid w:val="58216330"/>
    <w:rsid w:val="58E13C08"/>
    <w:rsid w:val="59275A99"/>
    <w:rsid w:val="59DF5FFE"/>
    <w:rsid w:val="5A233850"/>
    <w:rsid w:val="5A33357F"/>
    <w:rsid w:val="5D9F4915"/>
    <w:rsid w:val="5E483371"/>
    <w:rsid w:val="5E970568"/>
    <w:rsid w:val="5EC90F8E"/>
    <w:rsid w:val="5EF17D2A"/>
    <w:rsid w:val="5F59471B"/>
    <w:rsid w:val="60A2317A"/>
    <w:rsid w:val="60C31A1F"/>
    <w:rsid w:val="61687E97"/>
    <w:rsid w:val="616D55C9"/>
    <w:rsid w:val="62BB7999"/>
    <w:rsid w:val="644E4B1D"/>
    <w:rsid w:val="646F08D5"/>
    <w:rsid w:val="647B3DBC"/>
    <w:rsid w:val="650E0E71"/>
    <w:rsid w:val="65494613"/>
    <w:rsid w:val="65904792"/>
    <w:rsid w:val="65ED0D46"/>
    <w:rsid w:val="67137BFF"/>
    <w:rsid w:val="673A67EA"/>
    <w:rsid w:val="674D7D2D"/>
    <w:rsid w:val="6845160B"/>
    <w:rsid w:val="68560D10"/>
    <w:rsid w:val="6A0B1E23"/>
    <w:rsid w:val="6A1720FC"/>
    <w:rsid w:val="6A516D7C"/>
    <w:rsid w:val="6A9C1876"/>
    <w:rsid w:val="6AEA5840"/>
    <w:rsid w:val="6B0C2A72"/>
    <w:rsid w:val="6C9D4F37"/>
    <w:rsid w:val="6D1A47AE"/>
    <w:rsid w:val="6D8309B3"/>
    <w:rsid w:val="700D6D99"/>
    <w:rsid w:val="725F58BA"/>
    <w:rsid w:val="7262149F"/>
    <w:rsid w:val="727F0905"/>
    <w:rsid w:val="740B5A50"/>
    <w:rsid w:val="740D71D5"/>
    <w:rsid w:val="74DD2BB7"/>
    <w:rsid w:val="751D7874"/>
    <w:rsid w:val="75337C73"/>
    <w:rsid w:val="7608536C"/>
    <w:rsid w:val="764D2EB1"/>
    <w:rsid w:val="768E4E05"/>
    <w:rsid w:val="77CD748B"/>
    <w:rsid w:val="785F1F2C"/>
    <w:rsid w:val="7A782F9B"/>
    <w:rsid w:val="7ADB1BD4"/>
    <w:rsid w:val="7B1F6DB5"/>
    <w:rsid w:val="7B436AD8"/>
    <w:rsid w:val="7B7F6110"/>
    <w:rsid w:val="7C1A1DBA"/>
    <w:rsid w:val="7C4B1F1E"/>
    <w:rsid w:val="7D5B3637"/>
    <w:rsid w:val="7D683A3A"/>
    <w:rsid w:val="7E337317"/>
    <w:rsid w:val="7F7A2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paragraph" w:styleId="5">
    <w:name w:val="heading 4"/>
    <w:basedOn w:val="1"/>
    <w:next w:val="1"/>
    <w:qFormat/>
    <w:uiPriority w:val="0"/>
    <w:pPr>
      <w:widowControl w:val="0"/>
      <w:numPr>
        <w:ilvl w:val="3"/>
        <w:numId w:val="1"/>
      </w:numPr>
      <w:adjustRightInd w:val="0"/>
      <w:snapToGrid w:val="0"/>
      <w:outlineLvl w:val="3"/>
    </w:pPr>
    <w:rPr>
      <w:rFonts w:ascii="宋体" w:hAnsi="宋体"/>
      <w:bCs/>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Plain Text"/>
    <w:basedOn w:val="1"/>
    <w:link w:val="15"/>
    <w:qFormat/>
    <w:uiPriority w:val="0"/>
    <w:rPr>
      <w:rFonts w:ascii="宋体" w:hAnsi="Courier New"/>
      <w:kern w:val="0"/>
      <w:sz w:val="20"/>
      <w:szCs w:val="20"/>
    </w:rPr>
  </w:style>
  <w:style w:type="paragraph" w:styleId="6">
    <w:name w:val="Normal Indent"/>
    <w:basedOn w:val="1"/>
    <w:qFormat/>
    <w:uiPriority w:val="0"/>
    <w:pPr>
      <w:widowControl w:val="0"/>
      <w:adjustRightInd w:val="0"/>
      <w:spacing w:line="560" w:lineRule="exact"/>
      <w:ind w:firstLine="624"/>
      <w:textAlignment w:val="baseline"/>
    </w:pPr>
    <w:rPr>
      <w:rFonts w:eastAsia="仿宋_GB2312"/>
      <w:sz w:val="30"/>
    </w:rPr>
  </w:style>
  <w:style w:type="paragraph" w:styleId="7">
    <w:name w:val="annotation text"/>
    <w:basedOn w:val="1"/>
    <w:qFormat/>
    <w:uiPriority w:val="0"/>
    <w:pPr>
      <w:jc w:val="left"/>
    </w:pPr>
  </w:style>
  <w:style w:type="paragraph" w:styleId="8">
    <w:name w:val="Body Text"/>
    <w:basedOn w:val="1"/>
    <w:next w:val="9"/>
    <w:qFormat/>
    <w:uiPriority w:val="0"/>
    <w:pPr>
      <w:spacing w:after="120" w:line="360" w:lineRule="auto"/>
      <w:ind w:firstLine="598"/>
    </w:pPr>
  </w:style>
  <w:style w:type="paragraph" w:styleId="9">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10">
    <w:name w:val="Normal (Web)"/>
    <w:basedOn w:val="1"/>
    <w:qFormat/>
    <w:uiPriority w:val="0"/>
    <w:rPr>
      <w:rFonts w:ascii="宋体" w:hAnsi="宋体" w:cs="宋体"/>
      <w:sz w:val="24"/>
      <w:szCs w:val="24"/>
    </w:rPr>
  </w:style>
  <w:style w:type="paragraph" w:styleId="11">
    <w:name w:val="Body Text First Indent"/>
    <w:basedOn w:val="8"/>
    <w:unhideWhenUsed/>
    <w:qFormat/>
    <w:uiPriority w:val="99"/>
    <w:pPr>
      <w:pBdr>
        <w:top w:val="none" w:color="auto" w:sz="0" w:space="0"/>
        <w:left w:val="none" w:color="auto" w:sz="0" w:space="0"/>
        <w:bottom w:val="none" w:color="auto" w:sz="0" w:space="0"/>
        <w:right w:val="none" w:color="auto" w:sz="0" w:space="0"/>
        <w:between w:val="none" w:color="auto" w:sz="0" w:space="0"/>
      </w:pBdr>
      <w:shd w:val="clear" w:color="auto" w:fill="auto"/>
      <w:spacing w:line="360" w:lineRule="auto"/>
      <w:ind w:firstLine="200" w:firstLineChars="200"/>
      <w:jc w:val="both"/>
    </w:pPr>
    <w:rPr>
      <w:kern w:val="0"/>
      <w:sz w:val="24"/>
      <w:lang w:val="en-US" w:eastAsia="zh-C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纯文本 Char"/>
    <w:link w:val="2"/>
    <w:qFormat/>
    <w:uiPriority w:val="0"/>
    <w:rPr>
      <w:rFonts w:ascii="宋体" w:hAnsi="Courier New"/>
      <w:kern w:val="0"/>
      <w:sz w:val="20"/>
      <w:szCs w:val="20"/>
    </w:rPr>
  </w:style>
  <w:style w:type="character" w:customStyle="1" w:styleId="16">
    <w:name w:val="font11"/>
    <w:basedOn w:val="14"/>
    <w:qFormat/>
    <w:uiPriority w:val="0"/>
    <w:rPr>
      <w:rFonts w:hint="eastAsia" w:ascii="宋体" w:hAnsi="宋体" w:eastAsia="宋体" w:cs="宋体"/>
      <w:color w:val="000000"/>
      <w:sz w:val="21"/>
      <w:szCs w:val="21"/>
      <w:u w:val="none"/>
    </w:rPr>
  </w:style>
  <w:style w:type="character" w:customStyle="1" w:styleId="17">
    <w:name w:val="font12"/>
    <w:basedOn w:val="14"/>
    <w:qFormat/>
    <w:uiPriority w:val="0"/>
    <w:rPr>
      <w:rFonts w:hint="eastAsia" w:ascii="宋体" w:hAnsi="宋体" w:eastAsia="宋体" w:cs="宋体"/>
      <w:color w:val="000000"/>
      <w:sz w:val="21"/>
      <w:szCs w:val="21"/>
      <w:u w:val="none"/>
    </w:rPr>
  </w:style>
  <w:style w:type="character" w:customStyle="1" w:styleId="18">
    <w:name w:val="font61"/>
    <w:basedOn w:val="14"/>
    <w:qFormat/>
    <w:uiPriority w:val="0"/>
    <w:rPr>
      <w:rFonts w:hint="eastAsia" w:ascii="宋体" w:hAnsi="宋体" w:eastAsia="宋体" w:cs="宋体"/>
      <w:color w:val="000000"/>
      <w:sz w:val="21"/>
      <w:szCs w:val="21"/>
      <w:u w:val="none"/>
    </w:rPr>
  </w:style>
  <w:style w:type="character" w:customStyle="1" w:styleId="19">
    <w:name w:val="font51"/>
    <w:basedOn w:val="14"/>
    <w:qFormat/>
    <w:uiPriority w:val="0"/>
    <w:rPr>
      <w:rFonts w:ascii="Calibri" w:hAnsi="Calibri" w:cs="Calibri"/>
      <w:color w:val="000000"/>
      <w:sz w:val="21"/>
      <w:szCs w:val="21"/>
      <w:u w:val="none"/>
    </w:rPr>
  </w:style>
  <w:style w:type="character" w:customStyle="1" w:styleId="20">
    <w:name w:val="font122"/>
    <w:basedOn w:val="14"/>
    <w:qFormat/>
    <w:uiPriority w:val="0"/>
    <w:rPr>
      <w:rFonts w:hint="eastAsia" w:ascii="宋体" w:hAnsi="宋体" w:eastAsia="宋体" w:cs="宋体"/>
      <w:color w:val="000000"/>
      <w:sz w:val="24"/>
      <w:szCs w:val="24"/>
      <w:u w:val="none"/>
      <w:vertAlign w:val="subscript"/>
    </w:rPr>
  </w:style>
  <w:style w:type="character" w:customStyle="1" w:styleId="21">
    <w:name w:val="font31"/>
    <w:basedOn w:val="14"/>
    <w:qFormat/>
    <w:uiPriority w:val="0"/>
    <w:rPr>
      <w:rFonts w:hint="eastAsia" w:ascii="宋体" w:hAnsi="宋体" w:eastAsia="宋体" w:cs="宋体"/>
      <w:color w:val="000000"/>
      <w:sz w:val="24"/>
      <w:szCs w:val="24"/>
      <w:u w:val="none"/>
    </w:rPr>
  </w:style>
  <w:style w:type="character" w:customStyle="1" w:styleId="22">
    <w:name w:val="font71"/>
    <w:basedOn w:val="14"/>
    <w:qFormat/>
    <w:uiPriority w:val="0"/>
    <w:rPr>
      <w:rFonts w:hint="eastAsia" w:ascii="宋体" w:hAnsi="宋体" w:eastAsia="宋体" w:cs="宋体"/>
      <w:color w:val="000000"/>
      <w:sz w:val="21"/>
      <w:szCs w:val="21"/>
      <w:u w:val="single"/>
    </w:rPr>
  </w:style>
  <w:style w:type="paragraph" w:customStyle="1" w:styleId="23">
    <w:name w:val="Table Paragraph"/>
    <w:basedOn w:val="1"/>
    <w:qFormat/>
    <w:uiPriority w:val="1"/>
    <w:pPr>
      <w:widowControl w:val="0"/>
    </w:pPr>
    <w:rPr>
      <w:rFonts w:ascii="Times New Roman" w:hAnsi="Times New Roman" w:eastAsia="宋体" w:cs="Times New Roman"/>
      <w:snapToGrid/>
      <w:color w:val="auto"/>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7564</Words>
  <Characters>8153</Characters>
  <Lines>0</Lines>
  <Paragraphs>0</Paragraphs>
  <TotalTime>0</TotalTime>
  <ScaleCrop>false</ScaleCrop>
  <LinksUpToDate>false</LinksUpToDate>
  <CharactersWithSpaces>8334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马骏安</cp:lastModifiedBy>
  <dcterms:modified xsi:type="dcterms:W3CDTF">2026-03-13T00:52:41Z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2968822290324778B8190A0CD7D211B0</vt:lpwstr>
  </property>
  <property fmtid="{D5CDD505-2E9C-101B-9397-08002B2CF9AE}" pid="4" name="KSOTemplateDocerSaveRecord">
    <vt:lpwstr>eyJoZGlkIjoiNGQxZGUyZmQ5MDU5MjhiNzUxNWY4N2Q0ZGU2Y2VhOTgiLCJ1c2VySWQiOiI3MDM5OTYzMzMifQ==</vt:lpwstr>
  </property>
</Properties>
</file>