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highlight w:val="none"/>
        </w:rPr>
      </w:pPr>
      <w:r>
        <w:rPr>
          <w:rFonts w:hint="eastAsia" w:ascii="仿宋_GB2312" w:eastAsia="仿宋_GB2312"/>
          <w:sz w:val="24"/>
          <w:highlight w:val="none"/>
        </w:rPr>
        <w:drawing>
          <wp:anchor distT="0" distB="0" distL="114300" distR="114300" simplePos="0" relativeHeight="251661312" behindDoc="1" locked="0" layoutInCell="1" allowOverlap="1">
            <wp:simplePos x="0" y="0"/>
            <wp:positionH relativeFrom="column">
              <wp:posOffset>-1174750</wp:posOffset>
            </wp:positionH>
            <wp:positionV relativeFrom="paragraph">
              <wp:posOffset>-908685</wp:posOffset>
            </wp:positionV>
            <wp:extent cx="7583170" cy="2281555"/>
            <wp:effectExtent l="0" t="0" r="17780" b="444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7583170" cy="2281555"/>
                    </a:xfrm>
                    <a:prstGeom prst="rect">
                      <a:avLst/>
                    </a:prstGeom>
                  </pic:spPr>
                </pic:pic>
              </a:graphicData>
            </a:graphic>
          </wp:anchor>
        </w:drawing>
      </w:r>
      <w:r>
        <w:rPr>
          <w:rFonts w:hint="eastAsia" w:ascii="仿宋_GB2312" w:eastAsia="仿宋_GB2312"/>
          <w:sz w:val="24"/>
          <w:highlight w:val="none"/>
        </w:rPr>
        <w:drawing>
          <wp:anchor distT="0" distB="0" distL="114300" distR="114300" simplePos="0" relativeHeight="251660288" behindDoc="0" locked="0" layoutInCell="1" allowOverlap="1">
            <wp:simplePos x="0" y="0"/>
            <wp:positionH relativeFrom="column">
              <wp:posOffset>-401955</wp:posOffset>
            </wp:positionH>
            <wp:positionV relativeFrom="paragraph">
              <wp:posOffset>-92075</wp:posOffset>
            </wp:positionV>
            <wp:extent cx="4162425" cy="752475"/>
            <wp:effectExtent l="0" t="0" r="9525"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162425" cy="752475"/>
                    </a:xfrm>
                    <a:prstGeom prst="rect">
                      <a:avLst/>
                    </a:prstGeom>
                    <a:noFill/>
                    <a:ln>
                      <a:noFill/>
                    </a:ln>
                  </pic:spPr>
                </pic:pic>
              </a:graphicData>
            </a:graphic>
          </wp:anchor>
        </w:drawing>
      </w: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spacing w:line="360" w:lineRule="auto"/>
        <w:rPr>
          <w:rFonts w:ascii="仿宋_GB2312" w:eastAsia="仿宋_GB2312"/>
          <w:b/>
          <w:sz w:val="44"/>
          <w:szCs w:val="44"/>
          <w:highlight w:val="none"/>
        </w:rPr>
      </w:pPr>
    </w:p>
    <w:p>
      <w:pPr>
        <w:adjustRightInd w:val="0"/>
        <w:snapToGrid w:val="0"/>
        <w:jc w:val="center"/>
        <w:rPr>
          <w:rFonts w:hint="eastAsia" w:ascii="Times New Roman" w:hAnsi="Times New Roman" w:eastAsia="黑体" w:cs="Times New Roman"/>
          <w:b/>
          <w:kern w:val="2"/>
          <w:sz w:val="52"/>
          <w:szCs w:val="22"/>
          <w:highlight w:val="none"/>
          <w:lang w:val="en-US" w:eastAsia="zh-CN" w:bidi="ar-SA"/>
        </w:rPr>
      </w:pPr>
      <w:r>
        <w:rPr>
          <w:rFonts w:hint="eastAsia" w:ascii="Times New Roman" w:hAnsi="Times New Roman" w:eastAsia="黑体" w:cs="Times New Roman"/>
          <w:b/>
          <w:kern w:val="2"/>
          <w:sz w:val="52"/>
          <w:szCs w:val="22"/>
          <w:highlight w:val="none"/>
          <w:lang w:val="en-US" w:eastAsia="zh-CN" w:bidi="ar-SA"/>
        </w:rPr>
        <w:t>500千伏桂中网架完善工程（超高压公司部分）质量检测服务</w:t>
      </w:r>
    </w:p>
    <w:p>
      <w:pPr>
        <w:adjustRightInd w:val="0"/>
        <w:snapToGrid w:val="0"/>
        <w:jc w:val="center"/>
        <w:rPr>
          <w:rFonts w:hint="eastAsia"/>
          <w:lang w:val="en-US" w:eastAsia="zh-CN"/>
        </w:rPr>
      </w:pPr>
      <w:r>
        <w:rPr>
          <w:rFonts w:hint="eastAsia" w:ascii="Times New Roman" w:hAnsi="Times New Roman" w:eastAsia="黑体" w:cs="Times New Roman"/>
          <w:b/>
          <w:kern w:val="2"/>
          <w:sz w:val="52"/>
          <w:szCs w:val="22"/>
          <w:highlight w:val="none"/>
          <w:lang w:val="en-US" w:eastAsia="zh-CN" w:bidi="ar-SA"/>
        </w:rPr>
        <w:t>技术规范书</w:t>
      </w:r>
    </w:p>
    <w:p>
      <w:pPr>
        <w:spacing w:line="360" w:lineRule="auto"/>
        <w:jc w:val="both"/>
        <w:rPr>
          <w:b/>
          <w:sz w:val="24"/>
          <w:highlight w:val="none"/>
        </w:rPr>
      </w:pPr>
    </w:p>
    <w:p>
      <w:pPr>
        <w:pStyle w:val="2"/>
        <w:rPr>
          <w:rFonts w:hint="eastAsia"/>
          <w:lang w:val="en-US" w:eastAsia="zh-CN"/>
        </w:rPr>
      </w:pPr>
    </w:p>
    <w:p>
      <w:pPr>
        <w:spacing w:line="360" w:lineRule="auto"/>
        <w:jc w:val="both"/>
        <w:rPr>
          <w:b/>
          <w:sz w:val="24"/>
          <w:highlight w:val="none"/>
        </w:rPr>
      </w:pPr>
    </w:p>
    <w:p>
      <w:pPr>
        <w:pStyle w:val="9"/>
        <w:snapToGrid w:val="0"/>
        <w:spacing w:line="360" w:lineRule="auto"/>
        <w:ind w:firstLine="2530" w:firstLineChars="700"/>
        <w:jc w:val="both"/>
        <w:rPr>
          <w:rFonts w:hint="eastAsia" w:ascii="黑体" w:hAnsi="黑体" w:eastAsia="黑体" w:cs="黑体"/>
          <w:b/>
          <w:bCs/>
          <w:sz w:val="36"/>
          <w:szCs w:val="36"/>
          <w:highlight w:val="none"/>
          <w:lang w:val="en-US" w:eastAsia="zh-CN"/>
        </w:rPr>
      </w:pPr>
      <w:r>
        <w:rPr>
          <w:rFonts w:hint="eastAsia" w:ascii="黑体" w:hAnsi="黑体" w:eastAsia="黑体" w:cs="黑体"/>
          <w:b/>
          <w:bCs/>
          <w:sz w:val="36"/>
          <w:szCs w:val="36"/>
          <w:highlight w:val="none"/>
          <w:lang w:val="en-US" w:eastAsia="zh-CN"/>
        </w:rPr>
        <w:t>批准：</w:t>
      </w:r>
    </w:p>
    <w:p>
      <w:pPr>
        <w:pStyle w:val="9"/>
        <w:snapToGrid w:val="0"/>
        <w:spacing w:line="360" w:lineRule="auto"/>
        <w:jc w:val="center"/>
        <w:rPr>
          <w:rFonts w:hint="eastAsia" w:ascii="黑体" w:hAnsi="黑体" w:eastAsia="黑体" w:cs="黑体"/>
          <w:b/>
          <w:bCs/>
          <w:sz w:val="36"/>
          <w:szCs w:val="36"/>
          <w:highlight w:val="none"/>
          <w:lang w:eastAsia="zh-CN"/>
        </w:rPr>
      </w:pPr>
    </w:p>
    <w:p>
      <w:pPr>
        <w:pStyle w:val="9"/>
        <w:snapToGrid w:val="0"/>
        <w:spacing w:line="360" w:lineRule="auto"/>
        <w:ind w:firstLine="2530" w:firstLineChars="700"/>
        <w:jc w:val="both"/>
        <w:rPr>
          <w:rFonts w:hint="eastAsia" w:ascii="黑体" w:hAnsi="黑体" w:eastAsia="黑体" w:cs="黑体"/>
          <w:b/>
          <w:bCs/>
          <w:sz w:val="36"/>
          <w:szCs w:val="36"/>
          <w:highlight w:val="none"/>
          <w:lang w:eastAsia="zh-CN"/>
        </w:rPr>
      </w:pPr>
      <w:r>
        <w:rPr>
          <w:rFonts w:hint="eastAsia" w:ascii="黑体" w:hAnsi="黑体" w:eastAsia="黑体" w:cs="黑体"/>
          <w:b/>
          <w:bCs/>
          <w:sz w:val="36"/>
          <w:szCs w:val="36"/>
          <w:highlight w:val="none"/>
          <w:lang w:eastAsia="zh-CN"/>
        </w:rPr>
        <w:t>审核：</w:t>
      </w:r>
    </w:p>
    <w:p>
      <w:pPr>
        <w:pStyle w:val="9"/>
        <w:snapToGrid w:val="0"/>
        <w:spacing w:line="360" w:lineRule="auto"/>
        <w:jc w:val="center"/>
        <w:rPr>
          <w:rFonts w:hint="eastAsia" w:ascii="黑体" w:hAnsi="黑体" w:eastAsia="黑体" w:cs="黑体"/>
          <w:b/>
          <w:bCs/>
          <w:sz w:val="36"/>
          <w:szCs w:val="36"/>
          <w:highlight w:val="none"/>
        </w:rPr>
      </w:pPr>
    </w:p>
    <w:p>
      <w:pPr>
        <w:pStyle w:val="9"/>
        <w:snapToGrid w:val="0"/>
        <w:spacing w:line="360" w:lineRule="auto"/>
        <w:ind w:firstLine="2530" w:firstLineChars="700"/>
        <w:jc w:val="both"/>
        <w:rPr>
          <w:rFonts w:hint="eastAsia" w:ascii="黑体" w:hAnsi="黑体" w:eastAsia="黑体" w:cs="黑体"/>
          <w:b/>
          <w:bCs/>
          <w:sz w:val="36"/>
          <w:szCs w:val="36"/>
          <w:highlight w:val="none"/>
          <w:lang w:eastAsia="zh-CN"/>
        </w:rPr>
      </w:pPr>
      <w:r>
        <w:rPr>
          <w:rFonts w:hint="eastAsia" w:ascii="黑体" w:hAnsi="黑体" w:eastAsia="黑体" w:cs="黑体"/>
          <w:b/>
          <w:bCs/>
          <w:sz w:val="36"/>
          <w:szCs w:val="36"/>
          <w:highlight w:val="none"/>
          <w:lang w:eastAsia="zh-CN"/>
        </w:rPr>
        <w:t>编写：</w:t>
      </w:r>
    </w:p>
    <w:p>
      <w:pPr>
        <w:pStyle w:val="9"/>
        <w:snapToGrid w:val="0"/>
        <w:spacing w:line="360" w:lineRule="auto"/>
        <w:jc w:val="center"/>
        <w:rPr>
          <w:rFonts w:hint="eastAsia" w:ascii="黑体" w:hAnsi="黑体" w:eastAsia="黑体" w:cs="黑体"/>
          <w:b/>
          <w:bCs/>
          <w:sz w:val="36"/>
          <w:szCs w:val="36"/>
          <w:highlight w:val="none"/>
        </w:rPr>
      </w:pPr>
    </w:p>
    <w:p>
      <w:pPr>
        <w:pStyle w:val="9"/>
        <w:snapToGrid w:val="0"/>
        <w:spacing w:line="360" w:lineRule="auto"/>
        <w:jc w:val="center"/>
        <w:rPr>
          <w:rFonts w:hint="eastAsia" w:ascii="黑体" w:hAnsi="黑体" w:eastAsia="黑体" w:cs="黑体"/>
          <w:b/>
          <w:bCs/>
          <w:sz w:val="36"/>
          <w:szCs w:val="36"/>
          <w:highlight w:val="none"/>
        </w:rPr>
      </w:pPr>
      <w:r>
        <w:rPr>
          <w:rFonts w:hint="eastAsia" w:ascii="黑体" w:hAnsi="黑体" w:eastAsia="黑体" w:cs="黑体"/>
          <w:b/>
          <w:bCs/>
          <w:sz w:val="36"/>
          <w:szCs w:val="36"/>
          <w:highlight w:val="none"/>
        </w:rPr>
        <w:t xml:space="preserve">                                     </w:t>
      </w:r>
    </w:p>
    <w:p>
      <w:pPr>
        <w:pStyle w:val="9"/>
        <w:snapToGrid w:val="0"/>
        <w:spacing w:line="360" w:lineRule="auto"/>
        <w:jc w:val="center"/>
        <w:rPr>
          <w:rFonts w:hint="eastAsia" w:ascii="黑体" w:hAnsi="黑体" w:eastAsia="黑体" w:cs="黑体"/>
          <w:b/>
          <w:bCs/>
          <w:sz w:val="36"/>
          <w:szCs w:val="36"/>
          <w:highlight w:val="none"/>
          <w:lang w:val="en-US" w:eastAsia="zh-CN"/>
        </w:rPr>
      </w:pPr>
      <w:r>
        <w:rPr>
          <w:rFonts w:hint="eastAsia" w:ascii="黑体" w:hAnsi="黑体" w:eastAsia="黑体" w:cs="黑体"/>
          <w:b/>
          <w:bCs/>
          <w:sz w:val="36"/>
          <w:szCs w:val="36"/>
          <w:highlight w:val="none"/>
          <w:lang w:eastAsia="zh-CN"/>
        </w:rPr>
        <w:t>南网</w:t>
      </w:r>
      <w:r>
        <w:rPr>
          <w:rFonts w:hint="eastAsia" w:ascii="黑体" w:hAnsi="黑体" w:eastAsia="黑体" w:cs="黑体"/>
          <w:b/>
          <w:bCs/>
          <w:sz w:val="36"/>
          <w:szCs w:val="36"/>
          <w:highlight w:val="none"/>
        </w:rPr>
        <w:t>超高压公司</w:t>
      </w:r>
      <w:r>
        <w:rPr>
          <w:rFonts w:hint="eastAsia" w:ascii="黑体" w:hAnsi="黑体" w:eastAsia="黑体" w:cs="黑体"/>
          <w:b/>
          <w:bCs/>
          <w:sz w:val="36"/>
          <w:szCs w:val="36"/>
          <w:highlight w:val="none"/>
          <w:lang w:val="en-US" w:eastAsia="zh-CN"/>
        </w:rPr>
        <w:t>柳州</w:t>
      </w:r>
      <w:r>
        <w:rPr>
          <w:rFonts w:hint="eastAsia" w:ascii="黑体" w:hAnsi="黑体" w:eastAsia="黑体" w:cs="黑体"/>
          <w:b/>
          <w:bCs/>
          <w:sz w:val="36"/>
          <w:szCs w:val="36"/>
          <w:highlight w:val="none"/>
          <w:lang w:eastAsia="zh-CN"/>
        </w:rPr>
        <w:t>局</w:t>
      </w:r>
    </w:p>
    <w:p>
      <w:pPr>
        <w:spacing w:line="360" w:lineRule="auto"/>
        <w:jc w:val="center"/>
        <w:rPr>
          <w:rFonts w:hint="eastAsia" w:ascii="黑体" w:hAnsi="黑体" w:eastAsia="黑体" w:cs="黑体"/>
          <w:b/>
          <w:bCs/>
          <w:sz w:val="36"/>
          <w:szCs w:val="36"/>
          <w:highlight w:val="none"/>
        </w:rPr>
      </w:pPr>
      <w:r>
        <w:rPr>
          <w:rFonts w:hint="eastAsia" w:ascii="黑体" w:hAnsi="黑体" w:eastAsia="黑体" w:cs="黑体"/>
          <w:b/>
          <w:bCs/>
          <w:sz w:val="36"/>
          <w:szCs w:val="36"/>
          <w:highlight w:val="none"/>
        </w:rPr>
        <w:t>202</w:t>
      </w:r>
      <w:r>
        <w:rPr>
          <w:rFonts w:hint="eastAsia" w:ascii="黑体" w:hAnsi="黑体" w:eastAsia="黑体" w:cs="黑体"/>
          <w:b/>
          <w:bCs/>
          <w:sz w:val="36"/>
          <w:szCs w:val="36"/>
          <w:highlight w:val="none"/>
          <w:lang w:val="en-US" w:eastAsia="zh-CN"/>
        </w:rPr>
        <w:t>6</w:t>
      </w:r>
      <w:r>
        <w:rPr>
          <w:rFonts w:hint="eastAsia" w:ascii="黑体" w:hAnsi="黑体" w:eastAsia="黑体" w:cs="黑体"/>
          <w:b/>
          <w:bCs/>
          <w:sz w:val="36"/>
          <w:szCs w:val="36"/>
          <w:highlight w:val="none"/>
        </w:rPr>
        <w:t>年</w:t>
      </w:r>
      <w:r>
        <w:rPr>
          <w:rFonts w:hint="eastAsia" w:ascii="黑体" w:hAnsi="黑体" w:eastAsia="黑体" w:cs="黑体"/>
          <w:b/>
          <w:bCs/>
          <w:sz w:val="36"/>
          <w:szCs w:val="36"/>
          <w:highlight w:val="none"/>
          <w:lang w:val="en-US" w:eastAsia="zh-CN"/>
        </w:rPr>
        <w:t>3</w:t>
      </w:r>
      <w:r>
        <w:rPr>
          <w:rFonts w:hint="eastAsia" w:ascii="黑体" w:hAnsi="黑体" w:eastAsia="黑体" w:cs="黑体"/>
          <w:b/>
          <w:bCs/>
          <w:sz w:val="36"/>
          <w:szCs w:val="36"/>
          <w:highlight w:val="none"/>
        </w:rPr>
        <w:t>月</w:t>
      </w:r>
    </w:p>
    <w:p>
      <w:pPr>
        <w:rPr>
          <w:rFonts w:hint="eastAsia" w:ascii="黑体" w:hAnsi="黑体" w:eastAsia="黑体" w:cs="黑体"/>
          <w:sz w:val="36"/>
          <w:szCs w:val="36"/>
          <w:highlight w:val="none"/>
        </w:rPr>
        <w:sectPr>
          <w:pgSz w:w="11906" w:h="16838"/>
          <w:pgMar w:top="1440" w:right="1800" w:bottom="1440" w:left="1800" w:header="851" w:footer="992" w:gutter="0"/>
          <w:cols w:space="425" w:num="1"/>
          <w:docGrid w:type="lines" w:linePitch="312" w:charSpace="0"/>
        </w:sectPr>
      </w:pPr>
    </w:p>
    <w:sdt>
      <w:sdtPr>
        <w:rPr>
          <w:rFonts w:ascii="宋体" w:hAnsi="宋体" w:eastAsia="宋体" w:cstheme="minorBidi"/>
          <w:b/>
          <w:bCs/>
          <w:kern w:val="2"/>
          <w:sz w:val="44"/>
          <w:szCs w:val="44"/>
          <w:highlight w:val="none"/>
          <w:lang w:val="en-US" w:eastAsia="zh-CN" w:bidi="ar-SA"/>
        </w:rPr>
        <w:id w:val="147469350"/>
        <w15:color w:val="DBDBDB"/>
        <w:docPartObj>
          <w:docPartGallery w:val="Table of Contents"/>
          <w:docPartUnique/>
        </w:docPartObj>
      </w:sdtPr>
      <w:sdtEndPr>
        <w:rPr>
          <w:rFonts w:hint="eastAsia" w:ascii="宋体" w:hAnsi="宋体" w:eastAsia="宋体" w:cs="宋体"/>
          <w:b/>
          <w:bCs/>
          <w:kern w:val="2"/>
          <w:sz w:val="28"/>
          <w:szCs w:val="28"/>
          <w:highlight w:val="none"/>
          <w:lang w:val="en-US" w:eastAsia="zh-CN" w:bidi="ar-SA"/>
        </w:rPr>
      </w:sdtEndPr>
      <w:sdtContent>
        <w:p>
          <w:pPr>
            <w:spacing w:before="0" w:beforeLines="0" w:after="0" w:afterLines="0" w:line="240" w:lineRule="auto"/>
            <w:ind w:left="0" w:leftChars="0" w:right="0" w:rightChars="0" w:firstLine="0" w:firstLineChars="0"/>
            <w:jc w:val="cente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目</w:t>
          </w:r>
          <w:r>
            <w:rPr>
              <w:rFonts w:hint="eastAsia" w:ascii="宋体" w:hAnsi="宋体" w:eastAsia="宋体" w:cs="宋体"/>
              <w:b/>
              <w:bCs/>
              <w:sz w:val="44"/>
              <w:szCs w:val="44"/>
              <w:highlight w:val="none"/>
              <w:lang w:val="en-US" w:eastAsia="zh-CN"/>
            </w:rPr>
            <w:t xml:space="preserve"> </w:t>
          </w:r>
          <w:r>
            <w:rPr>
              <w:rFonts w:hint="eastAsia" w:ascii="宋体" w:hAnsi="宋体" w:eastAsia="宋体" w:cs="宋体"/>
              <w:b/>
              <w:bCs/>
              <w:sz w:val="44"/>
              <w:szCs w:val="44"/>
              <w:highlight w:val="none"/>
            </w:rPr>
            <w:t>录</w:t>
          </w:r>
        </w:p>
        <w:p>
          <w:pPr>
            <w:pStyle w:val="12"/>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TOC \o "1-3" \h \u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_Toc19252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1 总则</w:t>
          </w:r>
          <w:r>
            <w:rPr>
              <w:rFonts w:hint="eastAsia" w:ascii="宋体" w:hAnsi="宋体" w:eastAsia="宋体" w:cs="宋体"/>
              <w:sz w:val="30"/>
              <w:szCs w:val="30"/>
              <w:highlight w:val="none"/>
            </w:rPr>
            <w:tab/>
          </w: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PAGEREF _Toc19252 \h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1</w:t>
          </w:r>
          <w:r>
            <w:rPr>
              <w:rFonts w:hint="eastAsia" w:ascii="宋体" w:hAnsi="宋体" w:eastAsia="宋体" w:cs="宋体"/>
              <w:sz w:val="30"/>
              <w:szCs w:val="30"/>
              <w:highlight w:val="none"/>
            </w:rPr>
            <w:fldChar w:fldCharType="end"/>
          </w:r>
          <w:r>
            <w:rPr>
              <w:rFonts w:hint="eastAsia" w:ascii="宋体" w:hAnsi="宋体" w:eastAsia="宋体" w:cs="宋体"/>
              <w:sz w:val="30"/>
              <w:szCs w:val="30"/>
              <w:highlight w:val="none"/>
            </w:rPr>
            <w:fldChar w:fldCharType="end"/>
          </w:r>
        </w:p>
        <w:p>
          <w:pPr>
            <w:pStyle w:val="12"/>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_Toc27096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2 项目概述</w:t>
          </w:r>
          <w:r>
            <w:rPr>
              <w:rFonts w:hint="eastAsia" w:ascii="宋体" w:hAnsi="宋体" w:eastAsia="宋体" w:cs="宋体"/>
              <w:sz w:val="30"/>
              <w:szCs w:val="30"/>
              <w:highlight w:val="none"/>
            </w:rPr>
            <w:tab/>
          </w:r>
          <w:r>
            <w:rPr>
              <w:rFonts w:hint="eastAsia" w:ascii="宋体" w:hAnsi="宋体" w:cs="宋体"/>
              <w:sz w:val="30"/>
              <w:szCs w:val="30"/>
              <w:highlight w:val="none"/>
              <w:lang w:val="en-US" w:eastAsia="zh-CN"/>
            </w:rPr>
            <w:t>1</w:t>
          </w:r>
          <w:r>
            <w:rPr>
              <w:rFonts w:hint="eastAsia" w:ascii="宋体" w:hAnsi="宋体" w:eastAsia="宋体" w:cs="宋体"/>
              <w:sz w:val="30"/>
              <w:szCs w:val="30"/>
              <w:highlight w:val="none"/>
            </w:rPr>
            <w:fldChar w:fldCharType="end"/>
          </w:r>
        </w:p>
        <w:p>
          <w:pPr>
            <w:pStyle w:val="12"/>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_Toc10131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3 采购范围</w:t>
          </w:r>
          <w:r>
            <w:rPr>
              <w:rFonts w:hint="eastAsia" w:ascii="宋体" w:hAnsi="宋体" w:eastAsia="宋体" w:cs="宋体"/>
              <w:sz w:val="30"/>
              <w:szCs w:val="30"/>
              <w:highlight w:val="none"/>
            </w:rPr>
            <w:tab/>
          </w:r>
          <w:r>
            <w:rPr>
              <w:rFonts w:hint="eastAsia" w:ascii="宋体" w:hAnsi="宋体" w:cs="宋体"/>
              <w:sz w:val="30"/>
              <w:szCs w:val="30"/>
              <w:highlight w:val="none"/>
              <w:lang w:val="en-US" w:eastAsia="zh-CN"/>
            </w:rPr>
            <w:t>2</w:t>
          </w:r>
          <w:r>
            <w:rPr>
              <w:rFonts w:hint="eastAsia" w:ascii="宋体" w:hAnsi="宋体" w:eastAsia="宋体" w:cs="宋体"/>
              <w:sz w:val="30"/>
              <w:szCs w:val="30"/>
              <w:highlight w:val="none"/>
            </w:rPr>
            <w:fldChar w:fldCharType="end"/>
          </w:r>
        </w:p>
        <w:p>
          <w:pPr>
            <w:pStyle w:val="12"/>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_Toc10716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4 检测技术标准和规程规范</w:t>
          </w:r>
          <w:r>
            <w:rPr>
              <w:rFonts w:hint="eastAsia" w:ascii="宋体" w:hAnsi="宋体" w:eastAsia="宋体" w:cs="宋体"/>
              <w:sz w:val="30"/>
              <w:szCs w:val="30"/>
              <w:highlight w:val="none"/>
            </w:rPr>
            <w:tab/>
          </w:r>
          <w:r>
            <w:rPr>
              <w:rFonts w:hint="eastAsia" w:ascii="宋体" w:hAnsi="宋体" w:cs="宋体"/>
              <w:sz w:val="30"/>
              <w:szCs w:val="30"/>
              <w:highlight w:val="none"/>
              <w:lang w:val="en-US" w:eastAsia="zh-CN"/>
            </w:rPr>
            <w:t>2</w:t>
          </w:r>
          <w:r>
            <w:rPr>
              <w:rFonts w:hint="eastAsia" w:ascii="宋体" w:hAnsi="宋体" w:eastAsia="宋体" w:cs="宋体"/>
              <w:sz w:val="30"/>
              <w:szCs w:val="30"/>
              <w:highlight w:val="none"/>
            </w:rPr>
            <w:fldChar w:fldCharType="end"/>
          </w:r>
        </w:p>
        <w:p>
          <w:pPr>
            <w:pStyle w:val="12"/>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_Toc5955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5 服务项目质量控制要求</w:t>
          </w:r>
          <w:r>
            <w:rPr>
              <w:rFonts w:hint="eastAsia" w:ascii="宋体" w:hAnsi="宋体" w:eastAsia="宋体" w:cs="宋体"/>
              <w:sz w:val="30"/>
              <w:szCs w:val="30"/>
              <w:highlight w:val="none"/>
            </w:rPr>
            <w:tab/>
          </w:r>
          <w:r>
            <w:rPr>
              <w:rFonts w:hint="eastAsia" w:ascii="宋体" w:hAnsi="宋体" w:cs="宋体"/>
              <w:sz w:val="30"/>
              <w:szCs w:val="30"/>
              <w:highlight w:val="none"/>
              <w:lang w:val="en-US" w:eastAsia="zh-CN"/>
            </w:rPr>
            <w:t>3</w:t>
          </w:r>
          <w:r>
            <w:rPr>
              <w:rFonts w:hint="eastAsia" w:ascii="宋体" w:hAnsi="宋体" w:eastAsia="宋体" w:cs="宋体"/>
              <w:sz w:val="30"/>
              <w:szCs w:val="30"/>
              <w:highlight w:val="none"/>
            </w:rPr>
            <w:fldChar w:fldCharType="end"/>
          </w:r>
        </w:p>
        <w:p>
          <w:pPr>
            <w:pStyle w:val="12"/>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_Toc15929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6 交付物</w:t>
          </w:r>
          <w:r>
            <w:rPr>
              <w:rFonts w:hint="eastAsia" w:ascii="宋体" w:hAnsi="宋体" w:eastAsia="宋体" w:cs="宋体"/>
              <w:sz w:val="30"/>
              <w:szCs w:val="30"/>
              <w:highlight w:val="none"/>
            </w:rPr>
            <w:tab/>
          </w:r>
          <w:r>
            <w:rPr>
              <w:rFonts w:hint="eastAsia" w:ascii="宋体" w:hAnsi="宋体" w:cs="宋体"/>
              <w:sz w:val="30"/>
              <w:szCs w:val="30"/>
              <w:highlight w:val="none"/>
              <w:lang w:val="en-US" w:eastAsia="zh-CN"/>
            </w:rPr>
            <w:t>4</w:t>
          </w:r>
          <w:r>
            <w:rPr>
              <w:rFonts w:hint="eastAsia" w:ascii="宋体" w:hAnsi="宋体" w:eastAsia="宋体" w:cs="宋体"/>
              <w:sz w:val="30"/>
              <w:szCs w:val="30"/>
              <w:highlight w:val="none"/>
            </w:rPr>
            <w:fldChar w:fldCharType="end"/>
          </w:r>
        </w:p>
        <w:p>
          <w:pPr>
            <w:pStyle w:val="12"/>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_Toc22538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rPr>
            <w:t>7 其他</w:t>
          </w:r>
          <w:r>
            <w:rPr>
              <w:rFonts w:hint="eastAsia" w:ascii="宋体" w:hAnsi="宋体" w:eastAsia="宋体" w:cs="宋体"/>
              <w:sz w:val="30"/>
              <w:szCs w:val="30"/>
              <w:highlight w:val="none"/>
            </w:rPr>
            <w:tab/>
          </w:r>
          <w:r>
            <w:rPr>
              <w:rFonts w:hint="eastAsia" w:ascii="宋体" w:hAnsi="宋体" w:cs="宋体"/>
              <w:sz w:val="30"/>
              <w:szCs w:val="30"/>
              <w:highlight w:val="none"/>
              <w:lang w:val="en-US" w:eastAsia="zh-CN"/>
            </w:rPr>
            <w:t>4</w:t>
          </w:r>
          <w:r>
            <w:rPr>
              <w:rFonts w:hint="eastAsia" w:ascii="宋体" w:hAnsi="宋体" w:eastAsia="宋体" w:cs="宋体"/>
              <w:sz w:val="30"/>
              <w:szCs w:val="30"/>
              <w:highlight w:val="none"/>
            </w:rPr>
            <w:fldChar w:fldCharType="end"/>
          </w:r>
        </w:p>
        <w:p>
          <w:pPr>
            <w:pStyle w:val="12"/>
            <w:tabs>
              <w:tab w:val="right" w:leader="dot" w:pos="8306"/>
            </w:tabs>
            <w:rPr>
              <w:rFonts w:hint="eastAsia" w:ascii="宋体" w:hAnsi="宋体" w:eastAsia="宋体" w:cs="宋体"/>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_Toc2540 </w:instrText>
          </w:r>
          <w:r>
            <w:rPr>
              <w:rFonts w:hint="eastAsia" w:ascii="宋体" w:hAnsi="宋体" w:eastAsia="宋体" w:cs="宋体"/>
              <w:sz w:val="30"/>
              <w:szCs w:val="30"/>
              <w:highlight w:val="none"/>
            </w:rPr>
            <w:fldChar w:fldCharType="separate"/>
          </w:r>
          <w:r>
            <w:rPr>
              <w:rFonts w:hint="eastAsia" w:ascii="宋体" w:hAnsi="宋体" w:eastAsia="宋体" w:cs="宋体"/>
              <w:sz w:val="30"/>
              <w:szCs w:val="30"/>
              <w:highlight w:val="none"/>
              <w:lang w:val="en-US" w:eastAsia="zh-CN"/>
            </w:rPr>
            <w:t xml:space="preserve">8 </w:t>
          </w:r>
          <w:r>
            <w:rPr>
              <w:rFonts w:hint="eastAsia" w:ascii="宋体" w:hAnsi="宋体" w:cs="宋体"/>
              <w:sz w:val="30"/>
              <w:szCs w:val="30"/>
              <w:highlight w:val="none"/>
              <w:lang w:val="en-US" w:eastAsia="zh-CN"/>
            </w:rPr>
            <w:t>检测项目</w:t>
          </w:r>
          <w:r>
            <w:rPr>
              <w:rFonts w:hint="eastAsia" w:ascii="宋体" w:hAnsi="宋体" w:eastAsia="宋体" w:cs="宋体"/>
              <w:sz w:val="30"/>
              <w:szCs w:val="30"/>
              <w:highlight w:val="none"/>
            </w:rPr>
            <w:tab/>
          </w:r>
          <w:r>
            <w:rPr>
              <w:rFonts w:hint="eastAsia" w:ascii="宋体" w:hAnsi="宋体" w:cs="宋体"/>
              <w:sz w:val="30"/>
              <w:szCs w:val="30"/>
              <w:highlight w:val="none"/>
              <w:lang w:val="en-US" w:eastAsia="zh-CN"/>
            </w:rPr>
            <w:t>5</w:t>
          </w:r>
          <w:r>
            <w:rPr>
              <w:rFonts w:hint="eastAsia" w:ascii="宋体" w:hAnsi="宋体" w:eastAsia="宋体" w:cs="宋体"/>
              <w:sz w:val="30"/>
              <w:szCs w:val="30"/>
              <w:highlight w:val="none"/>
            </w:rPr>
            <w:fldChar w:fldCharType="end"/>
          </w:r>
        </w:p>
        <w:p>
          <w:pPr>
            <w:rPr>
              <w:rFonts w:hint="eastAsia" w:ascii="宋体" w:hAnsi="宋体" w:eastAsia="宋体" w:cs="宋体"/>
              <w:sz w:val="28"/>
              <w:szCs w:val="28"/>
              <w:highlight w:val="none"/>
            </w:rPr>
          </w:pPr>
          <w:r>
            <w:rPr>
              <w:rFonts w:hint="eastAsia" w:ascii="宋体" w:hAnsi="宋体" w:eastAsia="宋体" w:cs="宋体"/>
              <w:sz w:val="30"/>
              <w:szCs w:val="30"/>
              <w:highlight w:val="none"/>
            </w:rPr>
            <w:fldChar w:fldCharType="end"/>
          </w:r>
        </w:p>
      </w:sdtContent>
    </w:sdt>
    <w:p>
      <w:pPr>
        <w:rPr>
          <w:highlight w:val="none"/>
        </w:rPr>
      </w:pPr>
    </w:p>
    <w:p>
      <w:pPr>
        <w:rPr>
          <w:highlight w:val="none"/>
        </w:rPr>
      </w:pPr>
    </w:p>
    <w:p>
      <w:pPr>
        <w:tabs>
          <w:tab w:val="left" w:pos="6156"/>
        </w:tabs>
        <w:jc w:val="left"/>
        <w:rPr>
          <w:highlight w:val="none"/>
        </w:rPr>
        <w:sectPr>
          <w:footerReference r:id="rId3" w:type="default"/>
          <w:pgSz w:w="11906" w:h="16838"/>
          <w:pgMar w:top="1440" w:right="1800" w:bottom="1440" w:left="1800" w:header="851" w:footer="992" w:gutter="0"/>
          <w:pgNumType w:start="1"/>
          <w:cols w:space="425" w:num="1"/>
          <w:docGrid w:type="lines" w:linePitch="312" w:charSpace="0"/>
        </w:sectPr>
      </w:pPr>
    </w:p>
    <w:p>
      <w:pPr>
        <w:pStyle w:val="3"/>
        <w:tabs>
          <w:tab w:val="left" w:pos="360"/>
        </w:tabs>
        <w:spacing w:before="0" w:after="0" w:line="360" w:lineRule="auto"/>
        <w:outlineLvl w:val="9"/>
        <w:rPr>
          <w:rFonts w:ascii="仿宋_GB2312" w:eastAsia="仿宋_GB2312" w:cs="Times New Roman"/>
          <w:sz w:val="24"/>
          <w:szCs w:val="24"/>
          <w:highlight w:val="none"/>
        </w:rPr>
      </w:pPr>
    </w:p>
    <w:p>
      <w:pPr>
        <w:pStyle w:val="3"/>
        <w:pageBreakBefore w:val="0"/>
        <w:tabs>
          <w:tab w:val="left" w:pos="360"/>
        </w:tabs>
        <w:kinsoku/>
        <w:overflowPunct/>
        <w:topLinePunct w:val="0"/>
        <w:autoSpaceDE/>
        <w:autoSpaceDN/>
        <w:bidi w:val="0"/>
        <w:adjustRightInd/>
        <w:snapToGrid/>
        <w:spacing w:before="0" w:after="0" w:line="360" w:lineRule="auto"/>
        <w:textAlignment w:val="auto"/>
        <w:rPr>
          <w:rFonts w:hint="eastAsia" w:ascii="宋体" w:hAnsi="宋体" w:eastAsia="宋体" w:cs="宋体"/>
          <w:sz w:val="24"/>
          <w:szCs w:val="24"/>
          <w:highlight w:val="none"/>
        </w:rPr>
      </w:pPr>
      <w:bookmarkStart w:id="0" w:name="_Toc19252"/>
      <w:r>
        <w:rPr>
          <w:rFonts w:hint="eastAsia" w:ascii="宋体" w:hAnsi="宋体" w:eastAsia="宋体" w:cs="宋体"/>
          <w:sz w:val="24"/>
          <w:szCs w:val="24"/>
          <w:highlight w:val="none"/>
        </w:rPr>
        <w:t>1 总则</w:t>
      </w:r>
      <w:bookmarkEnd w:id="0"/>
    </w:p>
    <w:p>
      <w:pPr>
        <w:spacing w:line="276"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1.1本技术规范书适用于500千伏桂中网架完善工程（超高压公司部分）质量检测服务技术要求。本规范书提出的工作内容、技术要求，其解释权归超高压输电公司所有。</w:t>
      </w:r>
    </w:p>
    <w:p>
      <w:pPr>
        <w:pStyle w:val="19"/>
        <w:pageBreakBefore w:val="0"/>
        <w:widowControl/>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1.2本技术规范书提出的是最低限度的技术要求，并未对一切技术细节做出规定，投标方应提供符合本规范书的技术服务成果。</w:t>
      </w:r>
    </w:p>
    <w:p>
      <w:pPr>
        <w:pStyle w:val="19"/>
        <w:pageBreakBefore w:val="0"/>
        <w:widowControl/>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1.3如果投标方没有以书面形式对本规范书的条款提出异议，则意味着投标方提供的技术服务完全满足本规范书的要求。如有异议，都应在投标文件中的差异表中加以详细描述，并说明原因。</w:t>
      </w:r>
    </w:p>
    <w:p>
      <w:pPr>
        <w:pStyle w:val="19"/>
        <w:pageBreakBefore w:val="0"/>
        <w:widowControl/>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1.4在本技术规范书签订协议之后，招标方有权提出因标准或规程规范发生变化而产生的一些补充，具体项目由双方共同商定。</w:t>
      </w:r>
    </w:p>
    <w:p>
      <w:pPr>
        <w:pStyle w:val="19"/>
        <w:pageBreakBefore w:val="0"/>
        <w:widowControl/>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1.5本技术规范书所使用的标准如与投标方所执行的标准发生矛盾时，按招标方要求的标准执行，本技术规范书未全部引用应用标准，凡是本技术规范书</w:t>
      </w:r>
      <w:r>
        <w:rPr>
          <w:rFonts w:hint="eastAsia" w:ascii="宋体" w:hAnsi="宋体" w:eastAsia="宋体" w:cs="宋体"/>
          <w:sz w:val="24"/>
          <w:szCs w:val="24"/>
          <w:highlight w:val="none"/>
          <w:lang w:eastAsia="zh-CN"/>
        </w:rPr>
        <w:t>涉及</w:t>
      </w:r>
      <w:r>
        <w:rPr>
          <w:rFonts w:hint="eastAsia" w:ascii="宋体" w:hAnsi="宋体" w:eastAsia="宋体" w:cs="宋体"/>
          <w:sz w:val="24"/>
          <w:szCs w:val="24"/>
          <w:highlight w:val="none"/>
        </w:rPr>
        <w:t>的各项内容均按最新标准实施。</w:t>
      </w:r>
    </w:p>
    <w:p>
      <w:pPr>
        <w:pStyle w:val="14"/>
        <w:pageBreakBefore w:val="0"/>
        <w:kinsoku/>
        <w:overflowPunct/>
        <w:topLinePunct w:val="0"/>
        <w:autoSpaceDE/>
        <w:autoSpaceDN/>
        <w:bidi w:val="0"/>
        <w:adjustRightInd/>
        <w:snapToGrid/>
        <w:spacing w:line="360" w:lineRule="auto"/>
        <w:ind w:firstLine="0" w:firstLineChars="0"/>
        <w:textAlignment w:val="auto"/>
        <w:outlineLvl w:val="0"/>
        <w:rPr>
          <w:rFonts w:hint="eastAsia" w:ascii="宋体" w:hAnsi="宋体" w:eastAsia="宋体" w:cs="宋体"/>
          <w:b/>
          <w:highlight w:val="none"/>
        </w:rPr>
      </w:pPr>
      <w:bookmarkStart w:id="1" w:name="_Toc27096"/>
      <w:r>
        <w:rPr>
          <w:rFonts w:hint="eastAsia" w:ascii="宋体" w:hAnsi="宋体" w:eastAsia="宋体" w:cs="宋体"/>
          <w:b/>
          <w:highlight w:val="none"/>
        </w:rPr>
        <w:t>2 项目概述</w:t>
      </w:r>
      <w:bookmarkEnd w:id="1"/>
    </w:p>
    <w:p>
      <w:pPr>
        <w:pStyle w:val="7"/>
        <w:spacing w:line="360" w:lineRule="auto"/>
        <w:ind w:firstLine="480" w:firstLineChars="200"/>
        <w:jc w:val="both"/>
        <w:rPr>
          <w:rFonts w:hint="eastAsia" w:ascii="宋体" w:hAnsi="宋体" w:cs="宋体"/>
          <w:sz w:val="24"/>
          <w:szCs w:val="24"/>
          <w:highlight w:val="none"/>
          <w:lang w:val="en-US" w:eastAsia="zh-CN"/>
        </w:rPr>
      </w:pPr>
      <w:bookmarkStart w:id="2" w:name="_Toc10131"/>
      <w:r>
        <w:rPr>
          <w:rFonts w:hint="eastAsia" w:ascii="宋体" w:hAnsi="宋体" w:cs="宋体"/>
          <w:sz w:val="24"/>
          <w:szCs w:val="24"/>
          <w:highlight w:val="none"/>
          <w:lang w:val="en-US" w:eastAsia="zh-CN"/>
        </w:rPr>
        <w:t>桂中±500kV换流站站址位于</w:t>
      </w:r>
      <w:r>
        <w:rPr>
          <w:rFonts w:hint="eastAsia" w:ascii="宋体" w:hAnsi="宋体" w:eastAsia="宋体" w:cs="宋体"/>
          <w:sz w:val="24"/>
          <w:szCs w:val="24"/>
          <w:highlight w:val="none"/>
          <w:lang w:val="en-US" w:eastAsia="zh-CN"/>
        </w:rPr>
        <w:t>广西壮族自治区柳州市西南14km的柳江县进德镇</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进站道路从站区东侧道路引接，</w:t>
      </w:r>
      <w:r>
        <w:rPr>
          <w:rFonts w:hint="eastAsia" w:ascii="宋体" w:hAnsi="宋体" w:cs="宋体"/>
          <w:sz w:val="24"/>
          <w:szCs w:val="24"/>
          <w:highlight w:val="none"/>
          <w:lang w:val="en-US" w:eastAsia="zh-CN"/>
        </w:rPr>
        <w:t>交通便利。</w:t>
      </w:r>
      <w:r>
        <w:rPr>
          <w:rFonts w:hint="eastAsia" w:ascii="宋体" w:hAnsi="宋体" w:eastAsia="宋体" w:cs="宋体"/>
          <w:sz w:val="24"/>
          <w:szCs w:val="24"/>
          <w:highlight w:val="none"/>
          <w:lang w:val="en-US" w:eastAsia="zh-CN"/>
        </w:rPr>
        <w:t>该换</w:t>
      </w:r>
      <w:r>
        <w:rPr>
          <w:rFonts w:hint="eastAsia" w:ascii="宋体" w:hAnsi="宋体" w:cs="宋体"/>
          <w:sz w:val="24"/>
          <w:szCs w:val="24"/>
          <w:highlight w:val="none"/>
          <w:lang w:val="en-US" w:eastAsia="zh-CN"/>
        </w:rPr>
        <w:t>流站于2016年5月投运。</w:t>
      </w:r>
    </w:p>
    <w:p>
      <w:pPr>
        <w:pStyle w:val="7"/>
        <w:spacing w:line="360" w:lineRule="auto"/>
        <w:ind w:firstLine="480" w:firstLineChars="20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500kV交流配电装置布置在站区南侧，向南出线；220kV交流配电装置布置在站区东侧，向东出线；500kV直流配电装置布置在站区西侧，向西出线；主控楼布置在站区中部，从北侧进站。该换流站工程已按最终规模征地面积18.07公顷（271.1亩），其中围墙内占地14.38公顷。本期工程在该换流站扩建1回500kV出线，占地面积0.09公顷，扩建工程在原有围墙内预留场地进行，不需新征用地。</w:t>
      </w:r>
    </w:p>
    <w:p>
      <w:pPr>
        <w:pStyle w:val="7"/>
        <w:spacing w:line="360" w:lineRule="auto"/>
        <w:ind w:firstLine="480" w:firstLineChars="200"/>
        <w:jc w:val="both"/>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根据《500千伏桂中网架完善工程初步设计说明书收口版》，500千伏桂中网架完善工程（超高压公司部分）建设规模如下：根据电力系统的发展和规划，本工程桂中换流站扩建1回500千伏出线间隔。500千伏采用一个半断路器接线，本期新建1个不完整串，安装1组罐式断路器，采用AIS设备。更换前期第2串原有3组电流互感器、4组隔离开关设备。</w:t>
      </w:r>
    </w:p>
    <w:p>
      <w:pPr>
        <w:pStyle w:val="7"/>
        <w:spacing w:line="360" w:lineRule="auto"/>
        <w:ind w:firstLine="480" w:firstLineChars="200"/>
        <w:jc w:val="both"/>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本工程扩建1回500千伏出线间隔，本次在前期预留设备位置上进行扩建，电气接线、电气平面布置尽量与前期工程保持一致。</w:t>
      </w:r>
    </w:p>
    <w:p>
      <w:pPr>
        <w:pStyle w:val="14"/>
        <w:pageBreakBefore w:val="0"/>
        <w:kinsoku/>
        <w:overflowPunct/>
        <w:topLinePunct w:val="0"/>
        <w:autoSpaceDE/>
        <w:autoSpaceDN/>
        <w:bidi w:val="0"/>
        <w:adjustRightInd/>
        <w:snapToGrid/>
        <w:spacing w:line="360" w:lineRule="auto"/>
        <w:ind w:firstLine="0" w:firstLineChars="0"/>
        <w:textAlignment w:val="auto"/>
        <w:outlineLvl w:val="0"/>
        <w:rPr>
          <w:rFonts w:hint="eastAsia" w:ascii="宋体" w:hAnsi="宋体" w:eastAsia="宋体" w:cs="宋体"/>
          <w:b/>
          <w:highlight w:val="none"/>
        </w:rPr>
      </w:pPr>
      <w:r>
        <w:rPr>
          <w:rFonts w:hint="eastAsia" w:ascii="宋体" w:hAnsi="宋体" w:eastAsia="宋体" w:cs="宋体"/>
          <w:b/>
          <w:highlight w:val="none"/>
        </w:rPr>
        <w:t>3 采购范围</w:t>
      </w:r>
      <w:bookmarkEnd w:id="2"/>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3.1服务主要内容包括：</w:t>
      </w:r>
      <w:r>
        <w:rPr>
          <w:rFonts w:hint="eastAsia" w:ascii="宋体" w:hAnsi="宋体" w:eastAsia="宋体" w:cs="宋体"/>
          <w:sz w:val="24"/>
          <w:szCs w:val="24"/>
          <w:highlight w:val="none"/>
        </w:rPr>
        <w:t>500千伏桂中网架完善工程（超高压公司部分）</w:t>
      </w:r>
      <w:r>
        <w:rPr>
          <w:rFonts w:hint="eastAsia" w:ascii="宋体" w:hAnsi="宋体" w:eastAsia="宋体" w:cs="宋体"/>
          <w:sz w:val="24"/>
          <w:szCs w:val="24"/>
          <w:highlight w:val="none"/>
          <w:lang w:val="en-US" w:eastAsia="zh-CN"/>
        </w:rPr>
        <w:t>施工及验收阶段相关的建筑材料质量检测和实体工程质量按规范和验收要求必须检测的项目。实</w:t>
      </w:r>
      <w:r>
        <w:rPr>
          <w:rFonts w:hint="eastAsia" w:ascii="宋体" w:hAnsi="宋体" w:eastAsia="宋体" w:cs="宋体"/>
          <w:kern w:val="0"/>
          <w:sz w:val="24"/>
          <w:highlight w:val="none"/>
        </w:rPr>
        <w:t>际检测服务工作内容以各方根据审定版施工图图纸、设计变更和有关规范要求等确认的检测服务工作量为准。</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3.2本标段服务范围除以上工作外，还包括：</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3.2.1</w:t>
      </w:r>
      <w:r>
        <w:rPr>
          <w:rFonts w:hint="eastAsia" w:ascii="宋体" w:hAnsi="宋体" w:eastAsia="宋体" w:cs="宋体"/>
          <w:kern w:val="0"/>
          <w:sz w:val="24"/>
          <w:highlight w:val="none"/>
        </w:rPr>
        <w:t>根据设计文件、施工组织设计、相关规范和相关行政职能部门要求和招标方要求，结合项目实际情况，编制检测方案，并确保检测方案符合有关规范要求及通过工程所在行政区域的相关建设行政主管部门和监督部门的审批，同时负责协调相关工作，保证技术成果能够通过相关部门认可，确保不因检测工作影响工程项目的建设进度和竣工验收。</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3.2.2</w:t>
      </w:r>
      <w:r>
        <w:rPr>
          <w:rFonts w:hint="eastAsia" w:ascii="宋体" w:hAnsi="宋体" w:eastAsia="宋体" w:cs="宋体"/>
          <w:kern w:val="0"/>
          <w:sz w:val="24"/>
          <w:highlight w:val="none"/>
        </w:rPr>
        <w:t>首次进场检测前须完成企业资质、检测人员资质、检测工器具等相关文件报审，进</w:t>
      </w:r>
      <w:r>
        <w:rPr>
          <w:rFonts w:hint="eastAsia" w:ascii="宋体" w:hAnsi="宋体" w:eastAsia="宋体" w:cs="宋体"/>
          <w:kern w:val="0"/>
          <w:sz w:val="24"/>
          <w:highlight w:val="none"/>
          <w:lang w:eastAsia="zh-CN"/>
        </w:rPr>
        <w:t>场</w:t>
      </w:r>
      <w:r>
        <w:rPr>
          <w:rFonts w:hint="eastAsia" w:ascii="宋体" w:hAnsi="宋体" w:eastAsia="宋体" w:cs="宋体"/>
          <w:kern w:val="0"/>
          <w:sz w:val="24"/>
          <w:highlight w:val="none"/>
        </w:rPr>
        <w:t>检测过程中必须遵循</w:t>
      </w:r>
      <w:r>
        <w:rPr>
          <w:rFonts w:hint="eastAsia" w:ascii="宋体" w:hAnsi="宋体" w:eastAsia="宋体" w:cs="宋体"/>
          <w:kern w:val="0"/>
          <w:sz w:val="24"/>
          <w:highlight w:val="none"/>
          <w:lang w:eastAsia="zh-CN"/>
        </w:rPr>
        <w:t>施工现场</w:t>
      </w:r>
      <w:r>
        <w:rPr>
          <w:rFonts w:hint="eastAsia" w:ascii="宋体" w:hAnsi="宋体" w:eastAsia="宋体" w:cs="宋体"/>
          <w:kern w:val="0"/>
          <w:sz w:val="24"/>
          <w:highlight w:val="none"/>
        </w:rPr>
        <w:t>的安全管控要求。</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3.2.3</w:t>
      </w:r>
      <w:r>
        <w:rPr>
          <w:rFonts w:hint="eastAsia" w:ascii="宋体" w:hAnsi="宋体" w:eastAsia="宋体" w:cs="宋体"/>
          <w:kern w:val="0"/>
          <w:sz w:val="24"/>
          <w:highlight w:val="none"/>
        </w:rPr>
        <w:t>负责将检测数据的有关信息通过建设工程质量检测管理信息系统报送。</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3.3服务期：服务周期从中标单位进场至所有服务项目完成为止，具体开工日期以总监理工程师或发包人代表签发的开工令为准。包括施工准备阶段及施工全过程，服务周期必须满足实际施工要求。</w:t>
      </w:r>
    </w:p>
    <w:p>
      <w:pPr>
        <w:pStyle w:val="14"/>
        <w:pageBreakBefore w:val="0"/>
        <w:kinsoku/>
        <w:overflowPunct/>
        <w:topLinePunct w:val="0"/>
        <w:autoSpaceDE/>
        <w:autoSpaceDN/>
        <w:bidi w:val="0"/>
        <w:adjustRightInd/>
        <w:snapToGrid/>
        <w:spacing w:line="360" w:lineRule="auto"/>
        <w:ind w:firstLine="0" w:firstLineChars="0"/>
        <w:textAlignment w:val="auto"/>
        <w:outlineLvl w:val="0"/>
        <w:rPr>
          <w:rFonts w:hint="eastAsia" w:ascii="宋体" w:hAnsi="宋体" w:eastAsia="宋体" w:cs="宋体"/>
          <w:b/>
          <w:highlight w:val="none"/>
        </w:rPr>
      </w:pPr>
      <w:bookmarkStart w:id="3" w:name="_Toc10716"/>
      <w:r>
        <w:rPr>
          <w:rFonts w:hint="eastAsia" w:ascii="宋体" w:hAnsi="宋体" w:eastAsia="宋体" w:cs="宋体"/>
          <w:b/>
          <w:highlight w:val="none"/>
        </w:rPr>
        <w:t>4 检测技术标准和规程规范</w:t>
      </w:r>
      <w:bookmarkEnd w:id="3"/>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本项目须达到下列现行中华人民共和国以及省、自治区、直辖市或行业的有关法律法规、标准、规范的要求，满足中国南方电网公司有限责任公司的管理制度和规定、技术标准，至少应包括：</w:t>
      </w:r>
    </w:p>
    <w:tbl>
      <w:tblPr>
        <w:tblStyle w:val="15"/>
        <w:tblW w:w="8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6264"/>
        <w:gridCol w:w="1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blHeader/>
          <w:jc w:val="center"/>
        </w:trPr>
        <w:tc>
          <w:tcPr>
            <w:tcW w:w="700" w:type="dxa"/>
            <w:vAlign w:val="center"/>
          </w:tcPr>
          <w:p>
            <w:pPr>
              <w:widowControl/>
              <w:jc w:val="center"/>
              <w:rPr>
                <w:rFonts w:ascii="宋体" w:hAnsi="宋体" w:cs="宋体"/>
                <w:b/>
                <w:bCs/>
                <w:kern w:val="0"/>
                <w:szCs w:val="21"/>
                <w:highlight w:val="none"/>
              </w:rPr>
            </w:pPr>
            <w:r>
              <w:rPr>
                <w:rFonts w:hint="eastAsia" w:ascii="宋体" w:hAnsi="宋体" w:cs="宋体"/>
                <w:b/>
                <w:bCs/>
                <w:kern w:val="0"/>
                <w:szCs w:val="21"/>
                <w:highlight w:val="none"/>
              </w:rPr>
              <w:t>序号</w:t>
            </w:r>
          </w:p>
        </w:tc>
        <w:tc>
          <w:tcPr>
            <w:tcW w:w="6264" w:type="dxa"/>
            <w:vAlign w:val="center"/>
          </w:tcPr>
          <w:p>
            <w:pPr>
              <w:widowControl/>
              <w:jc w:val="center"/>
              <w:rPr>
                <w:rFonts w:ascii="宋体" w:hAnsi="宋体" w:cs="宋体"/>
                <w:b/>
                <w:bCs/>
                <w:kern w:val="0"/>
                <w:szCs w:val="21"/>
                <w:highlight w:val="none"/>
              </w:rPr>
            </w:pPr>
            <w:r>
              <w:rPr>
                <w:rFonts w:hint="eastAsia" w:ascii="宋体" w:hAnsi="宋体" w:cs="宋体"/>
                <w:b/>
                <w:bCs/>
                <w:kern w:val="0"/>
                <w:szCs w:val="21"/>
                <w:highlight w:val="none"/>
              </w:rPr>
              <w:t>名称</w:t>
            </w:r>
          </w:p>
        </w:tc>
        <w:tc>
          <w:tcPr>
            <w:tcW w:w="1183" w:type="dxa"/>
            <w:vAlign w:val="center"/>
          </w:tcPr>
          <w:p>
            <w:pPr>
              <w:widowControl/>
              <w:jc w:val="center"/>
              <w:rPr>
                <w:rFonts w:ascii="宋体" w:hAnsi="宋体" w:cs="宋体"/>
                <w:b/>
                <w:bCs/>
                <w:kern w:val="0"/>
                <w:szCs w:val="21"/>
                <w:highlight w:val="none"/>
              </w:rPr>
            </w:pPr>
            <w:r>
              <w:rPr>
                <w:rFonts w:hint="eastAsia" w:ascii="宋体" w:hAnsi="宋体" w:cs="宋体"/>
                <w:b/>
                <w:bCs/>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textAlignment w:val="center"/>
              <w:rPr>
                <w:rFonts w:ascii="宋体" w:hAnsi="宋体" w:cs="宋体"/>
                <w:kern w:val="0"/>
                <w:szCs w:val="21"/>
                <w:highlight w:val="none"/>
              </w:rPr>
            </w:pPr>
            <w:r>
              <w:rPr>
                <w:rFonts w:hint="eastAsia" w:ascii="宋体" w:hAnsi="宋体" w:cs="宋体"/>
                <w:kern w:val="0"/>
                <w:szCs w:val="21"/>
                <w:highlight w:val="none"/>
              </w:rPr>
              <w:t>1</w:t>
            </w:r>
          </w:p>
        </w:tc>
        <w:tc>
          <w:tcPr>
            <w:tcW w:w="6264" w:type="dxa"/>
            <w:vAlign w:val="center"/>
          </w:tcPr>
          <w:p>
            <w:pPr>
              <w:widowControl/>
              <w:jc w:val="left"/>
              <w:textAlignment w:val="center"/>
              <w:rPr>
                <w:rFonts w:ascii="宋体" w:hAnsi="宋体" w:cs="宋体"/>
                <w:kern w:val="0"/>
                <w:szCs w:val="21"/>
                <w:highlight w:val="none"/>
              </w:rPr>
            </w:pPr>
            <w:r>
              <w:rPr>
                <w:rFonts w:hint="eastAsia" w:ascii="宋体" w:hAnsi="宋体" w:cs="宋体"/>
                <w:kern w:val="0"/>
                <w:szCs w:val="21"/>
                <w:highlight w:val="none"/>
              </w:rPr>
              <w:t>《建筑地基基础设计规范》（GB 50007-2011）</w:t>
            </w:r>
          </w:p>
        </w:tc>
        <w:tc>
          <w:tcPr>
            <w:tcW w:w="118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w:t>
            </w:r>
          </w:p>
        </w:tc>
        <w:tc>
          <w:tcPr>
            <w:tcW w:w="6264" w:type="dxa"/>
            <w:vAlign w:val="center"/>
          </w:tcPr>
          <w:p>
            <w:pPr>
              <w:widowControl/>
              <w:jc w:val="left"/>
              <w:textAlignment w:val="center"/>
              <w:rPr>
                <w:rFonts w:ascii="宋体" w:hAnsi="宋体" w:cs="宋体"/>
                <w:kern w:val="0"/>
                <w:szCs w:val="21"/>
                <w:highlight w:val="none"/>
              </w:rPr>
            </w:pPr>
            <w:r>
              <w:rPr>
                <w:rFonts w:hint="eastAsia" w:ascii="宋体" w:hAnsi="宋体" w:cs="宋体"/>
                <w:kern w:val="0"/>
                <w:szCs w:val="21"/>
                <w:highlight w:val="none"/>
              </w:rPr>
              <w:t>《岩溶地区建筑地基基础技术标准》（GB/T 51238-2018）</w:t>
            </w:r>
          </w:p>
        </w:tc>
        <w:tc>
          <w:tcPr>
            <w:tcW w:w="118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w:t>
            </w:r>
          </w:p>
        </w:tc>
        <w:tc>
          <w:tcPr>
            <w:tcW w:w="6264" w:type="dxa"/>
            <w:vAlign w:val="center"/>
          </w:tcPr>
          <w:p>
            <w:pPr>
              <w:widowControl/>
              <w:jc w:val="left"/>
              <w:rPr>
                <w:rFonts w:ascii="宋体" w:hAnsi="宋体" w:cs="宋体"/>
                <w:color w:val="000000"/>
                <w:kern w:val="0"/>
                <w:szCs w:val="21"/>
                <w:highlight w:val="none"/>
              </w:rPr>
            </w:pPr>
            <w:r>
              <w:rPr>
                <w:rFonts w:hint="eastAsia" w:ascii="宋体" w:hAnsi="宋体" w:cs="宋体"/>
                <w:color w:val="000000"/>
                <w:kern w:val="0"/>
                <w:szCs w:val="21"/>
                <w:highlight w:val="none"/>
              </w:rPr>
              <w:t>《建筑地基基础工程施工质量验收规范》（GB 50202-2018）</w:t>
            </w:r>
          </w:p>
        </w:tc>
        <w:tc>
          <w:tcPr>
            <w:tcW w:w="118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4</w:t>
            </w:r>
          </w:p>
        </w:tc>
        <w:tc>
          <w:tcPr>
            <w:tcW w:w="6264" w:type="dxa"/>
            <w:vAlign w:val="center"/>
          </w:tcPr>
          <w:p>
            <w:pPr>
              <w:widowControl/>
              <w:jc w:val="left"/>
              <w:rPr>
                <w:rFonts w:ascii="宋体" w:hAnsi="宋体" w:cs="宋体"/>
                <w:color w:val="000000"/>
                <w:kern w:val="0"/>
                <w:szCs w:val="21"/>
                <w:highlight w:val="none"/>
              </w:rPr>
            </w:pPr>
            <w:r>
              <w:rPr>
                <w:rFonts w:hint="eastAsia" w:ascii="宋体" w:hAnsi="宋体" w:cs="宋体"/>
                <w:color w:val="000000"/>
                <w:kern w:val="0"/>
                <w:szCs w:val="21"/>
                <w:highlight w:val="none"/>
              </w:rPr>
              <w:t>《混凝土结构工程施工质量验收规范》（</w:t>
            </w:r>
            <w:r>
              <w:rPr>
                <w:rFonts w:ascii="宋体" w:hAnsi="宋体" w:cs="宋体"/>
                <w:color w:val="000000"/>
                <w:kern w:val="0"/>
                <w:szCs w:val="21"/>
                <w:highlight w:val="none"/>
              </w:rPr>
              <w:t>GB50204-2015）</w:t>
            </w:r>
          </w:p>
        </w:tc>
        <w:tc>
          <w:tcPr>
            <w:tcW w:w="118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5</w:t>
            </w:r>
          </w:p>
        </w:tc>
        <w:tc>
          <w:tcPr>
            <w:tcW w:w="6264" w:type="dxa"/>
            <w:vAlign w:val="center"/>
          </w:tcPr>
          <w:p>
            <w:pPr>
              <w:widowControl/>
              <w:jc w:val="left"/>
              <w:rPr>
                <w:rFonts w:ascii="宋体" w:hAnsi="宋体" w:cs="宋体"/>
                <w:color w:val="000000"/>
                <w:kern w:val="0"/>
                <w:szCs w:val="21"/>
                <w:highlight w:val="none"/>
              </w:rPr>
            </w:pPr>
            <w:r>
              <w:rPr>
                <w:rFonts w:hint="eastAsia" w:ascii="宋体" w:hAnsi="宋体" w:cs="宋体"/>
                <w:color w:val="000000"/>
                <w:kern w:val="0"/>
                <w:szCs w:val="21"/>
                <w:highlight w:val="none"/>
              </w:rPr>
              <w:t>《建筑结构检测技术标准》（GB/T 50344-2019）</w:t>
            </w:r>
          </w:p>
        </w:tc>
        <w:tc>
          <w:tcPr>
            <w:tcW w:w="1183"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6</w:t>
            </w:r>
          </w:p>
        </w:tc>
        <w:tc>
          <w:tcPr>
            <w:tcW w:w="6264" w:type="dxa"/>
            <w:vAlign w:val="center"/>
          </w:tcPr>
          <w:p>
            <w:pPr>
              <w:widowControl/>
              <w:jc w:val="left"/>
              <w:textAlignment w:val="center"/>
              <w:rPr>
                <w:rFonts w:ascii="宋体" w:hAnsi="宋体" w:cs="宋体"/>
                <w:kern w:val="0"/>
                <w:szCs w:val="21"/>
                <w:highlight w:val="none"/>
              </w:rPr>
            </w:pPr>
            <w:r>
              <w:rPr>
                <w:rFonts w:hint="eastAsia" w:ascii="宋体" w:hAnsi="宋体" w:cs="宋体"/>
                <w:kern w:val="0"/>
                <w:szCs w:val="21"/>
                <w:highlight w:val="none"/>
              </w:rPr>
              <w:t>《建筑地基检测技术规范》（JGJ 340-2015）</w:t>
            </w:r>
          </w:p>
        </w:tc>
        <w:tc>
          <w:tcPr>
            <w:tcW w:w="1183" w:type="dxa"/>
            <w:vAlign w:val="center"/>
          </w:tcPr>
          <w:p>
            <w:pPr>
              <w:jc w:val="center"/>
              <w:rPr>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7</w:t>
            </w:r>
          </w:p>
        </w:tc>
        <w:tc>
          <w:tcPr>
            <w:tcW w:w="6264" w:type="dxa"/>
            <w:vAlign w:val="center"/>
          </w:tcPr>
          <w:p>
            <w:pPr>
              <w:widowControl/>
              <w:jc w:val="left"/>
              <w:textAlignment w:val="center"/>
              <w:rPr>
                <w:rFonts w:ascii="宋体" w:hAnsi="宋体" w:cs="宋体"/>
                <w:kern w:val="0"/>
                <w:szCs w:val="21"/>
                <w:highlight w:val="none"/>
              </w:rPr>
            </w:pPr>
            <w:r>
              <w:rPr>
                <w:rFonts w:hint="eastAsia" w:ascii="宋体" w:hAnsi="宋体" w:cs="宋体"/>
                <w:kern w:val="0"/>
                <w:szCs w:val="21"/>
                <w:highlight w:val="none"/>
              </w:rPr>
              <w:t>《建筑桩基技术规范》（JGJ94－2008）</w:t>
            </w:r>
          </w:p>
        </w:tc>
        <w:tc>
          <w:tcPr>
            <w:tcW w:w="1183" w:type="dxa"/>
            <w:vAlign w:val="center"/>
          </w:tcPr>
          <w:p>
            <w:pPr>
              <w:jc w:val="center"/>
              <w:rPr>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8</w:t>
            </w:r>
          </w:p>
        </w:tc>
        <w:tc>
          <w:tcPr>
            <w:tcW w:w="6264" w:type="dxa"/>
            <w:vAlign w:val="center"/>
          </w:tcPr>
          <w:p>
            <w:pPr>
              <w:widowControl/>
              <w:jc w:val="left"/>
              <w:textAlignment w:val="center"/>
              <w:rPr>
                <w:rFonts w:ascii="宋体" w:hAnsi="宋体" w:cs="宋体"/>
                <w:kern w:val="0"/>
                <w:szCs w:val="21"/>
                <w:highlight w:val="none"/>
              </w:rPr>
            </w:pPr>
            <w:bookmarkStart w:id="4" w:name="OLE_LINK1"/>
            <w:r>
              <w:rPr>
                <w:rFonts w:hint="eastAsia" w:ascii="宋体" w:hAnsi="宋体" w:cs="宋体"/>
                <w:kern w:val="0"/>
                <w:szCs w:val="21"/>
                <w:highlight w:val="none"/>
              </w:rPr>
              <w:t>《建筑基桩检测技术规范》</w:t>
            </w:r>
            <w:bookmarkEnd w:id="4"/>
            <w:r>
              <w:rPr>
                <w:rFonts w:hint="eastAsia" w:ascii="宋体" w:hAnsi="宋体" w:cs="宋体"/>
                <w:kern w:val="0"/>
                <w:szCs w:val="21"/>
                <w:highlight w:val="none"/>
              </w:rPr>
              <w:t>（JGJ 106-2014）</w:t>
            </w:r>
          </w:p>
        </w:tc>
        <w:tc>
          <w:tcPr>
            <w:tcW w:w="1183" w:type="dxa"/>
            <w:vAlign w:val="center"/>
          </w:tcPr>
          <w:p>
            <w:pPr>
              <w:jc w:val="center"/>
              <w:rPr>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9</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《66kV及以下架空电力电路设计规范》（GB 50061-2010）</w:t>
            </w:r>
          </w:p>
        </w:tc>
        <w:tc>
          <w:tcPr>
            <w:tcW w:w="1183" w:type="dxa"/>
            <w:vAlign w:val="center"/>
          </w:tcPr>
          <w:p>
            <w:pPr>
              <w:jc w:val="center"/>
              <w:rPr>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10</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《110～750kV架空输电线路设计规范》（GB 50545-2010）</w:t>
            </w:r>
          </w:p>
        </w:tc>
        <w:tc>
          <w:tcPr>
            <w:tcW w:w="1183" w:type="dxa"/>
            <w:vAlign w:val="center"/>
          </w:tcPr>
          <w:p>
            <w:pPr>
              <w:jc w:val="center"/>
              <w:rPr>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11</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《±800kV直流架空输电线路设计规范》（GB/T 50790-2013）（2019年版）</w:t>
            </w:r>
          </w:p>
        </w:tc>
        <w:tc>
          <w:tcPr>
            <w:tcW w:w="1183" w:type="dxa"/>
            <w:vAlign w:val="center"/>
          </w:tcPr>
          <w:p>
            <w:pPr>
              <w:jc w:val="center"/>
              <w:rPr>
                <w:highlight w:val="none"/>
              </w:rPr>
            </w:pPr>
            <w:r>
              <w:rPr>
                <w:rFonts w:hint="eastAsia" w:ascii="宋体" w:hAnsi="宋体" w:cs="宋体"/>
                <w:color w:val="000000"/>
                <w:kern w:val="0"/>
                <w:szCs w:val="21"/>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12</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《220kV及以下架空送电线路勘测技术规程》（DL/T 5076-2008）</w:t>
            </w:r>
          </w:p>
        </w:tc>
        <w:tc>
          <w:tcPr>
            <w:tcW w:w="1183" w:type="dxa"/>
            <w:vAlign w:val="center"/>
          </w:tcPr>
          <w:p>
            <w:pPr>
              <w:jc w:val="center"/>
              <w:rPr>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13</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《330kV～750kV架空输电线路勘测标准》（GB/T 50548-2018）</w:t>
            </w:r>
          </w:p>
        </w:tc>
        <w:tc>
          <w:tcPr>
            <w:tcW w:w="1183" w:type="dxa"/>
            <w:vAlign w:val="center"/>
          </w:tcPr>
          <w:p>
            <w:pPr>
              <w:jc w:val="center"/>
              <w:rPr>
                <w:highlight w:val="none"/>
              </w:rPr>
            </w:pPr>
            <w:r>
              <w:rPr>
                <w:rFonts w:hint="eastAsia"/>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14</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《1000kV架空输电线路勘测规范》（GB 50741-2012）</w:t>
            </w:r>
          </w:p>
        </w:tc>
        <w:tc>
          <w:tcPr>
            <w:tcW w:w="1183" w:type="dxa"/>
            <w:vAlign w:val="center"/>
          </w:tcPr>
          <w:p>
            <w:pPr>
              <w:jc w:val="center"/>
              <w:rPr>
                <w:highlight w:val="none"/>
              </w:rPr>
            </w:pPr>
            <w:r>
              <w:rPr>
                <w:rFonts w:hint="eastAsia"/>
                <w:highlight w:val="none"/>
              </w:rPr>
              <w:t>国家标准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15</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《架空输电线路大跨越工程勘测技术规程》（DL/T 5049-2016）</w:t>
            </w:r>
          </w:p>
        </w:tc>
        <w:tc>
          <w:tcPr>
            <w:tcW w:w="1183" w:type="dxa"/>
            <w:vAlign w:val="center"/>
          </w:tcPr>
          <w:p>
            <w:pPr>
              <w:jc w:val="center"/>
              <w:rPr>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16</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《变电站建筑结构设计技术规程》（DL/T 5457-2012）</w:t>
            </w:r>
          </w:p>
        </w:tc>
        <w:tc>
          <w:tcPr>
            <w:tcW w:w="1183" w:type="dxa"/>
            <w:vAlign w:val="center"/>
          </w:tcPr>
          <w:p>
            <w:pPr>
              <w:jc w:val="center"/>
              <w:rPr>
                <w:rFonts w:hint="eastAsia"/>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17</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《变电站岩土工程勘测技术规程》（DL/T 5170-2015）</w:t>
            </w:r>
          </w:p>
        </w:tc>
        <w:tc>
          <w:tcPr>
            <w:tcW w:w="1183" w:type="dxa"/>
            <w:vAlign w:val="center"/>
          </w:tcPr>
          <w:p>
            <w:pPr>
              <w:jc w:val="center"/>
              <w:rPr>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hint="eastAsia" w:ascii="宋体" w:hAnsi="宋体" w:cs="宋体"/>
                <w:color w:val="000000"/>
                <w:kern w:val="0"/>
                <w:szCs w:val="21"/>
                <w:highlight w:val="none"/>
              </w:rPr>
            </w:pPr>
            <w:r>
              <w:rPr>
                <w:rFonts w:hint="eastAsia" w:ascii="宋体" w:hAnsi="宋体" w:cs="宋体"/>
                <w:color w:val="000000"/>
                <w:kern w:val="0"/>
                <w:szCs w:val="21"/>
                <w:highlight w:val="none"/>
              </w:rPr>
              <w:t>18</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《架空输电线路基础设计技术规程》（DL/T 5219-2014）</w:t>
            </w:r>
          </w:p>
        </w:tc>
        <w:tc>
          <w:tcPr>
            <w:tcW w:w="1183" w:type="dxa"/>
            <w:vAlign w:val="center"/>
          </w:tcPr>
          <w:p>
            <w:pPr>
              <w:jc w:val="center"/>
              <w:rPr>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19</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《电力工程地基处理技术规程》（DL/T 5024-20</w:t>
            </w:r>
            <w:r>
              <w:rPr>
                <w:rFonts w:hint="eastAsia" w:ascii="宋体" w:hAnsi="宋体" w:cs="宋体"/>
                <w:kern w:val="0"/>
                <w:szCs w:val="21"/>
                <w:highlight w:val="none"/>
                <w:lang w:val="en-US" w:eastAsia="zh-CN"/>
              </w:rPr>
              <w:t>20</w:t>
            </w:r>
            <w:r>
              <w:rPr>
                <w:rFonts w:hint="eastAsia" w:ascii="宋体" w:hAnsi="宋体" w:cs="宋体"/>
                <w:kern w:val="0"/>
                <w:szCs w:val="21"/>
                <w:highlight w:val="none"/>
              </w:rPr>
              <w:t>）</w:t>
            </w:r>
          </w:p>
        </w:tc>
        <w:tc>
          <w:tcPr>
            <w:tcW w:w="1183" w:type="dxa"/>
            <w:vAlign w:val="center"/>
          </w:tcPr>
          <w:p>
            <w:pPr>
              <w:jc w:val="center"/>
              <w:rPr>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20</w:t>
            </w:r>
          </w:p>
        </w:tc>
        <w:tc>
          <w:tcPr>
            <w:tcW w:w="6264" w:type="dxa"/>
            <w:vAlign w:val="center"/>
          </w:tcPr>
          <w:p>
            <w:pPr>
              <w:widowControl/>
              <w:jc w:val="left"/>
              <w:textAlignment w:val="center"/>
              <w:rPr>
                <w:rFonts w:hint="eastAsia" w:ascii="宋体" w:hAnsi="宋体" w:cs="宋体"/>
                <w:kern w:val="0"/>
                <w:szCs w:val="21"/>
                <w:highlight w:val="none"/>
              </w:rPr>
            </w:pPr>
            <w:r>
              <w:rPr>
                <w:rFonts w:hint="eastAsia" w:ascii="宋体" w:hAnsi="宋体" w:cs="宋体"/>
                <w:kern w:val="0"/>
                <w:szCs w:val="21"/>
                <w:highlight w:val="none"/>
              </w:rPr>
              <w:t>《电力工程基桩检测技术规程》（DL/T 5493-2014）</w:t>
            </w:r>
          </w:p>
        </w:tc>
        <w:tc>
          <w:tcPr>
            <w:tcW w:w="1183" w:type="dxa"/>
            <w:vAlign w:val="center"/>
          </w:tcPr>
          <w:p>
            <w:pPr>
              <w:jc w:val="center"/>
              <w:rPr>
                <w:rFonts w:hint="eastAsia"/>
                <w:highlight w:val="none"/>
              </w:rPr>
            </w:pPr>
            <w:r>
              <w:rPr>
                <w:rFonts w:hint="eastAsia"/>
                <w:highlight w:val="none"/>
              </w:rPr>
              <w:t>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00" w:type="dxa"/>
            <w:vAlign w:val="center"/>
          </w:tcPr>
          <w:p>
            <w:pPr>
              <w:widowControl/>
              <w:jc w:val="center"/>
              <w:rPr>
                <w:rFonts w:hint="eastAsia" w:ascii="宋体" w:hAnsi="宋体" w:cs="宋体" w:eastAsiaTheme="minorEastAsia"/>
                <w:color w:val="000000"/>
                <w:kern w:val="0"/>
                <w:sz w:val="21"/>
                <w:szCs w:val="21"/>
                <w:highlight w:val="none"/>
                <w:lang w:val="en-US" w:eastAsia="zh-CN" w:bidi="ar-SA"/>
              </w:rPr>
            </w:pPr>
            <w:r>
              <w:rPr>
                <w:rFonts w:hint="eastAsia" w:ascii="宋体" w:hAnsi="宋体" w:cs="宋体"/>
                <w:color w:val="000000"/>
                <w:kern w:val="0"/>
                <w:szCs w:val="21"/>
                <w:highlight w:val="none"/>
                <w:lang w:val="en-US" w:eastAsia="zh-CN"/>
              </w:rPr>
              <w:t>21</w:t>
            </w:r>
          </w:p>
        </w:tc>
        <w:tc>
          <w:tcPr>
            <w:tcW w:w="6264" w:type="dxa"/>
            <w:vAlign w:val="center"/>
          </w:tcPr>
          <w:p>
            <w:pPr>
              <w:widowControl/>
              <w:jc w:val="left"/>
              <w:textAlignment w:val="center"/>
              <w:rPr>
                <w:rFonts w:hint="eastAsia" w:ascii="宋体" w:hAnsi="宋体" w:cs="宋体" w:eastAsiaTheme="minorEastAsia"/>
                <w:kern w:val="0"/>
                <w:sz w:val="21"/>
                <w:szCs w:val="21"/>
                <w:highlight w:val="none"/>
                <w:lang w:val="en-US" w:eastAsia="zh-CN" w:bidi="ar-SA"/>
              </w:rPr>
            </w:pPr>
            <w:r>
              <w:rPr>
                <w:rFonts w:hint="eastAsia" w:ascii="宋体" w:hAnsi="宋体" w:cs="宋体"/>
                <w:kern w:val="0"/>
                <w:szCs w:val="21"/>
                <w:highlight w:val="none"/>
                <w:lang w:eastAsia="zh-CN"/>
              </w:rPr>
              <w:t>《</w:t>
            </w:r>
            <w:r>
              <w:rPr>
                <w:rFonts w:hint="eastAsia" w:ascii="宋体" w:hAnsi="宋体" w:cs="宋体"/>
                <w:kern w:val="0"/>
                <w:szCs w:val="21"/>
                <w:highlight w:val="none"/>
              </w:rPr>
              <w:t>电力建设土建工程施工技术检验规范</w:t>
            </w:r>
            <w:r>
              <w:rPr>
                <w:rFonts w:hint="eastAsia" w:ascii="宋体" w:hAnsi="宋体" w:cs="宋体"/>
                <w:kern w:val="0"/>
                <w:szCs w:val="21"/>
                <w:highlight w:val="none"/>
                <w:lang w:eastAsia="zh-CN"/>
              </w:rPr>
              <w:t>》（</w:t>
            </w:r>
            <w:r>
              <w:rPr>
                <w:rFonts w:hint="eastAsia" w:ascii="宋体" w:hAnsi="宋体" w:cs="宋体"/>
                <w:kern w:val="0"/>
                <w:szCs w:val="21"/>
                <w:highlight w:val="none"/>
              </w:rPr>
              <w:t>DL</w:t>
            </w:r>
            <w:r>
              <w:rPr>
                <w:rFonts w:hint="eastAsia" w:ascii="宋体" w:hAnsi="宋体" w:cs="宋体"/>
                <w:kern w:val="0"/>
                <w:szCs w:val="21"/>
                <w:highlight w:val="none"/>
                <w:lang w:val="en-US" w:eastAsia="zh-CN"/>
              </w:rPr>
              <w:t>/</w:t>
            </w:r>
            <w:r>
              <w:rPr>
                <w:rFonts w:hint="eastAsia" w:ascii="宋体" w:hAnsi="宋体" w:cs="宋体"/>
                <w:kern w:val="0"/>
                <w:szCs w:val="21"/>
                <w:highlight w:val="none"/>
              </w:rPr>
              <w:t xml:space="preserve">T 5710-2014 </w:t>
            </w:r>
            <w:r>
              <w:rPr>
                <w:rFonts w:hint="eastAsia" w:ascii="宋体" w:hAnsi="宋体" w:cs="宋体"/>
                <w:kern w:val="0"/>
                <w:szCs w:val="21"/>
                <w:highlight w:val="none"/>
                <w:lang w:eastAsia="zh-CN"/>
              </w:rPr>
              <w:t>）</w:t>
            </w:r>
          </w:p>
        </w:tc>
        <w:tc>
          <w:tcPr>
            <w:tcW w:w="1183" w:type="dxa"/>
            <w:vAlign w:val="center"/>
          </w:tcPr>
          <w:p>
            <w:pPr>
              <w:jc w:val="center"/>
              <w:rPr>
                <w:rFonts w:hint="eastAsia" w:asciiTheme="minorHAnsi" w:hAnsiTheme="minorHAnsi" w:eastAsiaTheme="minorEastAsia" w:cstheme="minorBidi"/>
                <w:kern w:val="2"/>
                <w:sz w:val="21"/>
                <w:szCs w:val="24"/>
                <w:highlight w:val="none"/>
                <w:lang w:val="en-US" w:eastAsia="zh-CN" w:bidi="ar-SA"/>
              </w:rPr>
            </w:pPr>
            <w:r>
              <w:rPr>
                <w:rFonts w:hint="eastAsia"/>
                <w:highlight w:val="none"/>
              </w:rPr>
              <w:t>行业标准</w:t>
            </w:r>
          </w:p>
        </w:tc>
      </w:tr>
    </w:tbl>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以上所列的主要技术标准和规范，如未能达到国际和国内最新标准时，投标方应使用符合最近的国际、国内标准，并提供采用的标准、规范和所应用的最新版本的有关技术依据资料。</w:t>
      </w:r>
    </w:p>
    <w:p>
      <w:pPr>
        <w:pStyle w:val="14"/>
        <w:pageBreakBefore w:val="0"/>
        <w:kinsoku/>
        <w:overflowPunct/>
        <w:topLinePunct w:val="0"/>
        <w:autoSpaceDE/>
        <w:autoSpaceDN/>
        <w:bidi w:val="0"/>
        <w:adjustRightInd/>
        <w:snapToGrid/>
        <w:spacing w:line="360" w:lineRule="auto"/>
        <w:ind w:firstLine="0" w:firstLineChars="0"/>
        <w:textAlignment w:val="auto"/>
        <w:outlineLvl w:val="0"/>
        <w:rPr>
          <w:rFonts w:hint="eastAsia" w:ascii="宋体" w:hAnsi="宋体" w:eastAsia="宋体" w:cs="宋体"/>
          <w:b/>
          <w:highlight w:val="none"/>
        </w:rPr>
      </w:pPr>
      <w:bookmarkStart w:id="5" w:name="_Toc5955"/>
      <w:r>
        <w:rPr>
          <w:rFonts w:hint="eastAsia" w:ascii="宋体" w:hAnsi="宋体" w:eastAsia="宋体" w:cs="宋体"/>
          <w:b/>
          <w:highlight w:val="none"/>
        </w:rPr>
        <w:t>5 服务项目质量控制要求</w:t>
      </w:r>
      <w:bookmarkEnd w:id="5"/>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5.1投标方应建立为完成本检测项目而实施质量管理所需要组织结构，明示组织结构框图，并用文字明示各级人员职责，并提供质量检测工作受外界或领导机构影响的规定。形成质量体系文件协调整个工作机构运转</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列出有效的技术和管理程序，以便以最好的、最实际的方式来指导整个组织的工作人员、设备及信息的协调活动。质量体系文件应包括以下内容：</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bookmarkStart w:id="6" w:name="_Toc20006_WPSOffice_Level2"/>
      <w:bookmarkStart w:id="7" w:name="_Toc8536_WPSOffice_Level2"/>
      <w:r>
        <w:rPr>
          <w:rFonts w:hint="eastAsia" w:ascii="宋体" w:hAnsi="宋体" w:eastAsia="宋体" w:cs="宋体"/>
          <w:kern w:val="0"/>
          <w:sz w:val="24"/>
          <w:highlight w:val="none"/>
          <w:lang w:val="en-US" w:eastAsia="zh-CN"/>
        </w:rPr>
        <w:t>5.1.1</w:t>
      </w:r>
      <w:r>
        <w:rPr>
          <w:rFonts w:hint="eastAsia" w:ascii="宋体" w:hAnsi="宋体" w:eastAsia="宋体" w:cs="宋体"/>
          <w:kern w:val="0"/>
          <w:sz w:val="24"/>
          <w:highlight w:val="none"/>
        </w:rPr>
        <w:t>有效完成本项目的质量方针，包括目标和承诺；</w:t>
      </w:r>
      <w:bookmarkEnd w:id="6"/>
      <w:bookmarkEnd w:id="7"/>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bookmarkStart w:id="8" w:name="_Toc19192_WPSOffice_Level2"/>
      <w:bookmarkStart w:id="9" w:name="_Toc2279_WPSOffice_Level2"/>
      <w:r>
        <w:rPr>
          <w:rFonts w:hint="eastAsia" w:ascii="宋体" w:hAnsi="宋体" w:eastAsia="宋体" w:cs="宋体"/>
          <w:kern w:val="0"/>
          <w:sz w:val="24"/>
          <w:highlight w:val="none"/>
          <w:lang w:val="en-US" w:eastAsia="zh-CN"/>
        </w:rPr>
        <w:t>5.1.2</w:t>
      </w:r>
      <w:r>
        <w:rPr>
          <w:rFonts w:hint="eastAsia" w:ascii="宋体" w:hAnsi="宋体" w:eastAsia="宋体" w:cs="宋体"/>
          <w:kern w:val="0"/>
          <w:sz w:val="24"/>
          <w:highlight w:val="none"/>
        </w:rPr>
        <w:t>投入本项目的组织结构框图；</w:t>
      </w:r>
      <w:bookmarkEnd w:id="8"/>
      <w:bookmarkEnd w:id="9"/>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bookmarkStart w:id="10" w:name="_Toc8447_WPSOffice_Level2"/>
      <w:bookmarkStart w:id="11" w:name="_Toc22646_WPSOffice_Level2"/>
      <w:r>
        <w:rPr>
          <w:rFonts w:hint="eastAsia" w:ascii="宋体" w:hAnsi="宋体" w:eastAsia="宋体" w:cs="宋体"/>
          <w:kern w:val="0"/>
          <w:sz w:val="24"/>
          <w:highlight w:val="none"/>
          <w:lang w:val="en-US" w:eastAsia="zh-CN"/>
        </w:rPr>
        <w:t>5.1.3</w:t>
      </w:r>
      <w:r>
        <w:rPr>
          <w:rFonts w:hint="eastAsia" w:ascii="宋体" w:hAnsi="宋体" w:eastAsia="宋体" w:cs="宋体"/>
          <w:kern w:val="0"/>
          <w:sz w:val="24"/>
          <w:highlight w:val="none"/>
        </w:rPr>
        <w:t>各检测人员工作岗位及其职责；</w:t>
      </w:r>
      <w:bookmarkEnd w:id="10"/>
      <w:bookmarkEnd w:id="11"/>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bookmarkStart w:id="12" w:name="_Toc5928_WPSOffice_Level2"/>
      <w:bookmarkStart w:id="13" w:name="_Toc5507_WPSOffice_Level2"/>
      <w:r>
        <w:rPr>
          <w:rFonts w:hint="eastAsia" w:ascii="宋体" w:hAnsi="宋体" w:eastAsia="宋体" w:cs="宋体"/>
          <w:kern w:val="0"/>
          <w:sz w:val="24"/>
          <w:highlight w:val="none"/>
          <w:lang w:val="en-US" w:eastAsia="zh-CN"/>
        </w:rPr>
        <w:t>5.1.4</w:t>
      </w:r>
      <w:r>
        <w:rPr>
          <w:rFonts w:hint="eastAsia" w:ascii="宋体" w:hAnsi="宋体" w:eastAsia="宋体" w:cs="宋体"/>
          <w:kern w:val="0"/>
          <w:sz w:val="24"/>
          <w:highlight w:val="none"/>
        </w:rPr>
        <w:t>样品质量管理程序；</w:t>
      </w:r>
      <w:bookmarkEnd w:id="12"/>
      <w:bookmarkEnd w:id="13"/>
      <w:bookmarkStart w:id="23" w:name="_GoBack"/>
      <w:bookmarkEnd w:id="23"/>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bookmarkStart w:id="14" w:name="_Toc24544_WPSOffice_Level2"/>
      <w:bookmarkStart w:id="15" w:name="_Toc29413_WPSOffice_Level2"/>
      <w:r>
        <w:rPr>
          <w:rFonts w:hint="eastAsia" w:ascii="宋体" w:hAnsi="宋体" w:eastAsia="宋体" w:cs="宋体"/>
          <w:kern w:val="0"/>
          <w:sz w:val="24"/>
          <w:highlight w:val="none"/>
          <w:lang w:val="en-US" w:eastAsia="zh-CN"/>
        </w:rPr>
        <w:t>5.1.5</w:t>
      </w:r>
      <w:r>
        <w:rPr>
          <w:rFonts w:hint="eastAsia" w:ascii="宋体" w:hAnsi="宋体" w:eastAsia="宋体" w:cs="宋体"/>
          <w:kern w:val="0"/>
          <w:sz w:val="24"/>
          <w:highlight w:val="none"/>
        </w:rPr>
        <w:t>检测工作申诉处理程序；</w:t>
      </w:r>
      <w:bookmarkEnd w:id="14"/>
      <w:bookmarkEnd w:id="15"/>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bookmarkStart w:id="16" w:name="_Toc11820_WPSOffice_Level2"/>
      <w:bookmarkStart w:id="17" w:name="_Toc28722_WPSOffice_Level2"/>
      <w:r>
        <w:rPr>
          <w:rFonts w:hint="eastAsia" w:ascii="宋体" w:hAnsi="宋体" w:eastAsia="宋体" w:cs="宋体"/>
          <w:kern w:val="0"/>
          <w:sz w:val="24"/>
          <w:highlight w:val="none"/>
          <w:lang w:val="en-US" w:eastAsia="zh-CN"/>
        </w:rPr>
        <w:t>5.1.6</w:t>
      </w:r>
      <w:r>
        <w:rPr>
          <w:rFonts w:hint="eastAsia" w:ascii="宋体" w:hAnsi="宋体" w:eastAsia="宋体" w:cs="宋体"/>
          <w:kern w:val="0"/>
          <w:sz w:val="24"/>
          <w:highlight w:val="none"/>
        </w:rPr>
        <w:t>保密和保护所有权程序。</w:t>
      </w:r>
      <w:bookmarkEnd w:id="16"/>
      <w:bookmarkEnd w:id="17"/>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5.2投标方接到招标方进场检测通知后5天内进场，不得影响招标方工程正常进度。同时须对本投标项目投入足够的检测人员，且上述人员经过必要的与其承担任务相适应的教育、培训，并有相应的技术知识和经验。</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5.3投标方应配备足够的仪器设备。仪器设备必须在检定/校准有效期内,并在检定/校准有效期满后应进行检定/校准。各计量检测仪器设备都必须严格按要求有明显的标志。</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5.4检测、监测报告必须严格进行内部三级审核制度。</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5.4.1</w:t>
      </w:r>
      <w:r>
        <w:rPr>
          <w:rFonts w:hint="eastAsia" w:ascii="宋体" w:hAnsi="宋体" w:eastAsia="宋体" w:cs="宋体"/>
          <w:kern w:val="0"/>
          <w:sz w:val="24"/>
          <w:highlight w:val="none"/>
        </w:rPr>
        <w:t>检测、监测工作人员要熟悉并严格按照检测、监测规程和方法工作，同时做好数据记录；</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5.4.2</w:t>
      </w:r>
      <w:r>
        <w:rPr>
          <w:rFonts w:hint="eastAsia" w:ascii="宋体" w:hAnsi="宋体" w:eastAsia="宋体" w:cs="宋体"/>
          <w:kern w:val="0"/>
          <w:sz w:val="24"/>
          <w:highlight w:val="none"/>
        </w:rPr>
        <w:t>各检测工作校核者应掌握检测规程和技术，检查数据与原始记录符合，事实符合，严格按照规范进行；</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5.4.3</w:t>
      </w:r>
      <w:r>
        <w:rPr>
          <w:rFonts w:hint="eastAsia" w:ascii="宋体" w:hAnsi="宋体" w:eastAsia="宋体" w:cs="宋体"/>
          <w:kern w:val="0"/>
          <w:sz w:val="24"/>
          <w:highlight w:val="none"/>
        </w:rPr>
        <w:t>报告审核者保证程序合法，报告有效。</w:t>
      </w:r>
    </w:p>
    <w:p>
      <w:pPr>
        <w:pStyle w:val="14"/>
        <w:pageBreakBefore w:val="0"/>
        <w:kinsoku/>
        <w:overflowPunct/>
        <w:topLinePunct w:val="0"/>
        <w:autoSpaceDE/>
        <w:autoSpaceDN/>
        <w:bidi w:val="0"/>
        <w:adjustRightInd/>
        <w:snapToGrid/>
        <w:spacing w:line="360" w:lineRule="auto"/>
        <w:ind w:firstLine="0" w:firstLineChars="0"/>
        <w:textAlignment w:val="auto"/>
        <w:outlineLvl w:val="0"/>
        <w:rPr>
          <w:rFonts w:hint="eastAsia" w:ascii="宋体" w:hAnsi="宋体" w:eastAsia="宋体" w:cs="宋体"/>
          <w:b/>
          <w:highlight w:val="none"/>
        </w:rPr>
      </w:pPr>
      <w:bookmarkStart w:id="18" w:name="_Toc15929"/>
      <w:r>
        <w:rPr>
          <w:rFonts w:hint="eastAsia" w:ascii="宋体" w:hAnsi="宋体" w:eastAsia="宋体" w:cs="宋体"/>
          <w:b/>
          <w:highlight w:val="none"/>
        </w:rPr>
        <w:t>6 交付物</w:t>
      </w:r>
      <w:bookmarkEnd w:id="18"/>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6.1检测方案。投标方应根据现场情况、图纸确定具体平面位置，进场前需</w:t>
      </w:r>
      <w:r>
        <w:rPr>
          <w:rFonts w:hint="eastAsia" w:ascii="宋体" w:hAnsi="宋体" w:eastAsia="宋体" w:cs="宋体"/>
          <w:kern w:val="0"/>
          <w:sz w:val="24"/>
          <w:highlight w:val="none"/>
          <w:lang w:val="en-US" w:eastAsia="zh-CN"/>
        </w:rPr>
        <w:t>提前5个工作日</w:t>
      </w:r>
      <w:r>
        <w:rPr>
          <w:rFonts w:hint="eastAsia" w:ascii="宋体" w:hAnsi="宋体" w:eastAsia="宋体" w:cs="宋体"/>
          <w:kern w:val="0"/>
          <w:sz w:val="24"/>
          <w:highlight w:val="none"/>
        </w:rPr>
        <w:t>提交本项目检测方案，方案中需写明检测的具体数量，必须符合国家</w:t>
      </w:r>
      <w:r>
        <w:rPr>
          <w:rFonts w:hint="eastAsia" w:ascii="宋体" w:hAnsi="宋体" w:eastAsia="宋体" w:cs="宋体"/>
          <w:kern w:val="0"/>
          <w:sz w:val="24"/>
          <w:highlight w:val="none"/>
          <w:lang w:eastAsia="zh-CN"/>
        </w:rPr>
        <w:t>、行业</w:t>
      </w:r>
      <w:r>
        <w:rPr>
          <w:rFonts w:hint="eastAsia" w:ascii="宋体" w:hAnsi="宋体" w:eastAsia="宋体" w:cs="宋体"/>
          <w:kern w:val="0"/>
          <w:sz w:val="24"/>
          <w:highlight w:val="none"/>
        </w:rPr>
        <w:t>及地方现行有关技术规范或规定以及设计单位的技术要求，交由项目设计工代、现场监理、业主代表审批后方可实施。</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6.2每次检测报告。投标方在检测工作完成后，应按招标方要求及时提交有效的检测报告。每次检测完成后，7天内向招标方提交一式</w:t>
      </w:r>
      <w:r>
        <w:rPr>
          <w:rFonts w:hint="eastAsia" w:ascii="宋体" w:hAnsi="宋体" w:eastAsia="宋体" w:cs="宋体"/>
          <w:kern w:val="0"/>
          <w:sz w:val="24"/>
          <w:highlight w:val="none"/>
          <w:lang w:val="en-US" w:eastAsia="zh-CN"/>
        </w:rPr>
        <w:t>4</w:t>
      </w:r>
      <w:r>
        <w:rPr>
          <w:rFonts w:hint="eastAsia" w:ascii="宋体" w:hAnsi="宋体" w:eastAsia="宋体" w:cs="宋体"/>
          <w:kern w:val="0"/>
          <w:sz w:val="24"/>
          <w:highlight w:val="none"/>
        </w:rPr>
        <w:t>份检测报告（成果报告按所属地块分别装订）</w:t>
      </w:r>
      <w:r>
        <w:rPr>
          <w:rFonts w:hint="eastAsia" w:ascii="宋体" w:hAnsi="宋体" w:eastAsia="宋体" w:cs="宋体"/>
          <w:kern w:val="0"/>
          <w:sz w:val="24"/>
          <w:highlight w:val="none"/>
          <w:lang w:eastAsia="zh-CN"/>
        </w:rPr>
        <w:t>，检测报告需加盖检测报告专用章和计量认证章（CMA章）</w:t>
      </w:r>
      <w:r>
        <w:rPr>
          <w:rFonts w:hint="eastAsia" w:ascii="宋体" w:hAnsi="宋体" w:eastAsia="宋体" w:cs="宋体"/>
          <w:kern w:val="0"/>
          <w:sz w:val="24"/>
          <w:highlight w:val="none"/>
        </w:rPr>
        <w:t>。</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6.3最终检测报告。检测工作全部完成后7天内整理全部检测资料并装订成册，一式</w:t>
      </w:r>
      <w:r>
        <w:rPr>
          <w:rFonts w:hint="eastAsia" w:ascii="宋体" w:hAnsi="宋体" w:eastAsia="宋体" w:cs="宋体"/>
          <w:kern w:val="0"/>
          <w:sz w:val="24"/>
          <w:highlight w:val="none"/>
          <w:lang w:val="en-US" w:eastAsia="zh-CN"/>
        </w:rPr>
        <w:t>4</w:t>
      </w:r>
      <w:r>
        <w:rPr>
          <w:rFonts w:hint="eastAsia" w:ascii="宋体" w:hAnsi="宋体" w:eastAsia="宋体" w:cs="宋体"/>
          <w:kern w:val="0"/>
          <w:sz w:val="24"/>
          <w:highlight w:val="none"/>
        </w:rPr>
        <w:t>份（同时提交电子文档1份）向招标方提交检测成果报告，检测报告需加盖检测报告专用章和计量认证章（CMA章）。</w:t>
      </w:r>
    </w:p>
    <w:p>
      <w:pPr>
        <w:pStyle w:val="14"/>
        <w:pageBreakBefore w:val="0"/>
        <w:kinsoku/>
        <w:overflowPunct/>
        <w:topLinePunct w:val="0"/>
        <w:autoSpaceDE/>
        <w:autoSpaceDN/>
        <w:bidi w:val="0"/>
        <w:adjustRightInd/>
        <w:snapToGrid/>
        <w:spacing w:line="360" w:lineRule="auto"/>
        <w:ind w:firstLine="0" w:firstLineChars="0"/>
        <w:textAlignment w:val="auto"/>
        <w:outlineLvl w:val="0"/>
        <w:rPr>
          <w:rFonts w:hint="eastAsia" w:ascii="宋体" w:hAnsi="宋体" w:eastAsia="宋体" w:cs="宋体"/>
          <w:b/>
          <w:highlight w:val="none"/>
        </w:rPr>
      </w:pPr>
      <w:bookmarkStart w:id="19" w:name="_Toc22538"/>
      <w:r>
        <w:rPr>
          <w:rFonts w:hint="eastAsia" w:ascii="宋体" w:hAnsi="宋体" w:eastAsia="宋体" w:cs="宋体"/>
          <w:b/>
          <w:highlight w:val="none"/>
        </w:rPr>
        <w:t>7 其他</w:t>
      </w:r>
      <w:bookmarkEnd w:id="19"/>
    </w:p>
    <w:p>
      <w:pPr>
        <w:pStyle w:val="7"/>
        <w:pageBreakBefore w:val="0"/>
        <w:kinsoku/>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7.1根据招标方实际需要，配合做好档案等工作。</w:t>
      </w:r>
    </w:p>
    <w:p>
      <w:pPr>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7.2本技术规范书中已列明的检测</w:t>
      </w:r>
      <w:r>
        <w:rPr>
          <w:rFonts w:hint="eastAsia" w:ascii="宋体" w:hAnsi="宋体" w:eastAsia="宋体" w:cs="宋体"/>
          <w:kern w:val="0"/>
          <w:sz w:val="24"/>
          <w:highlight w:val="none"/>
          <w:lang w:eastAsia="zh-CN"/>
        </w:rPr>
        <w:t>项目</w:t>
      </w:r>
      <w:r>
        <w:rPr>
          <w:rFonts w:hint="eastAsia" w:ascii="宋体" w:hAnsi="宋体" w:eastAsia="宋体" w:cs="宋体"/>
          <w:kern w:val="0"/>
          <w:sz w:val="24"/>
          <w:highlight w:val="none"/>
        </w:rPr>
        <w:t>为</w:t>
      </w:r>
      <w:r>
        <w:rPr>
          <w:rFonts w:hint="eastAsia" w:ascii="宋体" w:hAnsi="宋体" w:eastAsia="宋体" w:cs="宋体"/>
          <w:kern w:val="0"/>
          <w:sz w:val="24"/>
          <w:highlight w:val="none"/>
          <w:lang w:eastAsia="zh-CN"/>
        </w:rPr>
        <w:t>常用的检测项目</w:t>
      </w:r>
      <w:r>
        <w:rPr>
          <w:rFonts w:hint="eastAsia" w:ascii="宋体" w:hAnsi="宋体" w:eastAsia="宋体" w:cs="宋体"/>
          <w:kern w:val="0"/>
          <w:sz w:val="24"/>
          <w:highlight w:val="none"/>
        </w:rPr>
        <w:t>，实际</w:t>
      </w:r>
      <w:r>
        <w:rPr>
          <w:rFonts w:hint="eastAsia" w:ascii="宋体" w:hAnsi="宋体" w:eastAsia="宋体" w:cs="宋体"/>
          <w:kern w:val="0"/>
          <w:sz w:val="24"/>
          <w:highlight w:val="none"/>
          <w:lang w:eastAsia="zh-CN"/>
        </w:rPr>
        <w:t>检测事项和检测量以实际工程及施工过程中发生设计变更为准</w:t>
      </w:r>
      <w:r>
        <w:rPr>
          <w:rFonts w:hint="eastAsia" w:ascii="宋体" w:hAnsi="宋体" w:eastAsia="宋体" w:cs="宋体"/>
          <w:kern w:val="0"/>
          <w:sz w:val="24"/>
          <w:highlight w:val="none"/>
        </w:rPr>
        <w:t>。</w:t>
      </w:r>
    </w:p>
    <w:p>
      <w:pPr>
        <w:pStyle w:val="7"/>
        <w:pageBreakBefore w:val="0"/>
        <w:kinsoku/>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bCs/>
          <w:kern w:val="0"/>
          <w:sz w:val="24"/>
          <w:szCs w:val="24"/>
          <w:highlight w:val="none"/>
        </w:rPr>
      </w:pPr>
      <w:r>
        <w:rPr>
          <w:rFonts w:hint="eastAsia" w:ascii="宋体" w:hAnsi="宋体" w:eastAsia="宋体" w:cs="宋体"/>
          <w:kern w:val="0"/>
          <w:sz w:val="24"/>
          <w:szCs w:val="24"/>
          <w:highlight w:val="none"/>
        </w:rPr>
        <w:t>7.</w:t>
      </w:r>
      <w:r>
        <w:rPr>
          <w:rFonts w:hint="eastAsia" w:ascii="宋体" w:hAnsi="宋体" w:cs="宋体"/>
          <w:kern w:val="0"/>
          <w:sz w:val="24"/>
          <w:szCs w:val="24"/>
          <w:highlight w:val="none"/>
          <w:lang w:val="en-US" w:eastAsia="zh-CN"/>
        </w:rPr>
        <w:t>3</w:t>
      </w:r>
      <w:r>
        <w:rPr>
          <w:rFonts w:hint="eastAsia" w:ascii="宋体" w:hAnsi="宋体" w:eastAsia="宋体" w:cs="宋体"/>
          <w:kern w:val="0"/>
          <w:sz w:val="24"/>
          <w:szCs w:val="24"/>
          <w:highlight w:val="none"/>
        </w:rPr>
        <w:t>本技术规范书的最终解释权归招标方所有。</w:t>
      </w:r>
    </w:p>
    <w:p>
      <w:pPr>
        <w:pStyle w:val="14"/>
        <w:pageBreakBefore w:val="0"/>
        <w:kinsoku/>
        <w:overflowPunct/>
        <w:topLinePunct w:val="0"/>
        <w:autoSpaceDE/>
        <w:autoSpaceDN/>
        <w:bidi w:val="0"/>
        <w:adjustRightInd/>
        <w:snapToGrid/>
        <w:spacing w:line="360" w:lineRule="auto"/>
        <w:ind w:firstLine="0" w:firstLineChars="0"/>
        <w:textAlignment w:val="auto"/>
        <w:outlineLvl w:val="0"/>
        <w:rPr>
          <w:rFonts w:hint="default" w:ascii="宋体" w:hAnsi="宋体" w:eastAsia="宋体" w:cs="宋体"/>
          <w:b/>
          <w:bCs/>
          <w:highlight w:val="none"/>
          <w:lang w:val="en-US" w:eastAsia="zh-CN"/>
        </w:rPr>
      </w:pPr>
      <w:bookmarkStart w:id="20" w:name="_Toc2540"/>
      <w:r>
        <w:rPr>
          <w:rFonts w:hint="eastAsia" w:ascii="宋体" w:hAnsi="宋体" w:eastAsia="宋体" w:cs="宋体"/>
          <w:b/>
          <w:highlight w:val="none"/>
          <w:lang w:val="en-US" w:eastAsia="zh-CN"/>
        </w:rPr>
        <w:t>8 检测</w:t>
      </w:r>
      <w:bookmarkEnd w:id="20"/>
      <w:bookmarkStart w:id="21" w:name="_Toc25236_WPSOffice_Level1"/>
      <w:bookmarkStart w:id="22" w:name="_Toc9289_WPSOffice_Level1"/>
      <w:r>
        <w:rPr>
          <w:rFonts w:hint="eastAsia" w:ascii="宋体" w:hAnsi="宋体" w:eastAsia="宋体" w:cs="宋体"/>
          <w:b/>
          <w:highlight w:val="none"/>
          <w:lang w:val="en-US" w:eastAsia="zh-CN"/>
        </w:rPr>
        <w:t>项目</w:t>
      </w:r>
      <w:bookmarkEnd w:id="21"/>
      <w:bookmarkEnd w:id="22"/>
      <w:r>
        <w:rPr>
          <w:rFonts w:hint="eastAsia" w:ascii="宋体" w:hAnsi="宋体" w:eastAsia="宋体" w:cs="宋体"/>
          <w:b/>
          <w:bCs/>
          <w:kern w:val="0"/>
          <w:sz w:val="24"/>
          <w:szCs w:val="24"/>
          <w:highlight w:val="none"/>
          <w:lang w:val="en-US" w:eastAsia="zh-CN"/>
        </w:rPr>
        <w:t xml:space="preserve">                   </w:t>
      </w:r>
    </w:p>
    <w:p>
      <w:pPr>
        <w:widowControl/>
        <w:ind w:firstLine="480" w:firstLineChars="200"/>
        <w:outlineLvl w:val="2"/>
        <w:rPr>
          <w:rFonts w:hint="eastAsia" w:ascii="宋体" w:hAnsi="宋体" w:eastAsia="宋体" w:cs="宋体"/>
          <w:kern w:val="0"/>
          <w:sz w:val="24"/>
          <w:highlight w:val="none"/>
          <w:lang w:eastAsia="zh-CN"/>
        </w:rPr>
      </w:pPr>
      <w:r>
        <w:rPr>
          <w:rFonts w:hint="eastAsia" w:ascii="宋体" w:hAnsi="宋体" w:eastAsia="宋体" w:cs="宋体"/>
          <w:kern w:val="0"/>
          <w:sz w:val="24"/>
          <w:highlight w:val="none"/>
          <w:lang w:eastAsia="zh-CN"/>
        </w:rPr>
        <w:t>实际检测项目根据工程需求进行</w:t>
      </w:r>
      <w:r>
        <w:rPr>
          <w:rFonts w:hint="eastAsia" w:ascii="宋体" w:hAnsi="宋体" w:eastAsia="宋体" w:cs="宋体"/>
          <w:kern w:val="0"/>
          <w:sz w:val="24"/>
          <w:highlight w:val="none"/>
          <w:lang w:val="en-US" w:eastAsia="zh-CN"/>
        </w:rPr>
        <w:t>选择和</w:t>
      </w:r>
      <w:r>
        <w:rPr>
          <w:rFonts w:hint="eastAsia" w:ascii="宋体" w:hAnsi="宋体" w:eastAsia="宋体" w:cs="宋体"/>
          <w:kern w:val="0"/>
          <w:sz w:val="24"/>
          <w:highlight w:val="none"/>
          <w:lang w:eastAsia="zh-CN"/>
        </w:rPr>
        <w:t>补充。</w:t>
      </w:r>
    </w:p>
    <w:tbl>
      <w:tblPr>
        <w:tblStyle w:val="15"/>
        <w:tblpPr w:leftFromText="180" w:rightFromText="180" w:vertAnchor="text" w:horzAnchor="page" w:tblpXSpec="center" w:tblpY="590"/>
        <w:tblOverlap w:val="never"/>
        <w:tblW w:w="466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24"/>
        <w:gridCol w:w="1150"/>
        <w:gridCol w:w="2019"/>
        <w:gridCol w:w="1160"/>
        <w:gridCol w:w="1691"/>
        <w:gridCol w:w="11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518" w:type="pct"/>
            <w:tcBorders>
              <w:top w:val="single" w:color="000000" w:sz="8" w:space="0"/>
              <w:left w:val="single" w:color="000000" w:sz="8" w:space="0"/>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723"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样品名称</w:t>
            </w:r>
          </w:p>
        </w:tc>
        <w:tc>
          <w:tcPr>
            <w:tcW w:w="1269"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检测项目</w:t>
            </w:r>
          </w:p>
        </w:tc>
        <w:tc>
          <w:tcPr>
            <w:tcW w:w="729"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1063"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lang w:eastAsia="zh-CN"/>
              </w:rPr>
            </w:pPr>
            <w:r>
              <w:rPr>
                <w:rFonts w:hint="eastAsia" w:ascii="宋体" w:hAnsi="宋体" w:eastAsia="宋体" w:cs="宋体"/>
                <w:b/>
                <w:bCs/>
                <w:i w:val="0"/>
                <w:iCs w:val="0"/>
                <w:color w:val="000000"/>
                <w:sz w:val="21"/>
                <w:szCs w:val="21"/>
                <w:u w:val="none"/>
                <w:lang w:eastAsia="zh-CN"/>
              </w:rPr>
              <w:t>检测量（计划）</w:t>
            </w:r>
          </w:p>
        </w:tc>
        <w:tc>
          <w:tcPr>
            <w:tcW w:w="694"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723"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水泥</w:t>
            </w: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细度</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碱含量</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安定性</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不溶物</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氧化镁</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三氧化硫</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烧失量</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水化热</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凝结时间</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胶砂强度</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标准稠度</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723"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砂</w:t>
            </w: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颗粒级配</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含泥量</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泥块含量</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堆积密度</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含水率</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氯离子含量</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坚固性</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碱活性</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2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碎石</w:t>
            </w:r>
          </w:p>
        </w:tc>
        <w:tc>
          <w:tcPr>
            <w:tcW w:w="12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颗粒级配</w:t>
            </w:r>
          </w:p>
        </w:tc>
        <w:tc>
          <w:tcPr>
            <w:tcW w:w="729"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含泥量</w:t>
            </w:r>
          </w:p>
        </w:tc>
        <w:tc>
          <w:tcPr>
            <w:tcW w:w="729"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泥块含量</w:t>
            </w:r>
          </w:p>
        </w:tc>
        <w:tc>
          <w:tcPr>
            <w:tcW w:w="729"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针片状含量</w:t>
            </w:r>
          </w:p>
        </w:tc>
        <w:tc>
          <w:tcPr>
            <w:tcW w:w="729"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压碎指标</w:t>
            </w:r>
          </w:p>
        </w:tc>
        <w:tc>
          <w:tcPr>
            <w:tcW w:w="729"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表观密度</w:t>
            </w:r>
          </w:p>
        </w:tc>
        <w:tc>
          <w:tcPr>
            <w:tcW w:w="729"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含水率</w:t>
            </w:r>
          </w:p>
        </w:tc>
        <w:tc>
          <w:tcPr>
            <w:tcW w:w="729"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碱活性</w:t>
            </w:r>
          </w:p>
        </w:tc>
        <w:tc>
          <w:tcPr>
            <w:tcW w:w="729"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restart"/>
            <w:tcBorders>
              <w:top w:val="single" w:color="auto"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23" w:type="pct"/>
            <w:vMerge w:val="restart"/>
            <w:tcBorders>
              <w:top w:val="single" w:color="auto"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混凝土用水</w:t>
            </w:r>
          </w:p>
        </w:tc>
        <w:tc>
          <w:tcPr>
            <w:tcW w:w="1269" w:type="pct"/>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default" w:ascii="宋体" w:hAnsi="宋体" w:eastAsia="宋体" w:cs="宋体"/>
                <w:i w:val="0"/>
                <w:iCs w:val="0"/>
                <w:color w:val="auto"/>
                <w:kern w:val="0"/>
                <w:sz w:val="22"/>
                <w:szCs w:val="22"/>
                <w:highlight w:val="none"/>
                <w:u w:val="none"/>
                <w:lang w:val="en-US" w:eastAsia="zh-CN" w:bidi="ar"/>
              </w:rPr>
              <w:t>PH</w:t>
            </w:r>
            <w:r>
              <w:rPr>
                <w:rFonts w:hint="eastAsia" w:ascii="宋体" w:hAnsi="宋体" w:eastAsia="宋体" w:cs="宋体"/>
                <w:i w:val="0"/>
                <w:iCs w:val="0"/>
                <w:color w:val="auto"/>
                <w:kern w:val="0"/>
                <w:sz w:val="22"/>
                <w:szCs w:val="22"/>
                <w:highlight w:val="none"/>
                <w:u w:val="none"/>
                <w:lang w:val="en-US" w:eastAsia="zh-CN" w:bidi="ar"/>
              </w:rPr>
              <w:t>值</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不溶物含量</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可溶物含量</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氯离子含量</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硫酸盐含量</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碱含量</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23"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混凝土</w:t>
            </w:r>
            <w:r>
              <w:rPr>
                <w:rFonts w:hint="eastAsia"/>
                <w:lang w:val="en-US" w:eastAsia="zh-CN"/>
              </w:rPr>
              <w:t>（C20)（C25)（C30)</w:t>
            </w: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凝结时间</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胶砂强度</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验证配合比</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抗压强度</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723"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砂浆</w:t>
            </w: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砂浆配合比试验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抗压强度</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7</w:t>
            </w:r>
          </w:p>
        </w:tc>
        <w:tc>
          <w:tcPr>
            <w:tcW w:w="723"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砌块</w:t>
            </w: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外观检验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强度等级</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干密度</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干燥收缩</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518" w:type="pct"/>
            <w:vMerge w:val="continue"/>
            <w:tcBorders>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导热系数</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51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8</w:t>
            </w:r>
          </w:p>
        </w:tc>
        <w:tc>
          <w:tcPr>
            <w:tcW w:w="72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钢筋</w:t>
            </w:r>
          </w:p>
        </w:tc>
        <w:tc>
          <w:tcPr>
            <w:tcW w:w="1269"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尺寸偏差</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518" w:type="pct"/>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69"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屈服强度、抗拉强度、弯曲强度</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518" w:type="pct"/>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723" w:type="pct"/>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c>
          <w:tcPr>
            <w:tcW w:w="1269" w:type="pc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反复弯曲</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51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9</w:t>
            </w:r>
          </w:p>
        </w:tc>
        <w:tc>
          <w:tcPr>
            <w:tcW w:w="72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钢筋焊接</w:t>
            </w: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焊接工艺机械性能</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518"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10</w:t>
            </w:r>
          </w:p>
        </w:tc>
        <w:tc>
          <w:tcPr>
            <w:tcW w:w="723" w:type="pct"/>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混凝土结构</w:t>
            </w: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钢筋保护层厚度</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点</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jc w:val="center"/>
              <w:rPr>
                <w:rFonts w:hint="default" w:ascii="宋体" w:hAnsi="宋体" w:eastAsia="宋体" w:cs="宋体"/>
                <w:i w:val="0"/>
                <w:iCs w:val="0"/>
                <w:color w:val="auto"/>
                <w:sz w:val="21"/>
                <w:szCs w:val="21"/>
                <w:highlight w:val="none"/>
                <w:u w:val="none"/>
                <w:lang w:val="en-US" w:eastAsia="zh-CN"/>
              </w:rPr>
            </w:pPr>
          </w:p>
        </w:tc>
        <w:tc>
          <w:tcPr>
            <w:tcW w:w="723" w:type="pct"/>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混凝土回弹</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518" w:type="pct"/>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lang w:val="en-US" w:eastAsia="zh-CN"/>
              </w:rPr>
            </w:pPr>
          </w:p>
        </w:tc>
        <w:tc>
          <w:tcPr>
            <w:tcW w:w="723" w:type="pct"/>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混凝土取芯强度</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518" w:type="pct"/>
            <w:vMerge w:val="restart"/>
            <w:tcBorders>
              <w:top w:val="single" w:color="000000" w:sz="4" w:space="0"/>
              <w:left w:val="single" w:color="000000" w:sz="4" w:space="0"/>
              <w:right w:val="single" w:color="000000" w:sz="4" w:space="0"/>
            </w:tcBorders>
            <w:shd w:val="clear" w:color="auto" w:fill="auto"/>
            <w:vAlign w:val="center"/>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11</w:t>
            </w:r>
          </w:p>
        </w:tc>
        <w:tc>
          <w:tcPr>
            <w:tcW w:w="723" w:type="pct"/>
            <w:vMerge w:val="restart"/>
            <w:tcBorders>
              <w:top w:val="single" w:color="000000" w:sz="4" w:space="0"/>
              <w:left w:val="single" w:color="000000" w:sz="4" w:space="0"/>
              <w:right w:val="single" w:color="000000" w:sz="4" w:space="0"/>
            </w:tcBorders>
            <w:shd w:val="clear" w:color="auto" w:fill="auto"/>
            <w:vAlign w:val="center"/>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地脚螺栓</w:t>
            </w: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硬度试验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518" w:type="pct"/>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lang w:val="en-US" w:eastAsia="zh-CN"/>
              </w:rPr>
            </w:pPr>
          </w:p>
        </w:tc>
        <w:tc>
          <w:tcPr>
            <w:tcW w:w="723" w:type="pct"/>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lang w:val="en-US" w:eastAsia="zh-CN"/>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拉伸试验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518" w:type="pct"/>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lang w:val="en-US" w:eastAsia="zh-CN"/>
              </w:rPr>
            </w:pPr>
          </w:p>
        </w:tc>
        <w:tc>
          <w:tcPr>
            <w:tcW w:w="723" w:type="pct"/>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lang w:val="en-US" w:eastAsia="zh-CN"/>
              </w:rPr>
            </w:pPr>
          </w:p>
        </w:tc>
        <w:tc>
          <w:tcPr>
            <w:tcW w:w="126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冲击试验</w:t>
            </w:r>
          </w:p>
        </w:tc>
        <w:tc>
          <w:tcPr>
            <w:tcW w:w="7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组</w:t>
            </w:r>
          </w:p>
        </w:tc>
        <w:tc>
          <w:tcPr>
            <w:tcW w:w="106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21"/>
                <w:szCs w:val="21"/>
                <w:highlight w:val="none"/>
                <w:u w:val="none"/>
              </w:rPr>
            </w:pPr>
          </w:p>
        </w:tc>
      </w:tr>
    </w:tbl>
    <w:p>
      <w:pPr>
        <w:pStyle w:val="14"/>
        <w:ind w:firstLine="0" w:firstLineChars="0"/>
        <w:outlineLvl w:val="9"/>
        <w:rPr>
          <w:highlight w:val="none"/>
        </w:rPr>
      </w:pP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3"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9A049D7-007D-41F7-8902-4ACD3E2B6AA3}"/>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49C0E0F4-3745-4A77-8484-492EBFFD2E5F}"/>
  </w:font>
  <w:font w:name="仿宋_GB2312">
    <w:panose1 w:val="02010609030101010101"/>
    <w:charset w:val="86"/>
    <w:family w:val="modern"/>
    <w:pitch w:val="default"/>
    <w:sig w:usb0="00000001" w:usb1="080E0000" w:usb2="00000000" w:usb3="00000000" w:csb0="00040000" w:csb1="00000000"/>
    <w:embedRegular r:id="rId3" w:fontKey="{4CB79B1C-449E-4870-B6AE-E26B3336BA9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0"/>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Q1MzlhODAwOWE0NDBmZjIxYzJiZjI5YWIyNmIzNDAifQ=="/>
  </w:docVars>
  <w:rsids>
    <w:rsidRoot w:val="00172A27"/>
    <w:rsid w:val="000B55BA"/>
    <w:rsid w:val="000E4BAC"/>
    <w:rsid w:val="00172A27"/>
    <w:rsid w:val="001A60C6"/>
    <w:rsid w:val="001F25A2"/>
    <w:rsid w:val="00257620"/>
    <w:rsid w:val="002C46A2"/>
    <w:rsid w:val="00410635"/>
    <w:rsid w:val="00413DA4"/>
    <w:rsid w:val="004307B5"/>
    <w:rsid w:val="004447C3"/>
    <w:rsid w:val="00490621"/>
    <w:rsid w:val="00496C1B"/>
    <w:rsid w:val="004D4794"/>
    <w:rsid w:val="004D5826"/>
    <w:rsid w:val="00532AE0"/>
    <w:rsid w:val="005528E8"/>
    <w:rsid w:val="005669B6"/>
    <w:rsid w:val="005A1610"/>
    <w:rsid w:val="00661B60"/>
    <w:rsid w:val="006B309D"/>
    <w:rsid w:val="006D4E1D"/>
    <w:rsid w:val="00864E7A"/>
    <w:rsid w:val="00935959"/>
    <w:rsid w:val="00957EE2"/>
    <w:rsid w:val="009C0985"/>
    <w:rsid w:val="009F4FB4"/>
    <w:rsid w:val="00A47B9F"/>
    <w:rsid w:val="00A60A89"/>
    <w:rsid w:val="00AC39A8"/>
    <w:rsid w:val="00B42707"/>
    <w:rsid w:val="00B675A7"/>
    <w:rsid w:val="00C86298"/>
    <w:rsid w:val="00C97C05"/>
    <w:rsid w:val="00CC2CE5"/>
    <w:rsid w:val="00CE4D97"/>
    <w:rsid w:val="00D605A1"/>
    <w:rsid w:val="00D77C23"/>
    <w:rsid w:val="00DA1A75"/>
    <w:rsid w:val="00DB36EA"/>
    <w:rsid w:val="00DC0D95"/>
    <w:rsid w:val="00E10EDC"/>
    <w:rsid w:val="00EE214C"/>
    <w:rsid w:val="00EE6262"/>
    <w:rsid w:val="00F05655"/>
    <w:rsid w:val="00F0642B"/>
    <w:rsid w:val="00F45980"/>
    <w:rsid w:val="00F77B73"/>
    <w:rsid w:val="00F80F24"/>
    <w:rsid w:val="00F9758F"/>
    <w:rsid w:val="00FF3BE7"/>
    <w:rsid w:val="011C27EE"/>
    <w:rsid w:val="02435DB8"/>
    <w:rsid w:val="0264024A"/>
    <w:rsid w:val="03235091"/>
    <w:rsid w:val="03595387"/>
    <w:rsid w:val="04286CCA"/>
    <w:rsid w:val="0491354E"/>
    <w:rsid w:val="04EA7A4B"/>
    <w:rsid w:val="067C435D"/>
    <w:rsid w:val="078063A3"/>
    <w:rsid w:val="07E23DBB"/>
    <w:rsid w:val="087B42D7"/>
    <w:rsid w:val="09926959"/>
    <w:rsid w:val="09E779CE"/>
    <w:rsid w:val="0A001E51"/>
    <w:rsid w:val="0A0E7F9A"/>
    <w:rsid w:val="0A6174E0"/>
    <w:rsid w:val="0AB173D9"/>
    <w:rsid w:val="0BAC72F1"/>
    <w:rsid w:val="0BD67CD6"/>
    <w:rsid w:val="0C6D1CBF"/>
    <w:rsid w:val="0CB7014B"/>
    <w:rsid w:val="0D4F3088"/>
    <w:rsid w:val="0D5242FD"/>
    <w:rsid w:val="0D5F19BA"/>
    <w:rsid w:val="0DB000DC"/>
    <w:rsid w:val="0DF4515B"/>
    <w:rsid w:val="0E7E5744"/>
    <w:rsid w:val="0EFF5A98"/>
    <w:rsid w:val="0F6D77B3"/>
    <w:rsid w:val="0F7C5D30"/>
    <w:rsid w:val="108904B2"/>
    <w:rsid w:val="108B42BE"/>
    <w:rsid w:val="114800BB"/>
    <w:rsid w:val="127904C0"/>
    <w:rsid w:val="12D62FD5"/>
    <w:rsid w:val="13345015"/>
    <w:rsid w:val="14494A99"/>
    <w:rsid w:val="144C5645"/>
    <w:rsid w:val="14AB14EB"/>
    <w:rsid w:val="14AB2AFE"/>
    <w:rsid w:val="16242A8F"/>
    <w:rsid w:val="162F2A72"/>
    <w:rsid w:val="170A6C82"/>
    <w:rsid w:val="18443991"/>
    <w:rsid w:val="18B97F3F"/>
    <w:rsid w:val="18BA4EFB"/>
    <w:rsid w:val="18ED7FD4"/>
    <w:rsid w:val="1A744E0F"/>
    <w:rsid w:val="1A815695"/>
    <w:rsid w:val="1A9558FC"/>
    <w:rsid w:val="1ADB5E38"/>
    <w:rsid w:val="1B1F402B"/>
    <w:rsid w:val="1B63390E"/>
    <w:rsid w:val="1BE84A67"/>
    <w:rsid w:val="1BE87F5E"/>
    <w:rsid w:val="1C0521F4"/>
    <w:rsid w:val="1C9B0535"/>
    <w:rsid w:val="1CCB6484"/>
    <w:rsid w:val="1CFB40DA"/>
    <w:rsid w:val="1E8359CC"/>
    <w:rsid w:val="1F520E6A"/>
    <w:rsid w:val="1FFD05A3"/>
    <w:rsid w:val="1FFD5496"/>
    <w:rsid w:val="20E87786"/>
    <w:rsid w:val="20F0503A"/>
    <w:rsid w:val="21337307"/>
    <w:rsid w:val="214C0279"/>
    <w:rsid w:val="216C1F0B"/>
    <w:rsid w:val="23123443"/>
    <w:rsid w:val="23C15E15"/>
    <w:rsid w:val="246130AE"/>
    <w:rsid w:val="24F63747"/>
    <w:rsid w:val="25667146"/>
    <w:rsid w:val="25C33799"/>
    <w:rsid w:val="25D765AB"/>
    <w:rsid w:val="26795443"/>
    <w:rsid w:val="268140F2"/>
    <w:rsid w:val="26945557"/>
    <w:rsid w:val="274618B4"/>
    <w:rsid w:val="274A3283"/>
    <w:rsid w:val="276969B7"/>
    <w:rsid w:val="27D711E9"/>
    <w:rsid w:val="28502C3F"/>
    <w:rsid w:val="28A56325"/>
    <w:rsid w:val="28EE18F4"/>
    <w:rsid w:val="29D54977"/>
    <w:rsid w:val="2A2C6FA3"/>
    <w:rsid w:val="2AD04FD0"/>
    <w:rsid w:val="2AEF2A80"/>
    <w:rsid w:val="2CA71DD1"/>
    <w:rsid w:val="2CB82494"/>
    <w:rsid w:val="2CF033A4"/>
    <w:rsid w:val="2D226070"/>
    <w:rsid w:val="2D707243"/>
    <w:rsid w:val="2D843C82"/>
    <w:rsid w:val="2D9B0214"/>
    <w:rsid w:val="2DDA61E1"/>
    <w:rsid w:val="2E0F7E9D"/>
    <w:rsid w:val="2F3A7D50"/>
    <w:rsid w:val="2F4E4F07"/>
    <w:rsid w:val="2F6612A2"/>
    <w:rsid w:val="2FDC2C0D"/>
    <w:rsid w:val="2FE66BCA"/>
    <w:rsid w:val="2FEC412C"/>
    <w:rsid w:val="304E0C3C"/>
    <w:rsid w:val="30592F1D"/>
    <w:rsid w:val="305A1CF2"/>
    <w:rsid w:val="30D46D44"/>
    <w:rsid w:val="31074A62"/>
    <w:rsid w:val="31BE4028"/>
    <w:rsid w:val="320B5066"/>
    <w:rsid w:val="32B00164"/>
    <w:rsid w:val="33452A1E"/>
    <w:rsid w:val="33996BD5"/>
    <w:rsid w:val="33A31BE0"/>
    <w:rsid w:val="343A5806"/>
    <w:rsid w:val="34486330"/>
    <w:rsid w:val="35470DB7"/>
    <w:rsid w:val="35A2302E"/>
    <w:rsid w:val="361C5F6C"/>
    <w:rsid w:val="36327B17"/>
    <w:rsid w:val="36386386"/>
    <w:rsid w:val="364A4053"/>
    <w:rsid w:val="364E6D33"/>
    <w:rsid w:val="36871934"/>
    <w:rsid w:val="36B7591F"/>
    <w:rsid w:val="385B0302"/>
    <w:rsid w:val="38644B0F"/>
    <w:rsid w:val="38891DF8"/>
    <w:rsid w:val="390D04A7"/>
    <w:rsid w:val="39804AD4"/>
    <w:rsid w:val="3A355D69"/>
    <w:rsid w:val="3AC54542"/>
    <w:rsid w:val="3BF24A5F"/>
    <w:rsid w:val="3C2F4ACA"/>
    <w:rsid w:val="3CB91A05"/>
    <w:rsid w:val="3D1C14DA"/>
    <w:rsid w:val="3D253E38"/>
    <w:rsid w:val="3D8632F4"/>
    <w:rsid w:val="3D910901"/>
    <w:rsid w:val="3E495293"/>
    <w:rsid w:val="3EA55708"/>
    <w:rsid w:val="3EBD0471"/>
    <w:rsid w:val="3F813232"/>
    <w:rsid w:val="3F9D0839"/>
    <w:rsid w:val="3FDD5F20"/>
    <w:rsid w:val="4006528F"/>
    <w:rsid w:val="4013150B"/>
    <w:rsid w:val="40386AB4"/>
    <w:rsid w:val="41355E76"/>
    <w:rsid w:val="41F16F6E"/>
    <w:rsid w:val="421E47E0"/>
    <w:rsid w:val="43406C9D"/>
    <w:rsid w:val="438710B4"/>
    <w:rsid w:val="43B56532"/>
    <w:rsid w:val="442F3CAA"/>
    <w:rsid w:val="44705E69"/>
    <w:rsid w:val="44AF210D"/>
    <w:rsid w:val="44F24FAA"/>
    <w:rsid w:val="453F1920"/>
    <w:rsid w:val="45963111"/>
    <w:rsid w:val="45B21B65"/>
    <w:rsid w:val="460743C1"/>
    <w:rsid w:val="46387841"/>
    <w:rsid w:val="468615E6"/>
    <w:rsid w:val="46C42CA7"/>
    <w:rsid w:val="48835206"/>
    <w:rsid w:val="48F46540"/>
    <w:rsid w:val="496D22A8"/>
    <w:rsid w:val="49B32086"/>
    <w:rsid w:val="4A0271AE"/>
    <w:rsid w:val="4A790561"/>
    <w:rsid w:val="4B3F392E"/>
    <w:rsid w:val="4BAD708D"/>
    <w:rsid w:val="4BE25084"/>
    <w:rsid w:val="4C0B4458"/>
    <w:rsid w:val="4D3267B3"/>
    <w:rsid w:val="4D4221BA"/>
    <w:rsid w:val="4D7502EB"/>
    <w:rsid w:val="4EF63EA4"/>
    <w:rsid w:val="4FAA2E55"/>
    <w:rsid w:val="50361461"/>
    <w:rsid w:val="504C6252"/>
    <w:rsid w:val="50FF4E1B"/>
    <w:rsid w:val="51222EA0"/>
    <w:rsid w:val="51763783"/>
    <w:rsid w:val="51A47093"/>
    <w:rsid w:val="51D23DD6"/>
    <w:rsid w:val="51D80B67"/>
    <w:rsid w:val="525A79DB"/>
    <w:rsid w:val="52AA2EAA"/>
    <w:rsid w:val="530840C1"/>
    <w:rsid w:val="5333320B"/>
    <w:rsid w:val="536A0C3D"/>
    <w:rsid w:val="54594940"/>
    <w:rsid w:val="54B93F92"/>
    <w:rsid w:val="55B6705B"/>
    <w:rsid w:val="571376CF"/>
    <w:rsid w:val="571B1D91"/>
    <w:rsid w:val="5754159A"/>
    <w:rsid w:val="575512B4"/>
    <w:rsid w:val="57C871D8"/>
    <w:rsid w:val="57FD06CF"/>
    <w:rsid w:val="58F529B9"/>
    <w:rsid w:val="598B2C0C"/>
    <w:rsid w:val="598C08A3"/>
    <w:rsid w:val="59A96428"/>
    <w:rsid w:val="59FB56AF"/>
    <w:rsid w:val="5A0A1945"/>
    <w:rsid w:val="5A746DF6"/>
    <w:rsid w:val="5B1E2A81"/>
    <w:rsid w:val="5B4807E8"/>
    <w:rsid w:val="5BA9396F"/>
    <w:rsid w:val="5C386FD5"/>
    <w:rsid w:val="5C581E36"/>
    <w:rsid w:val="5C6E6BB0"/>
    <w:rsid w:val="5E793B07"/>
    <w:rsid w:val="5EC6388D"/>
    <w:rsid w:val="60935501"/>
    <w:rsid w:val="60A10A99"/>
    <w:rsid w:val="61646370"/>
    <w:rsid w:val="61844A4B"/>
    <w:rsid w:val="626367B7"/>
    <w:rsid w:val="626E16D9"/>
    <w:rsid w:val="62874A83"/>
    <w:rsid w:val="62FC28A0"/>
    <w:rsid w:val="63692C34"/>
    <w:rsid w:val="63CE724D"/>
    <w:rsid w:val="63DB5D55"/>
    <w:rsid w:val="65666194"/>
    <w:rsid w:val="6568292E"/>
    <w:rsid w:val="65C62620"/>
    <w:rsid w:val="65CE462C"/>
    <w:rsid w:val="66B31AC4"/>
    <w:rsid w:val="672D16D2"/>
    <w:rsid w:val="67DC029E"/>
    <w:rsid w:val="67E0333B"/>
    <w:rsid w:val="68075758"/>
    <w:rsid w:val="685145AA"/>
    <w:rsid w:val="6860357A"/>
    <w:rsid w:val="68B44744"/>
    <w:rsid w:val="68BA5430"/>
    <w:rsid w:val="697C15FE"/>
    <w:rsid w:val="69EA405C"/>
    <w:rsid w:val="6A217234"/>
    <w:rsid w:val="6A6965FF"/>
    <w:rsid w:val="6ABD71AC"/>
    <w:rsid w:val="6B120AA2"/>
    <w:rsid w:val="6C2B4084"/>
    <w:rsid w:val="6C6509E5"/>
    <w:rsid w:val="6CA91B55"/>
    <w:rsid w:val="6D1E40DD"/>
    <w:rsid w:val="6D39114F"/>
    <w:rsid w:val="6D4D071C"/>
    <w:rsid w:val="6D6D5F6F"/>
    <w:rsid w:val="6DAB3574"/>
    <w:rsid w:val="6DD855A8"/>
    <w:rsid w:val="6E4158D6"/>
    <w:rsid w:val="6E605241"/>
    <w:rsid w:val="6E6E472E"/>
    <w:rsid w:val="6E797E59"/>
    <w:rsid w:val="6F0F1718"/>
    <w:rsid w:val="6F8D2AB3"/>
    <w:rsid w:val="6F974036"/>
    <w:rsid w:val="6FC06060"/>
    <w:rsid w:val="6FCB4A49"/>
    <w:rsid w:val="6FCD6054"/>
    <w:rsid w:val="70076CC9"/>
    <w:rsid w:val="70370D5B"/>
    <w:rsid w:val="70D03F0E"/>
    <w:rsid w:val="70D23C3E"/>
    <w:rsid w:val="712B110C"/>
    <w:rsid w:val="714921D2"/>
    <w:rsid w:val="718450C3"/>
    <w:rsid w:val="71CF78AB"/>
    <w:rsid w:val="71DC70EE"/>
    <w:rsid w:val="72203F26"/>
    <w:rsid w:val="728C73D7"/>
    <w:rsid w:val="72F14DB0"/>
    <w:rsid w:val="73085C46"/>
    <w:rsid w:val="73923899"/>
    <w:rsid w:val="73B2260A"/>
    <w:rsid w:val="73C5713A"/>
    <w:rsid w:val="7431692A"/>
    <w:rsid w:val="745769C6"/>
    <w:rsid w:val="74A81CDB"/>
    <w:rsid w:val="74D06143"/>
    <w:rsid w:val="752807AC"/>
    <w:rsid w:val="754D79AA"/>
    <w:rsid w:val="75C25F4C"/>
    <w:rsid w:val="76063A73"/>
    <w:rsid w:val="763C4DF4"/>
    <w:rsid w:val="766C625F"/>
    <w:rsid w:val="76882384"/>
    <w:rsid w:val="76C57C6B"/>
    <w:rsid w:val="76FC5594"/>
    <w:rsid w:val="770D2782"/>
    <w:rsid w:val="771357EC"/>
    <w:rsid w:val="77361899"/>
    <w:rsid w:val="775535A9"/>
    <w:rsid w:val="776442F1"/>
    <w:rsid w:val="77A865CB"/>
    <w:rsid w:val="77B22F3E"/>
    <w:rsid w:val="78917647"/>
    <w:rsid w:val="78B9790F"/>
    <w:rsid w:val="791134A9"/>
    <w:rsid w:val="791553CB"/>
    <w:rsid w:val="79175355"/>
    <w:rsid w:val="79413EA4"/>
    <w:rsid w:val="794E6A26"/>
    <w:rsid w:val="79C00750"/>
    <w:rsid w:val="7A3E7421"/>
    <w:rsid w:val="7A565E50"/>
    <w:rsid w:val="7A587047"/>
    <w:rsid w:val="7A6B393D"/>
    <w:rsid w:val="7AB944BB"/>
    <w:rsid w:val="7B0527BE"/>
    <w:rsid w:val="7B2D1EBF"/>
    <w:rsid w:val="7B384C36"/>
    <w:rsid w:val="7BCE3DAF"/>
    <w:rsid w:val="7BDE159A"/>
    <w:rsid w:val="7C1670E4"/>
    <w:rsid w:val="7C2C7F87"/>
    <w:rsid w:val="7C540886"/>
    <w:rsid w:val="7CD51E11"/>
    <w:rsid w:val="7DC97AA7"/>
    <w:rsid w:val="7DDA3EAE"/>
    <w:rsid w:val="7E3D2549"/>
    <w:rsid w:val="7E9B7568"/>
    <w:rsid w:val="7EB368DF"/>
    <w:rsid w:val="7F48086E"/>
    <w:rsid w:val="7FB135E8"/>
    <w:rsid w:val="7FC015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8" w:lineRule="auto"/>
      <w:jc w:val="left"/>
      <w:outlineLvl w:val="0"/>
    </w:pPr>
    <w:rPr>
      <w:b/>
      <w:bCs/>
      <w:kern w:val="44"/>
      <w:sz w:val="28"/>
      <w:szCs w:val="44"/>
    </w:rPr>
  </w:style>
  <w:style w:type="paragraph" w:styleId="4">
    <w:name w:val="heading 2"/>
    <w:basedOn w:val="1"/>
    <w:next w:val="1"/>
    <w:qFormat/>
    <w:uiPriority w:val="0"/>
    <w:pPr>
      <w:keepNext/>
      <w:keepLines/>
      <w:spacing w:line="412" w:lineRule="auto"/>
      <w:jc w:val="center"/>
      <w:outlineLvl w:val="1"/>
    </w:pPr>
    <w:rPr>
      <w:rFonts w:ascii="Arial" w:hAnsi="Arial"/>
      <w:b/>
      <w:sz w:val="24"/>
      <w:szCs w:val="20"/>
    </w:rPr>
  </w:style>
  <w:style w:type="paragraph" w:styleId="5">
    <w:name w:val="heading 3"/>
    <w:basedOn w:val="1"/>
    <w:next w:val="1"/>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paragraph" w:styleId="2">
    <w:name w:val="heading 4"/>
    <w:basedOn w:val="1"/>
    <w:next w:val="1"/>
    <w:qFormat/>
    <w:uiPriority w:val="9"/>
    <w:pPr>
      <w:keepNext/>
      <w:keepLines/>
      <w:spacing w:before="280" w:after="290" w:line="374" w:lineRule="auto"/>
      <w:outlineLvl w:val="3"/>
    </w:pPr>
    <w:rPr>
      <w:rFonts w:ascii="Arial" w:hAnsi="Arial" w:eastAsia="黑体"/>
      <w:b/>
      <w:bCs/>
      <w:sz w:val="28"/>
      <w:szCs w:val="28"/>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next w:val="8"/>
    <w:qFormat/>
    <w:uiPriority w:val="0"/>
    <w:pPr>
      <w:snapToGrid w:val="0"/>
      <w:spacing w:line="348" w:lineRule="auto"/>
    </w:pPr>
    <w:rPr>
      <w:rFonts w:ascii="Arial" w:hAnsi="Arial" w:eastAsia="宋体"/>
      <w:sz w:val="32"/>
    </w:rPr>
  </w:style>
  <w:style w:type="paragraph" w:styleId="8">
    <w:name w:val="Title"/>
    <w:basedOn w:val="1"/>
    <w:next w:val="1"/>
    <w:qFormat/>
    <w:uiPriority w:val="10"/>
    <w:pPr>
      <w:spacing w:before="300" w:after="200"/>
      <w:contextualSpacing/>
    </w:pPr>
    <w:rPr>
      <w:sz w:val="48"/>
      <w:szCs w:val="48"/>
    </w:rPr>
  </w:style>
  <w:style w:type="paragraph" w:styleId="9">
    <w:name w:val="Plain Text"/>
    <w:basedOn w:val="1"/>
    <w:qFormat/>
    <w:uiPriority w:val="0"/>
    <w:rPr>
      <w:rFonts w:hint="eastAsia" w:ascii="宋体" w:hAnsi="Courier New"/>
      <w:szCs w:val="20"/>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rPr>
      <w:rFonts w:ascii="Times New Roman" w:hAnsi="Times New Roman" w:eastAsia="宋体"/>
    </w:rPr>
  </w:style>
  <w:style w:type="paragraph" w:styleId="13">
    <w:name w:val="Normal (Web)"/>
    <w:basedOn w:val="1"/>
    <w:qFormat/>
    <w:uiPriority w:val="0"/>
    <w:pPr>
      <w:spacing w:beforeAutospacing="1" w:afterAutospacing="1"/>
      <w:jc w:val="left"/>
    </w:pPr>
    <w:rPr>
      <w:rFonts w:cs="Times New Roman"/>
      <w:kern w:val="0"/>
      <w:sz w:val="24"/>
    </w:rPr>
  </w:style>
  <w:style w:type="paragraph" w:styleId="14">
    <w:name w:val="Body Text First Indent"/>
    <w:basedOn w:val="1"/>
    <w:qFormat/>
    <w:uiPriority w:val="0"/>
    <w:pPr>
      <w:spacing w:line="360" w:lineRule="auto"/>
      <w:ind w:firstLine="200" w:firstLineChars="200"/>
    </w:pPr>
    <w:rPr>
      <w:sz w:val="24"/>
    </w:rPr>
  </w:style>
  <w:style w:type="character" w:styleId="17">
    <w:name w:val="Strong"/>
    <w:basedOn w:val="16"/>
    <w:qFormat/>
    <w:uiPriority w:val="0"/>
    <w:rPr>
      <w:b/>
    </w:rPr>
  </w:style>
  <w:style w:type="character" w:styleId="18">
    <w:name w:val="Emphasis"/>
    <w:basedOn w:val="16"/>
    <w:qFormat/>
    <w:uiPriority w:val="0"/>
    <w:rPr>
      <w:i/>
    </w:rPr>
  </w:style>
  <w:style w:type="paragraph" w:customStyle="1" w:styleId="19">
    <w:name w:val="Char"/>
    <w:basedOn w:val="1"/>
    <w:next w:val="1"/>
    <w:qFormat/>
    <w:uiPriority w:val="0"/>
    <w:pPr>
      <w:pageBreakBefore/>
      <w:spacing w:line="400" w:lineRule="exact"/>
    </w:pPr>
    <w:rPr>
      <w:rFonts w:eastAsia="黑体"/>
      <w:sz w:val="32"/>
      <w:szCs w:val="32"/>
    </w:rPr>
  </w:style>
  <w:style w:type="character" w:customStyle="1" w:styleId="20">
    <w:name w:val="font11"/>
    <w:basedOn w:val="16"/>
    <w:qFormat/>
    <w:uiPriority w:val="0"/>
    <w:rPr>
      <w:rFonts w:hint="eastAsia" w:ascii="宋体" w:hAnsi="宋体" w:eastAsia="宋体" w:cs="宋体"/>
      <w:color w:val="000000"/>
      <w:sz w:val="24"/>
      <w:szCs w:val="24"/>
      <w:u w:val="none"/>
    </w:rPr>
  </w:style>
  <w:style w:type="character" w:customStyle="1" w:styleId="21">
    <w:name w:val="font51"/>
    <w:basedOn w:val="16"/>
    <w:qFormat/>
    <w:uiPriority w:val="0"/>
    <w:rPr>
      <w:rFonts w:hint="eastAsia" w:ascii="宋体" w:hAnsi="宋体" w:eastAsia="宋体" w:cs="宋体"/>
      <w:color w:val="000000"/>
      <w:sz w:val="24"/>
      <w:szCs w:val="24"/>
      <w:u w:val="none"/>
    </w:rPr>
  </w:style>
  <w:style w:type="paragraph" w:customStyle="1" w:styleId="22">
    <w:name w:val="WPSOffice手动目录 1"/>
    <w:qFormat/>
    <w:uiPriority w:val="0"/>
    <w:rPr>
      <w:rFonts w:ascii="Times New Roman" w:hAnsi="Times New Roman" w:eastAsia="宋体" w:cs="Times New Roman"/>
      <w:lang w:val="en-US" w:eastAsia="zh-CN" w:bidi="ar-SA"/>
    </w:rPr>
  </w:style>
  <w:style w:type="paragraph" w:customStyle="1" w:styleId="23">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24">
    <w:name w:val="font81"/>
    <w:basedOn w:val="16"/>
    <w:qFormat/>
    <w:uiPriority w:val="0"/>
    <w:rPr>
      <w:rFonts w:hint="eastAsia" w:ascii="宋体" w:hAnsi="宋体" w:eastAsia="宋体" w:cs="宋体"/>
      <w:color w:val="000000"/>
      <w:sz w:val="24"/>
      <w:szCs w:val="24"/>
      <w:u w:val="none"/>
    </w:rPr>
  </w:style>
  <w:style w:type="character" w:customStyle="1" w:styleId="25">
    <w:name w:val="font61"/>
    <w:basedOn w:val="16"/>
    <w:qFormat/>
    <w:uiPriority w:val="0"/>
    <w:rPr>
      <w:rFonts w:hint="eastAsia" w:ascii="宋体" w:hAnsi="宋体" w:eastAsia="宋体" w:cs="宋体"/>
      <w:color w:val="000000"/>
      <w:sz w:val="24"/>
      <w:szCs w:val="24"/>
      <w:u w:val="none"/>
    </w:rPr>
  </w:style>
  <w:style w:type="character" w:customStyle="1" w:styleId="26">
    <w:name w:val="font31"/>
    <w:basedOn w:val="16"/>
    <w:qFormat/>
    <w:uiPriority w:val="0"/>
    <w:rPr>
      <w:rFonts w:hint="eastAsia" w:ascii="宋体" w:hAnsi="宋体" w:eastAsia="宋体" w:cs="宋体"/>
      <w:color w:val="000000"/>
      <w:sz w:val="18"/>
      <w:szCs w:val="18"/>
      <w:u w:val="none"/>
    </w:rPr>
  </w:style>
  <w:style w:type="character" w:customStyle="1" w:styleId="27">
    <w:name w:val="font71"/>
    <w:basedOn w:val="16"/>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GEDI</Company>
  <Pages>8</Pages>
  <Words>3708</Words>
  <Characters>4176</Characters>
  <Lines>26</Lines>
  <Paragraphs>7</Paragraphs>
  <TotalTime>9</TotalTime>
  <ScaleCrop>false</ScaleCrop>
  <LinksUpToDate>false</LinksUpToDate>
  <CharactersWithSpaces>4294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2023-10-23T02:52:00Z</dcterms:created>
  <dc:creator>jiangzhenyu</dc:creator>
  <cp:lastModifiedBy>00031989_cgy</cp:lastModifiedBy>
  <cp:lastPrinted>2026-04-08T03:42:05Z</cp:lastPrinted>
  <dcterms:modified xsi:type="dcterms:W3CDTF">2026-04-08T03:42:28Z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BA52C1357B304A55B7816C712DBA8EA4</vt:lpwstr>
  </property>
  <property fmtid="{D5CDD505-2E9C-101B-9397-08002B2CF9AE}" pid="4" name="KSOTemplateDocerSaveRecord">
    <vt:lpwstr>eyJoZGlkIjoiNTZmYmRjY2ViMWM2N2UxZDRhM2MzNmU5ZjkwMWU0MDUiLCJ1c2VySWQiOiI1MjUwMjM0ODcifQ==</vt:lpwstr>
  </property>
</Properties>
</file>