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r>
        <w:rPr>
          <w:rFonts w:hint="eastAsia" w:ascii="仿宋_GB2312" w:eastAsia="仿宋_GB2312"/>
          <w:sz w:val="24"/>
          <w:highlight w:val="none"/>
        </w:rPr>
        <w:drawing>
          <wp:anchor distT="0" distB="0" distL="114300" distR="114300" simplePos="0" relativeHeight="251661312" behindDoc="1" locked="0" layoutInCell="1" allowOverlap="1">
            <wp:simplePos x="0" y="0"/>
            <wp:positionH relativeFrom="column">
              <wp:posOffset>-1174750</wp:posOffset>
            </wp:positionH>
            <wp:positionV relativeFrom="paragraph">
              <wp:posOffset>-908685</wp:posOffset>
            </wp:positionV>
            <wp:extent cx="7583170" cy="2281555"/>
            <wp:effectExtent l="0" t="0" r="17780" b="44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583170" cy="2281555"/>
                    </a:xfrm>
                    <a:prstGeom prst="rect">
                      <a:avLst/>
                    </a:prstGeom>
                  </pic:spPr>
                </pic:pic>
              </a:graphicData>
            </a:graphic>
          </wp:anchor>
        </w:drawing>
      </w:r>
      <w:r>
        <w:rPr>
          <w:rFonts w:hint="eastAsia" w:ascii="仿宋_GB2312" w:eastAsia="仿宋_GB2312"/>
          <w:sz w:val="24"/>
          <w:highlight w:val="none"/>
        </w:rPr>
        <w:drawing>
          <wp:anchor distT="0" distB="0" distL="114300" distR="114300" simplePos="0" relativeHeight="251660288" behindDoc="0" locked="0" layoutInCell="1" allowOverlap="1">
            <wp:simplePos x="0" y="0"/>
            <wp:positionH relativeFrom="column">
              <wp:posOffset>-401955</wp:posOffset>
            </wp:positionH>
            <wp:positionV relativeFrom="paragraph">
              <wp:posOffset>-92075</wp:posOffset>
            </wp:positionV>
            <wp:extent cx="4162425" cy="75247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162425" cy="752475"/>
                    </a:xfrm>
                    <a:prstGeom prst="rect">
                      <a:avLst/>
                    </a:prstGeom>
                    <a:noFill/>
                    <a:ln>
                      <a:noFill/>
                    </a:ln>
                  </pic:spPr>
                </pic:pic>
              </a:graphicData>
            </a:graphic>
          </wp:anchor>
        </w:drawing>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spacing w:line="360" w:lineRule="auto"/>
        <w:rPr>
          <w:rFonts w:ascii="仿宋_GB2312" w:eastAsia="仿宋_GB2312"/>
          <w:b/>
          <w:sz w:val="44"/>
          <w:szCs w:val="44"/>
          <w:highlight w:val="none"/>
        </w:rPr>
      </w:pPr>
    </w:p>
    <w:p>
      <w:pPr>
        <w:adjustRightInd w:val="0"/>
        <w:snapToGrid w:val="0"/>
        <w:jc w:val="center"/>
        <w:rPr>
          <w:rFonts w:hint="eastAsia" w:ascii="Times New Roman" w:hAnsi="Times New Roman" w:eastAsia="黑体" w:cs="Times New Roman"/>
          <w:b/>
          <w:kern w:val="2"/>
          <w:sz w:val="52"/>
          <w:szCs w:val="22"/>
          <w:highlight w:val="none"/>
          <w:lang w:val="en-US" w:eastAsia="zh-CN" w:bidi="ar-SA"/>
        </w:rPr>
      </w:pPr>
      <w:r>
        <w:rPr>
          <w:rFonts w:hint="eastAsia" w:ascii="Times New Roman" w:hAnsi="Times New Roman" w:eastAsia="黑体" w:cs="Times New Roman"/>
          <w:b/>
          <w:color w:val="auto"/>
          <w:kern w:val="2"/>
          <w:sz w:val="52"/>
          <w:szCs w:val="22"/>
          <w:highlight w:val="none"/>
          <w:lang w:val="en-US" w:eastAsia="zh-CN" w:bidi="ar-SA"/>
        </w:rPr>
        <w:t xml:space="preserve">500千伏桂北输变电工程（超高压公司部分) </w:t>
      </w:r>
      <w:r>
        <w:rPr>
          <w:rFonts w:hint="eastAsia" w:ascii="Times New Roman" w:hAnsi="Times New Roman" w:eastAsia="黑体" w:cs="Times New Roman"/>
          <w:b/>
          <w:kern w:val="2"/>
          <w:sz w:val="52"/>
          <w:szCs w:val="22"/>
          <w:highlight w:val="none"/>
          <w:lang w:val="en-US" w:eastAsia="zh-CN" w:bidi="ar-SA"/>
        </w:rPr>
        <w:t>质量检测服务</w:t>
      </w:r>
    </w:p>
    <w:p>
      <w:pPr>
        <w:adjustRightInd w:val="0"/>
        <w:snapToGrid w:val="0"/>
        <w:jc w:val="center"/>
        <w:rPr>
          <w:rFonts w:hint="eastAsia"/>
          <w:lang w:val="en-US" w:eastAsia="zh-CN"/>
        </w:rPr>
      </w:pPr>
      <w:r>
        <w:rPr>
          <w:rFonts w:hint="eastAsia" w:ascii="Times New Roman" w:hAnsi="Times New Roman" w:eastAsia="黑体" w:cs="Times New Roman"/>
          <w:b/>
          <w:kern w:val="2"/>
          <w:sz w:val="52"/>
          <w:szCs w:val="22"/>
          <w:highlight w:val="none"/>
          <w:lang w:val="en-US" w:eastAsia="zh-CN" w:bidi="ar-SA"/>
        </w:rPr>
        <w:t>技术规范书</w:t>
      </w:r>
    </w:p>
    <w:p>
      <w:pPr>
        <w:spacing w:line="360" w:lineRule="auto"/>
        <w:jc w:val="both"/>
        <w:rPr>
          <w:b/>
          <w:sz w:val="24"/>
          <w:highlight w:val="none"/>
        </w:rPr>
      </w:pPr>
    </w:p>
    <w:p>
      <w:pPr>
        <w:spacing w:line="360" w:lineRule="auto"/>
        <w:jc w:val="both"/>
        <w:rPr>
          <w:b/>
          <w:sz w:val="24"/>
          <w:highlight w:val="none"/>
        </w:rPr>
      </w:pPr>
    </w:p>
    <w:p>
      <w:pPr>
        <w:pStyle w:val="2"/>
      </w:pPr>
    </w:p>
    <w:p>
      <w:pPr>
        <w:pStyle w:val="10"/>
        <w:snapToGrid w:val="0"/>
        <w:spacing w:line="360" w:lineRule="auto"/>
        <w:ind w:firstLine="2530" w:firstLineChars="700"/>
        <w:jc w:val="both"/>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val="en-US" w:eastAsia="zh-CN"/>
        </w:rPr>
        <w:t>批准：</w:t>
      </w:r>
    </w:p>
    <w:p>
      <w:pPr>
        <w:pStyle w:val="10"/>
        <w:snapToGrid w:val="0"/>
        <w:spacing w:line="360" w:lineRule="auto"/>
        <w:jc w:val="center"/>
        <w:rPr>
          <w:rFonts w:hint="eastAsia" w:ascii="黑体" w:hAnsi="黑体" w:eastAsia="黑体" w:cs="黑体"/>
          <w:b/>
          <w:bCs/>
          <w:sz w:val="36"/>
          <w:szCs w:val="36"/>
          <w:highlight w:val="none"/>
          <w:lang w:eastAsia="zh-CN"/>
        </w:rPr>
      </w:pPr>
    </w:p>
    <w:p>
      <w:pPr>
        <w:pStyle w:val="10"/>
        <w:snapToGrid w:val="0"/>
        <w:spacing w:line="360" w:lineRule="auto"/>
        <w:ind w:firstLine="2530" w:firstLineChars="700"/>
        <w:jc w:val="both"/>
        <w:rPr>
          <w:rFonts w:hint="eastAsia"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审核：</w:t>
      </w:r>
    </w:p>
    <w:p>
      <w:pPr>
        <w:pStyle w:val="10"/>
        <w:snapToGrid w:val="0"/>
        <w:spacing w:line="360" w:lineRule="auto"/>
        <w:jc w:val="center"/>
        <w:rPr>
          <w:rFonts w:hint="eastAsia" w:ascii="黑体" w:hAnsi="黑体" w:eastAsia="黑体" w:cs="黑体"/>
          <w:b/>
          <w:bCs/>
          <w:sz w:val="36"/>
          <w:szCs w:val="36"/>
          <w:highlight w:val="none"/>
        </w:rPr>
      </w:pPr>
    </w:p>
    <w:p>
      <w:pPr>
        <w:pStyle w:val="10"/>
        <w:snapToGrid w:val="0"/>
        <w:spacing w:line="360" w:lineRule="auto"/>
        <w:ind w:firstLine="2530" w:firstLineChars="700"/>
        <w:jc w:val="both"/>
        <w:rPr>
          <w:rFonts w:hint="eastAsia"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编写：</w:t>
      </w:r>
    </w:p>
    <w:p>
      <w:pPr>
        <w:pStyle w:val="10"/>
        <w:snapToGrid w:val="0"/>
        <w:spacing w:line="360" w:lineRule="auto"/>
        <w:jc w:val="center"/>
        <w:rPr>
          <w:rFonts w:hint="eastAsia" w:ascii="黑体" w:hAnsi="黑体" w:eastAsia="黑体" w:cs="黑体"/>
          <w:b/>
          <w:bCs/>
          <w:sz w:val="36"/>
          <w:szCs w:val="36"/>
          <w:highlight w:val="none"/>
        </w:rPr>
      </w:pPr>
    </w:p>
    <w:p>
      <w:pPr>
        <w:pStyle w:val="10"/>
        <w:snapToGrid w:val="0"/>
        <w:spacing w:line="360" w:lineRule="auto"/>
        <w:jc w:val="center"/>
        <w:rPr>
          <w:rFonts w:hint="eastAsia" w:ascii="黑体" w:hAnsi="黑体" w:eastAsia="黑体" w:cs="黑体"/>
          <w:b/>
          <w:bCs/>
          <w:sz w:val="36"/>
          <w:szCs w:val="36"/>
          <w:highlight w:val="none"/>
        </w:rPr>
      </w:pPr>
    </w:p>
    <w:p>
      <w:pPr>
        <w:pStyle w:val="10"/>
        <w:snapToGrid w:val="0"/>
        <w:spacing w:line="360" w:lineRule="auto"/>
        <w:jc w:val="center"/>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eastAsia="zh-CN"/>
        </w:rPr>
        <w:t>南网</w:t>
      </w:r>
      <w:r>
        <w:rPr>
          <w:rFonts w:hint="eastAsia" w:ascii="黑体" w:hAnsi="黑体" w:eastAsia="黑体" w:cs="黑体"/>
          <w:b/>
          <w:bCs/>
          <w:sz w:val="36"/>
          <w:szCs w:val="36"/>
          <w:highlight w:val="none"/>
        </w:rPr>
        <w:t>超高压公司柳州</w:t>
      </w:r>
      <w:r>
        <w:rPr>
          <w:rFonts w:hint="eastAsia" w:ascii="黑体" w:hAnsi="黑体" w:eastAsia="黑体" w:cs="黑体"/>
          <w:b/>
          <w:bCs/>
          <w:sz w:val="36"/>
          <w:szCs w:val="36"/>
          <w:highlight w:val="none"/>
          <w:lang w:eastAsia="zh-CN"/>
        </w:rPr>
        <w:t>局</w:t>
      </w:r>
    </w:p>
    <w:p>
      <w:pPr>
        <w:spacing w:line="360" w:lineRule="auto"/>
        <w:jc w:val="center"/>
        <w:rPr>
          <w:rFonts w:hint="eastAsia" w:ascii="黑体" w:hAnsi="黑体" w:eastAsia="黑体" w:cs="黑体"/>
          <w:b/>
          <w:bCs/>
          <w:sz w:val="36"/>
          <w:szCs w:val="36"/>
          <w:highlight w:val="none"/>
        </w:rPr>
      </w:pPr>
      <w:r>
        <w:rPr>
          <w:rFonts w:hint="eastAsia" w:ascii="黑体" w:hAnsi="黑体" w:eastAsia="黑体" w:cs="黑体"/>
          <w:b/>
          <w:bCs/>
          <w:sz w:val="36"/>
          <w:szCs w:val="36"/>
          <w:highlight w:val="none"/>
        </w:rPr>
        <w:t>202</w:t>
      </w:r>
      <w:r>
        <w:rPr>
          <w:rFonts w:hint="eastAsia" w:ascii="黑体" w:hAnsi="黑体" w:eastAsia="黑体" w:cs="黑体"/>
          <w:b/>
          <w:bCs/>
          <w:sz w:val="36"/>
          <w:szCs w:val="36"/>
          <w:highlight w:val="none"/>
          <w:lang w:val="en-US" w:eastAsia="zh-CN"/>
        </w:rPr>
        <w:t>6</w:t>
      </w:r>
      <w:r>
        <w:rPr>
          <w:rFonts w:hint="eastAsia" w:ascii="黑体" w:hAnsi="黑体" w:eastAsia="黑体" w:cs="黑体"/>
          <w:b/>
          <w:bCs/>
          <w:sz w:val="36"/>
          <w:szCs w:val="36"/>
          <w:highlight w:val="none"/>
        </w:rPr>
        <w:t>年</w:t>
      </w:r>
      <w:r>
        <w:rPr>
          <w:rFonts w:hint="eastAsia" w:ascii="黑体" w:hAnsi="黑体" w:eastAsia="黑体" w:cs="黑体"/>
          <w:b/>
          <w:bCs/>
          <w:sz w:val="36"/>
          <w:szCs w:val="36"/>
          <w:highlight w:val="none"/>
          <w:lang w:val="en-US" w:eastAsia="zh-CN"/>
        </w:rPr>
        <w:t>3</w:t>
      </w:r>
      <w:r>
        <w:rPr>
          <w:rFonts w:hint="eastAsia" w:ascii="黑体" w:hAnsi="黑体" w:eastAsia="黑体" w:cs="黑体"/>
          <w:b/>
          <w:bCs/>
          <w:sz w:val="36"/>
          <w:szCs w:val="36"/>
          <w:highlight w:val="none"/>
        </w:rPr>
        <w:t>月</w:t>
      </w:r>
    </w:p>
    <w:p>
      <w:pPr>
        <w:rPr>
          <w:rFonts w:hint="eastAsia" w:ascii="黑体" w:hAnsi="黑体" w:eastAsia="黑体" w:cs="黑体"/>
          <w:sz w:val="36"/>
          <w:szCs w:val="36"/>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sdt>
      <w:sdtPr>
        <w:rPr>
          <w:rFonts w:ascii="宋体" w:hAnsi="宋体" w:eastAsia="宋体" w:cstheme="minorBidi"/>
          <w:b/>
          <w:bCs/>
          <w:kern w:val="2"/>
          <w:sz w:val="44"/>
          <w:szCs w:val="44"/>
          <w:highlight w:val="none"/>
          <w:lang w:val="en-US" w:eastAsia="zh-CN" w:bidi="ar-SA"/>
        </w:rPr>
        <w:id w:val="147469350"/>
        <w15:color w:val="DBDBDB"/>
        <w:docPartObj>
          <w:docPartGallery w:val="Table of Contents"/>
          <w:docPartUnique/>
        </w:docPartObj>
      </w:sdtPr>
      <w:sdtEndPr>
        <w:rPr>
          <w:rFonts w:hint="eastAsia" w:ascii="宋体" w:hAnsi="宋体" w:eastAsia="宋体" w:cs="宋体"/>
          <w:b/>
          <w:bCs/>
          <w:kern w:val="2"/>
          <w:sz w:val="28"/>
          <w:szCs w:val="28"/>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目</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录</w:t>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"1-3"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_Toc19252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 总则</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_Toc19252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_Toc27096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 项目概述</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1</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_Toc10131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 采购范围</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2</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_Toc10716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4 检测技术标准和规程规范</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2</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_Toc5955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5 服务项目质量控制要求</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3</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_Toc15929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6 交付物</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4</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_Toc22538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7 其他</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4</w:t>
          </w:r>
          <w:r>
            <w:rPr>
              <w:rFonts w:hint="eastAsia" w:ascii="宋体" w:hAnsi="宋体" w:eastAsia="宋体" w:cs="宋体"/>
              <w:sz w:val="30"/>
              <w:szCs w:val="30"/>
              <w:highlight w:val="none"/>
            </w:rPr>
            <w:fldChar w:fldCharType="end"/>
          </w:r>
        </w:p>
        <w:p>
          <w:pPr>
            <w:pStyle w:val="13"/>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_Toc2540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 xml:space="preserve">8 </w:t>
          </w:r>
          <w:r>
            <w:rPr>
              <w:rFonts w:hint="eastAsia" w:ascii="宋体" w:hAnsi="宋体" w:cs="宋体"/>
              <w:sz w:val="30"/>
              <w:szCs w:val="30"/>
              <w:highlight w:val="none"/>
              <w:lang w:val="en-US" w:eastAsia="zh-CN"/>
            </w:rPr>
            <w:t>检测项目</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5</w:t>
          </w:r>
          <w:r>
            <w:rPr>
              <w:rFonts w:hint="eastAsia" w:ascii="宋体" w:hAnsi="宋体" w:eastAsia="宋体" w:cs="宋体"/>
              <w:sz w:val="30"/>
              <w:szCs w:val="30"/>
              <w:highlight w:val="none"/>
            </w:rPr>
            <w:fldChar w:fldCharType="end"/>
          </w:r>
        </w:p>
        <w:p>
          <w:pPr>
            <w:rPr>
              <w:rFonts w:hint="eastAsia" w:ascii="宋体" w:hAnsi="宋体" w:eastAsia="宋体" w:cs="宋体"/>
              <w:sz w:val="28"/>
              <w:szCs w:val="28"/>
              <w:highlight w:val="none"/>
            </w:rPr>
          </w:pPr>
          <w:r>
            <w:rPr>
              <w:rFonts w:hint="eastAsia" w:ascii="宋体" w:hAnsi="宋体" w:eastAsia="宋体" w:cs="宋体"/>
              <w:sz w:val="30"/>
              <w:szCs w:val="30"/>
              <w:highlight w:val="none"/>
            </w:rPr>
            <w:fldChar w:fldCharType="end"/>
          </w:r>
        </w:p>
      </w:sdtContent>
    </w:sdt>
    <w:p>
      <w:pPr>
        <w:rPr>
          <w:highlight w:val="none"/>
        </w:rPr>
      </w:pPr>
    </w:p>
    <w:p>
      <w:pPr>
        <w:rPr>
          <w:highlight w:val="none"/>
        </w:rPr>
      </w:pPr>
    </w:p>
    <w:p>
      <w:pPr>
        <w:tabs>
          <w:tab w:val="left" w:pos="6156"/>
        </w:tabs>
        <w:jc w:val="left"/>
        <w:rPr>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pStyle w:val="3"/>
        <w:pageBreakBefore w:val="0"/>
        <w:tabs>
          <w:tab w:val="left" w:pos="360"/>
        </w:tabs>
        <w:kinsoku/>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bookmarkStart w:id="0" w:name="_Toc19252"/>
      <w:r>
        <w:rPr>
          <w:rFonts w:hint="eastAsia" w:ascii="宋体" w:hAnsi="宋体" w:eastAsia="宋体" w:cs="宋体"/>
          <w:sz w:val="24"/>
          <w:szCs w:val="24"/>
          <w:highlight w:val="none"/>
        </w:rPr>
        <w:t>1 总则</w:t>
      </w:r>
      <w:bookmarkEnd w:id="0"/>
    </w:p>
    <w:p>
      <w:pPr>
        <w:spacing w:line="276"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1.1本技术规范书适用于</w:t>
      </w:r>
      <w:r>
        <w:rPr>
          <w:rFonts w:hint="eastAsia" w:ascii="宋体" w:hAnsi="宋体" w:eastAsia="宋体" w:cs="宋体"/>
          <w:sz w:val="24"/>
          <w:szCs w:val="24"/>
          <w:highlight w:val="none"/>
          <w:lang w:eastAsia="zh-CN"/>
        </w:rPr>
        <w:t xml:space="preserve">500千伏桂北输变电工程（超高压公司部分) </w:t>
      </w:r>
      <w:r>
        <w:rPr>
          <w:rFonts w:hint="eastAsia" w:ascii="宋体" w:hAnsi="宋体" w:eastAsia="宋体" w:cs="宋体"/>
          <w:sz w:val="24"/>
          <w:szCs w:val="24"/>
          <w:highlight w:val="none"/>
        </w:rPr>
        <w:t>质量检测服务技术要求。本规范书提出的工作内容、技术要求，其解释权归超高压输电公司所有。</w:t>
      </w:r>
    </w:p>
    <w:p>
      <w:pPr>
        <w:pStyle w:val="20"/>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1.2本技术规范书提出的是最低限度的技术要求，并未对一切技术细节做出规定，投标方应提供符合本规范书的技术服务成果。</w:t>
      </w:r>
    </w:p>
    <w:p>
      <w:pPr>
        <w:pStyle w:val="20"/>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1.3如果投标方没有以书面形式对本规范书的条款提出异议，则意味着投标方提供的技术服务完全满足本规范书的要求。如有异议，都应在投标文件中的差异表中加以详细描述，并说明原因。</w:t>
      </w:r>
    </w:p>
    <w:p>
      <w:pPr>
        <w:pStyle w:val="20"/>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1.4在本技术规范书签订协议之后，招标方有权提出因标准或规程规范发生变化而产生的一些补充，具体项目由双方共同商定。</w:t>
      </w:r>
    </w:p>
    <w:p>
      <w:pPr>
        <w:pStyle w:val="20"/>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1.5本技术规范书所使用的标准如与投标方所执行的标准发生矛盾时，按招标方要求的标准执行，本技术规范书未全部引用应用标准，凡是本技术规范书</w:t>
      </w:r>
      <w:r>
        <w:rPr>
          <w:rFonts w:hint="eastAsia" w:ascii="宋体" w:hAnsi="宋体" w:eastAsia="宋体" w:cs="宋体"/>
          <w:sz w:val="24"/>
          <w:szCs w:val="24"/>
          <w:highlight w:val="none"/>
          <w:lang w:eastAsia="zh-CN"/>
        </w:rPr>
        <w:t>涉及</w:t>
      </w:r>
      <w:r>
        <w:rPr>
          <w:rFonts w:hint="eastAsia" w:ascii="宋体" w:hAnsi="宋体" w:eastAsia="宋体" w:cs="宋体"/>
          <w:sz w:val="24"/>
          <w:szCs w:val="24"/>
          <w:highlight w:val="none"/>
        </w:rPr>
        <w:t>的各项内容均按最新标准实施。</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 w:name="_Toc27096"/>
      <w:r>
        <w:rPr>
          <w:rFonts w:hint="eastAsia" w:ascii="宋体" w:hAnsi="宋体" w:eastAsia="宋体" w:cs="宋体"/>
          <w:b/>
          <w:highlight w:val="none"/>
        </w:rPr>
        <w:t>2 项目概述</w:t>
      </w:r>
      <w:bookmarkEnd w:id="1"/>
    </w:p>
    <w:p>
      <w:pPr>
        <w:pStyle w:val="7"/>
        <w:spacing w:line="360" w:lineRule="auto"/>
        <w:ind w:firstLine="480" w:firstLineChars="200"/>
        <w:jc w:val="both"/>
        <w:rPr>
          <w:rFonts w:hint="eastAsia" w:ascii="宋体" w:hAnsi="宋体" w:cs="宋体"/>
          <w:sz w:val="24"/>
          <w:szCs w:val="24"/>
          <w:highlight w:val="cyan"/>
          <w:lang w:val="en-US" w:eastAsia="zh-CN"/>
        </w:rPr>
      </w:pPr>
      <w:bookmarkStart w:id="2" w:name="_Toc10131"/>
      <w:r>
        <w:rPr>
          <w:rFonts w:hint="eastAsia" w:ascii="宋体" w:hAnsi="宋体" w:cs="宋体"/>
          <w:sz w:val="24"/>
          <w:szCs w:val="24"/>
          <w:highlight w:val="none"/>
          <w:lang w:val="en-US" w:eastAsia="zh-CN"/>
        </w:rPr>
        <w:t>500kV桂林变电站站址位于桂林市灵川县东北方向约5kM处，站址从G322国道引接，长约160m，交通便利。变电站首期工程于2007年建成投运，二期工程于2011年建成投产，截至目前，已投运两台主变压器。</w:t>
      </w:r>
    </w:p>
    <w:p>
      <w:pPr>
        <w:pStyle w:val="7"/>
        <w:spacing w:line="360" w:lineRule="auto"/>
        <w:ind w:firstLine="480" w:firstLineChars="200"/>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500kV配电装置布置在站区北侧，前期所有500KV线路向西、东侧架空出线；220kV配电装置布置在站区南侧，向南出线。主控通信楼布置在站区中部偏西侧，站前区位于站区西侧，从西侧进站。变电站已按最终规模一次征地，本期工程在前期预留场地进行，不新征用地。</w:t>
      </w:r>
    </w:p>
    <w:p>
      <w:pPr>
        <w:pStyle w:val="7"/>
        <w:spacing w:line="360" w:lineRule="auto"/>
        <w:ind w:firstLine="480" w:firstLineChars="200"/>
        <w:jc w:val="both"/>
        <w:rPr>
          <w:rFonts w:hint="eastAsia" w:ascii="宋体" w:hAnsi="宋体" w:cs="宋体"/>
          <w:sz w:val="24"/>
          <w:szCs w:val="24"/>
          <w:highlight w:val="cyan"/>
          <w:lang w:val="en-US" w:eastAsia="zh-CN"/>
        </w:rPr>
      </w:pPr>
      <w:r>
        <w:rPr>
          <w:rFonts w:hint="eastAsia" w:ascii="宋体" w:hAnsi="宋体" w:cs="宋体"/>
          <w:sz w:val="24"/>
          <w:szCs w:val="24"/>
          <w:highlight w:val="none"/>
          <w:lang w:val="en-US" w:eastAsia="zh-CN"/>
        </w:rPr>
        <w:t>500千伏桂北输变电工程（超高压公司部分)建设规模如下：根据电力系统的发展和规划，本工程在500kV桂林变电站扩建2回500kV出线间隔，至拟建500kV桂北变电站。500kV采用一个半断路器接线，本期新建2个不完整串，安装2组断路器，采用户外AIS设备布置形式。</w:t>
      </w:r>
    </w:p>
    <w:p>
      <w:pPr>
        <w:pStyle w:val="7"/>
        <w:spacing w:line="360" w:lineRule="auto"/>
        <w:ind w:firstLine="480" w:firstLineChars="200"/>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本工程扩建2回500kV出线间隔，至拟建500kV桂北变电站。本次在前期预留设备位置上进行扩建，电气接线、电气平面布置尽量与前期工程保持一致。</w:t>
      </w:r>
    </w:p>
    <w:p>
      <w:pPr>
        <w:pStyle w:val="8"/>
        <w:rPr>
          <w:rFonts w:hint="eastAsia"/>
          <w:lang w:val="en-US" w:eastAsia="zh-CN"/>
        </w:rPr>
      </w:pP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r>
        <w:rPr>
          <w:rFonts w:hint="eastAsia" w:ascii="宋体" w:hAnsi="宋体" w:eastAsia="宋体" w:cs="宋体"/>
          <w:b/>
          <w:highlight w:val="none"/>
        </w:rPr>
        <w:t>3 采购范围</w:t>
      </w:r>
      <w:bookmarkEnd w:id="2"/>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3.1服务主要内容包括：</w:t>
      </w:r>
      <w:r>
        <w:rPr>
          <w:rFonts w:hint="eastAsia" w:ascii="宋体" w:hAnsi="宋体" w:eastAsia="宋体" w:cs="宋体"/>
          <w:sz w:val="24"/>
          <w:szCs w:val="24"/>
          <w:highlight w:val="none"/>
          <w:lang w:eastAsia="zh-CN"/>
        </w:rPr>
        <w:t xml:space="preserve">500千伏桂北输变电工程（超高压公司部分) </w:t>
      </w:r>
      <w:r>
        <w:rPr>
          <w:rFonts w:hint="eastAsia" w:ascii="宋体" w:hAnsi="宋体" w:eastAsia="宋体" w:cs="宋体"/>
          <w:sz w:val="24"/>
          <w:szCs w:val="24"/>
          <w:highlight w:val="none"/>
          <w:lang w:val="en-US" w:eastAsia="zh-CN"/>
        </w:rPr>
        <w:t>施工及验收阶段相关的建筑材料质量检测和实体工程质量按规范和验收要求必须检测的项目。实</w:t>
      </w:r>
      <w:r>
        <w:rPr>
          <w:rFonts w:hint="eastAsia" w:ascii="宋体" w:hAnsi="宋体" w:eastAsia="宋体" w:cs="宋体"/>
          <w:kern w:val="0"/>
          <w:sz w:val="24"/>
          <w:highlight w:val="none"/>
        </w:rPr>
        <w:t>际检测服务工作内容以各方根据审定版施工图图纸、设计变更和有关规范要求等确认的检测服务工作量为准。</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3.2本标段服务范围除以上工作外，还包括：</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3.2.1</w:t>
      </w:r>
      <w:r>
        <w:rPr>
          <w:rFonts w:hint="eastAsia" w:ascii="宋体" w:hAnsi="宋体" w:eastAsia="宋体" w:cs="宋体"/>
          <w:kern w:val="0"/>
          <w:sz w:val="24"/>
          <w:highlight w:val="none"/>
        </w:rPr>
        <w:t>根据设计文件、施工组织设计、相关规范和相关行政职能部门要求和招标方要求，结合项目实际情况，编制检测方案，并确保检测方案符合有关规范要求及通过工程所在行政区域的相关建设行政主管部门和监督部门的审批，同时负责协调相关工作，保证技术成果能够通过相关部门认可，确保不因检测工作影响工程项目的建设进度和竣工验收。</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3.2.2</w:t>
      </w:r>
      <w:r>
        <w:rPr>
          <w:rFonts w:hint="eastAsia" w:ascii="宋体" w:hAnsi="宋体" w:eastAsia="宋体" w:cs="宋体"/>
          <w:kern w:val="0"/>
          <w:sz w:val="24"/>
          <w:highlight w:val="none"/>
        </w:rPr>
        <w:t>首次进场检测前须完成企业资质、检测人员资质、检测工器具等相关文件报审，进</w:t>
      </w:r>
      <w:r>
        <w:rPr>
          <w:rFonts w:hint="eastAsia" w:ascii="宋体" w:hAnsi="宋体" w:eastAsia="宋体" w:cs="宋体"/>
          <w:kern w:val="0"/>
          <w:sz w:val="24"/>
          <w:highlight w:val="none"/>
          <w:lang w:eastAsia="zh-CN"/>
        </w:rPr>
        <w:t>场</w:t>
      </w:r>
      <w:r>
        <w:rPr>
          <w:rFonts w:hint="eastAsia" w:ascii="宋体" w:hAnsi="宋体" w:eastAsia="宋体" w:cs="宋体"/>
          <w:kern w:val="0"/>
          <w:sz w:val="24"/>
          <w:highlight w:val="none"/>
        </w:rPr>
        <w:t>检测过程中必须遵循</w:t>
      </w:r>
      <w:r>
        <w:rPr>
          <w:rFonts w:hint="eastAsia" w:ascii="宋体" w:hAnsi="宋体" w:eastAsia="宋体" w:cs="宋体"/>
          <w:kern w:val="0"/>
          <w:sz w:val="24"/>
          <w:highlight w:val="none"/>
          <w:lang w:eastAsia="zh-CN"/>
        </w:rPr>
        <w:t>施工现场</w:t>
      </w:r>
      <w:r>
        <w:rPr>
          <w:rFonts w:hint="eastAsia" w:ascii="宋体" w:hAnsi="宋体" w:eastAsia="宋体" w:cs="宋体"/>
          <w:kern w:val="0"/>
          <w:sz w:val="24"/>
          <w:highlight w:val="none"/>
        </w:rPr>
        <w:t>的安全管控要求。</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3.2.3</w:t>
      </w:r>
      <w:r>
        <w:rPr>
          <w:rFonts w:hint="eastAsia" w:ascii="宋体" w:hAnsi="宋体" w:eastAsia="宋体" w:cs="宋体"/>
          <w:kern w:val="0"/>
          <w:sz w:val="24"/>
          <w:highlight w:val="none"/>
        </w:rPr>
        <w:t>负责将检测数据的有关信息通过建设工程质量检测管理信息系统报送。</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3.3服务期：服务周期从中标单位进场至所有服务项目完成为止，具体开工日期以总监理工程师或发包人代表签发的开工令为准。包括施工准备阶段及施工全过程，服务周期必须满足实际施工要求。</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3" w:name="_Toc10716"/>
      <w:r>
        <w:rPr>
          <w:rFonts w:hint="eastAsia" w:ascii="宋体" w:hAnsi="宋体" w:eastAsia="宋体" w:cs="宋体"/>
          <w:b/>
          <w:highlight w:val="none"/>
        </w:rPr>
        <w:t>4 检测技术标准和规程规范</w:t>
      </w:r>
      <w:bookmarkEnd w:id="3"/>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本项目须达到下列现行中华人民共和国以及省、自治区、直辖市或行业的有关法律法规、标准、规范的要求，满足中国南方电网公司有限责任公司的管理制度和规定、技术标准，至少应包括：</w:t>
      </w:r>
    </w:p>
    <w:tbl>
      <w:tblPr>
        <w:tblStyle w:val="16"/>
        <w:tblW w:w="8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6264"/>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blHeader/>
          <w:jc w:val="center"/>
        </w:trPr>
        <w:tc>
          <w:tcPr>
            <w:tcW w:w="700"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6264"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名称</w:t>
            </w:r>
          </w:p>
        </w:tc>
        <w:tc>
          <w:tcPr>
            <w:tcW w:w="1183"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《建筑地基基础设计规范》（GB 50007-2011）</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《岩溶地区建筑地基基础技术标准》（GB/T 51238-2018）</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《建筑地基基础工程施工质量验收规范》（GB 50202-2018）</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4</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《混凝土结构工程施工质量验收规范》（</w:t>
            </w:r>
            <w:r>
              <w:rPr>
                <w:rFonts w:ascii="宋体" w:hAnsi="宋体" w:cs="宋体"/>
                <w:color w:val="000000"/>
                <w:kern w:val="0"/>
                <w:szCs w:val="21"/>
                <w:highlight w:val="none"/>
              </w:rPr>
              <w:t>GB</w:t>
            </w:r>
            <w:r>
              <w:rPr>
                <w:rFonts w:hint="eastAsia" w:ascii="宋体" w:hAnsi="宋体" w:cs="宋体"/>
                <w:color w:val="000000"/>
                <w:kern w:val="0"/>
                <w:szCs w:val="21"/>
                <w:highlight w:val="none"/>
                <w:lang w:val="en-US" w:eastAsia="zh-CN"/>
              </w:rPr>
              <w:t xml:space="preserve"> </w:t>
            </w:r>
            <w:r>
              <w:rPr>
                <w:rFonts w:ascii="宋体" w:hAnsi="宋体" w:cs="宋体"/>
                <w:color w:val="000000"/>
                <w:kern w:val="0"/>
                <w:szCs w:val="21"/>
                <w:highlight w:val="none"/>
              </w:rPr>
              <w:t>50204-2015）</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《建筑结构检测技术标准》（GB/T 50344-2019）</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6</w:t>
            </w:r>
          </w:p>
        </w:tc>
        <w:tc>
          <w:tcPr>
            <w:tcW w:w="6264" w:type="dxa"/>
            <w:vAlign w:val="center"/>
          </w:tcPr>
          <w:p>
            <w:pPr>
              <w:widowControl/>
              <w:jc w:val="left"/>
              <w:rPr>
                <w:rFonts w:hint="eastAsia" w:ascii="宋体" w:hAnsi="宋体" w:cs="宋体" w:eastAsiaTheme="minorEastAsia"/>
                <w:color w:val="000000"/>
                <w:kern w:val="0"/>
                <w:szCs w:val="21"/>
                <w:highlight w:val="none"/>
                <w:lang w:eastAsia="zh-CN"/>
              </w:rPr>
            </w:pPr>
            <w:r>
              <w:rPr>
                <w:rFonts w:hint="eastAsia" w:ascii="宋体" w:hAnsi="宋体" w:cs="宋体"/>
                <w:color w:val="000000"/>
                <w:kern w:val="0"/>
                <w:szCs w:val="21"/>
                <w:highlight w:val="none"/>
                <w:lang w:eastAsia="zh-CN"/>
              </w:rPr>
              <w:t>《建筑与市政地基基础通用规范》（GB 55003-2021）</w:t>
            </w:r>
          </w:p>
        </w:tc>
        <w:tc>
          <w:tcPr>
            <w:tcW w:w="1183" w:type="dxa"/>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7</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《建筑地基检测技术规范》（JGJ 340-2015）</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8</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《建筑桩基技术规范》（JGJ94－2008）</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9</w:t>
            </w:r>
          </w:p>
        </w:tc>
        <w:tc>
          <w:tcPr>
            <w:tcW w:w="6264" w:type="dxa"/>
            <w:vAlign w:val="center"/>
          </w:tcPr>
          <w:p>
            <w:pPr>
              <w:widowControl/>
              <w:jc w:val="left"/>
              <w:textAlignment w:val="center"/>
              <w:rPr>
                <w:rFonts w:ascii="宋体" w:hAnsi="宋体" w:cs="宋体"/>
                <w:kern w:val="0"/>
                <w:szCs w:val="21"/>
                <w:highlight w:val="none"/>
              </w:rPr>
            </w:pPr>
            <w:bookmarkStart w:id="4" w:name="OLE_LINK1"/>
            <w:r>
              <w:rPr>
                <w:rFonts w:hint="eastAsia" w:ascii="宋体" w:hAnsi="宋体" w:cs="宋体"/>
                <w:kern w:val="0"/>
                <w:szCs w:val="21"/>
                <w:highlight w:val="none"/>
              </w:rPr>
              <w:t>《建筑基桩检测技术规范》</w:t>
            </w:r>
            <w:bookmarkEnd w:id="4"/>
            <w:r>
              <w:rPr>
                <w:rFonts w:hint="eastAsia" w:ascii="宋体" w:hAnsi="宋体" w:cs="宋体"/>
                <w:kern w:val="0"/>
                <w:szCs w:val="21"/>
                <w:highlight w:val="none"/>
              </w:rPr>
              <w:t>（JGJ 106-2014）</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10</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《66kV及以下架空电力电路设计规范》（GB 50061-2010）</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11</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《110～750kV架空输电线路设计规范》（GB 50545-2010）</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12</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《±800kV直流架空输电线路设计规范》（GB/T 50790-2013）（2019年版）</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13</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《220kV及以下架空送电线路勘测技术规程》（DL/T 5076-2008）</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14</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《330kV～750kV架空输电线路勘测标准》（GB/T 50548-2018）</w:t>
            </w:r>
          </w:p>
        </w:tc>
        <w:tc>
          <w:tcPr>
            <w:tcW w:w="1183" w:type="dxa"/>
            <w:vAlign w:val="center"/>
          </w:tcPr>
          <w:p>
            <w:pPr>
              <w:jc w:val="center"/>
              <w:rPr>
                <w:highlight w:val="none"/>
              </w:rPr>
            </w:pPr>
            <w:r>
              <w:rPr>
                <w:rFonts w:hint="eastAsia"/>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15</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《1000kV架空输电线路勘测规范》（GB 50741-2012）</w:t>
            </w:r>
          </w:p>
        </w:tc>
        <w:tc>
          <w:tcPr>
            <w:tcW w:w="1183" w:type="dxa"/>
            <w:vAlign w:val="center"/>
          </w:tcPr>
          <w:p>
            <w:pPr>
              <w:jc w:val="center"/>
              <w:rPr>
                <w:highlight w:val="none"/>
              </w:rPr>
            </w:pPr>
            <w:r>
              <w:rPr>
                <w:rFonts w:hint="eastAsia"/>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16</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《架空输电线路大跨越工程勘测技术规程》（DL/T 5049-2016）</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17</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《变电站建筑结构设计技术规程》（DL/T 5457-2012）</w:t>
            </w:r>
          </w:p>
        </w:tc>
        <w:tc>
          <w:tcPr>
            <w:tcW w:w="1183" w:type="dxa"/>
            <w:vAlign w:val="center"/>
          </w:tcPr>
          <w:p>
            <w:pPr>
              <w:jc w:val="center"/>
              <w:rPr>
                <w:rFonts w:hint="eastAsia"/>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18</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《变电站岩土工程勘测技术规程》（DL/T 5170-2015）</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19</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《架空输电线路基础设计技术规程》（DL/T 5219-2014）</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20</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《电力工程地基处理技术规程》（DL/T 5024-20</w:t>
            </w:r>
            <w:r>
              <w:rPr>
                <w:rFonts w:hint="eastAsia" w:ascii="宋体" w:hAnsi="宋体" w:cs="宋体"/>
                <w:kern w:val="0"/>
                <w:szCs w:val="21"/>
                <w:highlight w:val="none"/>
                <w:lang w:val="en-US" w:eastAsia="zh-CN"/>
              </w:rPr>
              <w:t>20</w:t>
            </w:r>
            <w:r>
              <w:rPr>
                <w:rFonts w:hint="eastAsia" w:ascii="宋体" w:hAnsi="宋体" w:cs="宋体"/>
                <w:kern w:val="0"/>
                <w:szCs w:val="21"/>
                <w:highlight w:val="none"/>
              </w:rPr>
              <w:t>）</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21</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《电力工程基桩检测技术规程》（DL/T 5493-2014）</w:t>
            </w:r>
          </w:p>
        </w:tc>
        <w:tc>
          <w:tcPr>
            <w:tcW w:w="1183" w:type="dxa"/>
            <w:vAlign w:val="center"/>
          </w:tcPr>
          <w:p>
            <w:pPr>
              <w:jc w:val="center"/>
              <w:rPr>
                <w:rFonts w:hint="eastAsia"/>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default"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w:t>
            </w:r>
          </w:p>
        </w:tc>
        <w:tc>
          <w:tcPr>
            <w:tcW w:w="6264" w:type="dxa"/>
            <w:vAlign w:val="center"/>
          </w:tcPr>
          <w:p>
            <w:pPr>
              <w:widowControl/>
              <w:jc w:val="left"/>
              <w:textAlignment w:val="center"/>
              <w:rPr>
                <w:rFonts w:hint="eastAsia" w:ascii="宋体" w:hAnsi="宋体" w:cs="宋体" w:eastAsiaTheme="minorEastAsia"/>
                <w:kern w:val="0"/>
                <w:sz w:val="21"/>
                <w:szCs w:val="21"/>
                <w:highlight w:val="none"/>
                <w:lang w:val="en-US" w:eastAsia="zh-CN" w:bidi="ar-SA"/>
              </w:rPr>
            </w:pPr>
            <w:r>
              <w:rPr>
                <w:rFonts w:hint="eastAsia" w:ascii="宋体" w:hAnsi="宋体" w:cs="宋体"/>
                <w:kern w:val="0"/>
                <w:szCs w:val="21"/>
                <w:highlight w:val="none"/>
                <w:lang w:eastAsia="zh-CN"/>
              </w:rPr>
              <w:t>《</w:t>
            </w:r>
            <w:r>
              <w:rPr>
                <w:rFonts w:hint="eastAsia" w:ascii="宋体" w:hAnsi="宋体" w:cs="宋体"/>
                <w:kern w:val="0"/>
                <w:szCs w:val="21"/>
                <w:highlight w:val="none"/>
              </w:rPr>
              <w:t>电力建设土建工程施工技术检验规范</w:t>
            </w:r>
            <w:r>
              <w:rPr>
                <w:rFonts w:hint="eastAsia" w:ascii="宋体" w:hAnsi="宋体" w:cs="宋体"/>
                <w:kern w:val="0"/>
                <w:szCs w:val="21"/>
                <w:highlight w:val="none"/>
                <w:lang w:eastAsia="zh-CN"/>
              </w:rPr>
              <w:t>》（</w:t>
            </w:r>
            <w:r>
              <w:rPr>
                <w:rFonts w:hint="eastAsia" w:ascii="宋体" w:hAnsi="宋体" w:cs="宋体"/>
                <w:kern w:val="0"/>
                <w:szCs w:val="21"/>
                <w:highlight w:val="none"/>
              </w:rPr>
              <w:t>DL</w:t>
            </w:r>
            <w:r>
              <w:rPr>
                <w:rFonts w:hint="eastAsia" w:ascii="宋体" w:hAnsi="宋体" w:cs="宋体"/>
                <w:kern w:val="0"/>
                <w:szCs w:val="21"/>
                <w:highlight w:val="none"/>
                <w:lang w:val="en-US" w:eastAsia="zh-CN"/>
              </w:rPr>
              <w:t>/</w:t>
            </w:r>
            <w:r>
              <w:rPr>
                <w:rFonts w:hint="eastAsia" w:ascii="宋体" w:hAnsi="宋体" w:cs="宋体"/>
                <w:kern w:val="0"/>
                <w:szCs w:val="21"/>
                <w:highlight w:val="none"/>
              </w:rPr>
              <w:t xml:space="preserve">T 5710-2014 </w:t>
            </w:r>
            <w:r>
              <w:rPr>
                <w:rFonts w:hint="eastAsia" w:ascii="宋体" w:hAnsi="宋体" w:cs="宋体"/>
                <w:kern w:val="0"/>
                <w:szCs w:val="21"/>
                <w:highlight w:val="none"/>
                <w:lang w:eastAsia="zh-CN"/>
              </w:rPr>
              <w:t>）</w:t>
            </w:r>
          </w:p>
        </w:tc>
        <w:tc>
          <w:tcPr>
            <w:tcW w:w="1183" w:type="dxa"/>
            <w:vAlign w:val="center"/>
          </w:tcPr>
          <w:p>
            <w:pPr>
              <w:jc w:val="center"/>
              <w:rPr>
                <w:rFonts w:hint="eastAsia" w:asciiTheme="minorHAnsi" w:hAnsiTheme="minorHAnsi" w:eastAsiaTheme="minorEastAsia" w:cstheme="minorBidi"/>
                <w:kern w:val="2"/>
                <w:sz w:val="21"/>
                <w:szCs w:val="24"/>
                <w:highlight w:val="none"/>
                <w:lang w:val="en-US" w:eastAsia="zh-CN" w:bidi="ar-SA"/>
              </w:rPr>
            </w:pPr>
            <w:r>
              <w:rPr>
                <w:rFonts w:hint="eastAsia"/>
                <w:highlight w:val="none"/>
              </w:rPr>
              <w:t>行业标准</w:t>
            </w:r>
          </w:p>
        </w:tc>
      </w:tr>
    </w:tbl>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以上所列的主要技术标准和规范，如未能达到国际和国内最新标准时，投标方应使用符合最近的国际、国内标准，并提供采用的标准、规范和所应用的最新版本的有关技术依据资料。</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5" w:name="_Toc5955"/>
      <w:r>
        <w:rPr>
          <w:rFonts w:hint="eastAsia" w:ascii="宋体" w:hAnsi="宋体" w:eastAsia="宋体" w:cs="宋体"/>
          <w:b/>
          <w:highlight w:val="none"/>
        </w:rPr>
        <w:t>5 服务项目质量控制要求</w:t>
      </w:r>
      <w:bookmarkEnd w:id="5"/>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5.1投标方应建立为完成本检测项目而实施质量管理所需要组织结构，明示组织结构框图，并用文字明示各级人员职责，并提供质量检测工作受外界或领导机构影响的规定。形成质量体系文件协调整个工作机构运转</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列出有效的技术和管理程序，以便以最好的、最实际的方式来指导整个组织的工作人员、设备及信息的协调活动。质量体系文件应包括以下内容：</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6" w:name="_Toc8536_WPSOffice_Level2"/>
      <w:bookmarkStart w:id="7" w:name="_Toc20006_WPSOffice_Level2"/>
      <w:r>
        <w:rPr>
          <w:rFonts w:hint="eastAsia" w:ascii="宋体" w:hAnsi="宋体" w:eastAsia="宋体" w:cs="宋体"/>
          <w:kern w:val="0"/>
          <w:sz w:val="24"/>
          <w:highlight w:val="none"/>
          <w:lang w:val="en-US" w:eastAsia="zh-CN"/>
        </w:rPr>
        <w:t>5.1.1</w:t>
      </w:r>
      <w:r>
        <w:rPr>
          <w:rFonts w:hint="eastAsia" w:ascii="宋体" w:hAnsi="宋体" w:eastAsia="宋体" w:cs="宋体"/>
          <w:kern w:val="0"/>
          <w:sz w:val="24"/>
          <w:highlight w:val="none"/>
        </w:rPr>
        <w:t>有效完成本项目的质量方针，包括目标和承诺；</w:t>
      </w:r>
      <w:bookmarkEnd w:id="6"/>
      <w:bookmarkEnd w:id="7"/>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8" w:name="_Toc19192_WPSOffice_Level2"/>
      <w:bookmarkStart w:id="9" w:name="_Toc2279_WPSOffice_Level2"/>
      <w:r>
        <w:rPr>
          <w:rFonts w:hint="eastAsia" w:ascii="宋体" w:hAnsi="宋体" w:eastAsia="宋体" w:cs="宋体"/>
          <w:kern w:val="0"/>
          <w:sz w:val="24"/>
          <w:highlight w:val="none"/>
          <w:lang w:val="en-US" w:eastAsia="zh-CN"/>
        </w:rPr>
        <w:t>5.1.2</w:t>
      </w:r>
      <w:r>
        <w:rPr>
          <w:rFonts w:hint="eastAsia" w:ascii="宋体" w:hAnsi="宋体" w:eastAsia="宋体" w:cs="宋体"/>
          <w:kern w:val="0"/>
          <w:sz w:val="24"/>
          <w:highlight w:val="none"/>
        </w:rPr>
        <w:t>投入本项目的组织结构框图；</w:t>
      </w:r>
      <w:bookmarkEnd w:id="8"/>
      <w:bookmarkEnd w:id="9"/>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0" w:name="_Toc22646_WPSOffice_Level2"/>
      <w:bookmarkStart w:id="11" w:name="_Toc8447_WPSOffice_Level2"/>
      <w:r>
        <w:rPr>
          <w:rFonts w:hint="eastAsia" w:ascii="宋体" w:hAnsi="宋体" w:eastAsia="宋体" w:cs="宋体"/>
          <w:kern w:val="0"/>
          <w:sz w:val="24"/>
          <w:highlight w:val="none"/>
          <w:lang w:val="en-US" w:eastAsia="zh-CN"/>
        </w:rPr>
        <w:t>5.1.3</w:t>
      </w:r>
      <w:r>
        <w:rPr>
          <w:rFonts w:hint="eastAsia" w:ascii="宋体" w:hAnsi="宋体" w:eastAsia="宋体" w:cs="宋体"/>
          <w:kern w:val="0"/>
          <w:sz w:val="24"/>
          <w:highlight w:val="none"/>
        </w:rPr>
        <w:t>各检测人员工作岗位及其职责；</w:t>
      </w:r>
      <w:bookmarkEnd w:id="10"/>
      <w:bookmarkEnd w:id="11"/>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2" w:name="_Toc5928_WPSOffice_Level2"/>
      <w:bookmarkStart w:id="13" w:name="_Toc5507_WPSOffice_Level2"/>
      <w:r>
        <w:rPr>
          <w:rFonts w:hint="eastAsia" w:ascii="宋体" w:hAnsi="宋体" w:eastAsia="宋体" w:cs="宋体"/>
          <w:kern w:val="0"/>
          <w:sz w:val="24"/>
          <w:highlight w:val="none"/>
          <w:lang w:val="en-US" w:eastAsia="zh-CN"/>
        </w:rPr>
        <w:t>5.1.4</w:t>
      </w:r>
      <w:r>
        <w:rPr>
          <w:rFonts w:hint="eastAsia" w:ascii="宋体" w:hAnsi="宋体" w:eastAsia="宋体" w:cs="宋体"/>
          <w:kern w:val="0"/>
          <w:sz w:val="24"/>
          <w:highlight w:val="none"/>
        </w:rPr>
        <w:t>样品质量管理程序；</w:t>
      </w:r>
      <w:bookmarkEnd w:id="12"/>
      <w:bookmarkEnd w:id="13"/>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4" w:name="_Toc29413_WPSOffice_Level2"/>
      <w:bookmarkStart w:id="15" w:name="_Toc24544_WPSOffice_Level2"/>
      <w:r>
        <w:rPr>
          <w:rFonts w:hint="eastAsia" w:ascii="宋体" w:hAnsi="宋体" w:eastAsia="宋体" w:cs="宋体"/>
          <w:kern w:val="0"/>
          <w:sz w:val="24"/>
          <w:highlight w:val="none"/>
          <w:lang w:val="en-US" w:eastAsia="zh-CN"/>
        </w:rPr>
        <w:t>5.1.5</w:t>
      </w:r>
      <w:r>
        <w:rPr>
          <w:rFonts w:hint="eastAsia" w:ascii="宋体" w:hAnsi="宋体" w:eastAsia="宋体" w:cs="宋体"/>
          <w:kern w:val="0"/>
          <w:sz w:val="24"/>
          <w:highlight w:val="none"/>
        </w:rPr>
        <w:t>检测工作申诉处理程序；</w:t>
      </w:r>
      <w:bookmarkEnd w:id="14"/>
      <w:bookmarkEnd w:id="15"/>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6" w:name="_Toc28722_WPSOffice_Level2"/>
      <w:bookmarkStart w:id="17" w:name="_Toc11820_WPSOffice_Level2"/>
      <w:r>
        <w:rPr>
          <w:rFonts w:hint="eastAsia" w:ascii="宋体" w:hAnsi="宋体" w:eastAsia="宋体" w:cs="宋体"/>
          <w:kern w:val="0"/>
          <w:sz w:val="24"/>
          <w:highlight w:val="none"/>
          <w:lang w:val="en-US" w:eastAsia="zh-CN"/>
        </w:rPr>
        <w:t>5.1.6</w:t>
      </w:r>
      <w:r>
        <w:rPr>
          <w:rFonts w:hint="eastAsia" w:ascii="宋体" w:hAnsi="宋体" w:eastAsia="宋体" w:cs="宋体"/>
          <w:kern w:val="0"/>
          <w:sz w:val="24"/>
          <w:highlight w:val="none"/>
        </w:rPr>
        <w:t>保密和保护所有权程序。</w:t>
      </w:r>
      <w:bookmarkEnd w:id="16"/>
      <w:bookmarkEnd w:id="17"/>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5.2投标方接到招标方进场检测通知后5天内进场，不得影响招标方工程正常进度。同时须对本投标项目投入足够的检测人员，且上述人员经过必要的与其承担任务相适应的教育、培训，并有相应的技术知识和经验。</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5.3投标方应配备足够的仪器设备。仪器设备必须在检定/校准有效期内,并在检定/校准有效期满后应进行检定/校准。各计量检测仪器设备都必须严格按要求有明显的标志。</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5.4检测、监测报告必须严格进行内部三级审核制度。</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5.4.1</w:t>
      </w:r>
      <w:r>
        <w:rPr>
          <w:rFonts w:hint="eastAsia" w:ascii="宋体" w:hAnsi="宋体" w:eastAsia="宋体" w:cs="宋体"/>
          <w:kern w:val="0"/>
          <w:sz w:val="24"/>
          <w:highlight w:val="none"/>
        </w:rPr>
        <w:t>检测、监测工作人员要熟悉并严格按照检测、监测规程和方法工作，同时做好数据记录；</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5.4.2</w:t>
      </w:r>
      <w:r>
        <w:rPr>
          <w:rFonts w:hint="eastAsia" w:ascii="宋体" w:hAnsi="宋体" w:eastAsia="宋体" w:cs="宋体"/>
          <w:kern w:val="0"/>
          <w:sz w:val="24"/>
          <w:highlight w:val="none"/>
        </w:rPr>
        <w:t>各检测工作校核者应掌握检测规程和技术，检查数据与原始记录符合，事实符合，严格按照规范进行；</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5.4.3</w:t>
      </w:r>
      <w:r>
        <w:rPr>
          <w:rFonts w:hint="eastAsia" w:ascii="宋体" w:hAnsi="宋体" w:eastAsia="宋体" w:cs="宋体"/>
          <w:kern w:val="0"/>
          <w:sz w:val="24"/>
          <w:highlight w:val="none"/>
        </w:rPr>
        <w:t>报告审核者保证程序合法，报告有效。</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8" w:name="_Toc15929"/>
      <w:r>
        <w:rPr>
          <w:rFonts w:hint="eastAsia" w:ascii="宋体" w:hAnsi="宋体" w:eastAsia="宋体" w:cs="宋体"/>
          <w:b/>
          <w:highlight w:val="none"/>
        </w:rPr>
        <w:t>6 交付物</w:t>
      </w:r>
      <w:bookmarkEnd w:id="18"/>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6.1检测方案。投标方应根据现场情况、图纸确定具体平面位置，进场前需</w:t>
      </w:r>
      <w:r>
        <w:rPr>
          <w:rFonts w:hint="eastAsia" w:ascii="宋体" w:hAnsi="宋体" w:eastAsia="宋体" w:cs="宋体"/>
          <w:kern w:val="0"/>
          <w:sz w:val="24"/>
          <w:highlight w:val="none"/>
          <w:lang w:val="en-US" w:eastAsia="zh-CN"/>
        </w:rPr>
        <w:t>提前5个工作日</w:t>
      </w:r>
      <w:r>
        <w:rPr>
          <w:rFonts w:hint="eastAsia" w:ascii="宋体" w:hAnsi="宋体" w:eastAsia="宋体" w:cs="宋体"/>
          <w:kern w:val="0"/>
          <w:sz w:val="24"/>
          <w:highlight w:val="none"/>
        </w:rPr>
        <w:t>提交本项目检测方案，方案中需写明检测的具体数量，必须符合国家</w:t>
      </w:r>
      <w:r>
        <w:rPr>
          <w:rFonts w:hint="eastAsia" w:ascii="宋体" w:hAnsi="宋体" w:eastAsia="宋体" w:cs="宋体"/>
          <w:kern w:val="0"/>
          <w:sz w:val="24"/>
          <w:highlight w:val="none"/>
          <w:lang w:eastAsia="zh-CN"/>
        </w:rPr>
        <w:t>、行业</w:t>
      </w:r>
      <w:r>
        <w:rPr>
          <w:rFonts w:hint="eastAsia" w:ascii="宋体" w:hAnsi="宋体" w:eastAsia="宋体" w:cs="宋体"/>
          <w:kern w:val="0"/>
          <w:sz w:val="24"/>
          <w:highlight w:val="none"/>
        </w:rPr>
        <w:t>及地方现行有关技术规范或规定以及设计单位的技术要求，交由项目设计工代、现场监理、业主代表审批后方可实施。</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6.2每次检测报告。投标方在检测工作完成后，应按招标方要求及时提交有效的检测报告。每次检测完成后，7天内向招标方提交一式</w:t>
      </w: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份检测报告（成果报告按所属地块分别装订）</w:t>
      </w:r>
      <w:r>
        <w:rPr>
          <w:rFonts w:hint="eastAsia" w:ascii="宋体" w:hAnsi="宋体" w:eastAsia="宋体" w:cs="宋体"/>
          <w:kern w:val="0"/>
          <w:sz w:val="24"/>
          <w:highlight w:val="none"/>
          <w:lang w:eastAsia="zh-CN"/>
        </w:rPr>
        <w:t>，检测报告需加盖检测报告专用章和计量认证章（CMA章）</w:t>
      </w:r>
      <w:r>
        <w:rPr>
          <w:rFonts w:hint="eastAsia" w:ascii="宋体" w:hAnsi="宋体" w:eastAsia="宋体" w:cs="宋体"/>
          <w:kern w:val="0"/>
          <w:sz w:val="24"/>
          <w:highlight w:val="none"/>
        </w:rPr>
        <w:t>。</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6.3最终检测报告。检测工作全部完成后7天内整理全部检测资料并装订成册，一式</w:t>
      </w: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份（同时提交电子文档1份）向招标方提交检测成果报告，检测报告需加盖检测报告专用章和计量认证章（CMA章）。</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9" w:name="_Toc22538"/>
      <w:r>
        <w:rPr>
          <w:rFonts w:hint="eastAsia" w:ascii="宋体" w:hAnsi="宋体" w:eastAsia="宋体" w:cs="宋体"/>
          <w:b/>
          <w:highlight w:val="none"/>
        </w:rPr>
        <w:t>7 其他</w:t>
      </w:r>
      <w:bookmarkEnd w:id="19"/>
    </w:p>
    <w:p>
      <w:pPr>
        <w:pStyle w:val="7"/>
        <w:pageBreakBefore w:val="0"/>
        <w:kinsoku/>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7.1根据招标方实际需要，配合做好档案等工作。</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7.2本技术规范书中已列明的检测</w:t>
      </w:r>
      <w:r>
        <w:rPr>
          <w:rFonts w:hint="eastAsia" w:ascii="宋体" w:hAnsi="宋体" w:eastAsia="宋体" w:cs="宋体"/>
          <w:kern w:val="0"/>
          <w:sz w:val="24"/>
          <w:highlight w:val="none"/>
          <w:lang w:eastAsia="zh-CN"/>
        </w:rPr>
        <w:t>项目</w:t>
      </w:r>
      <w:r>
        <w:rPr>
          <w:rFonts w:hint="eastAsia" w:ascii="宋体" w:hAnsi="宋体" w:eastAsia="宋体" w:cs="宋体"/>
          <w:kern w:val="0"/>
          <w:sz w:val="24"/>
          <w:highlight w:val="none"/>
        </w:rPr>
        <w:t>为</w:t>
      </w:r>
      <w:r>
        <w:rPr>
          <w:rFonts w:hint="eastAsia" w:ascii="宋体" w:hAnsi="宋体" w:eastAsia="宋体" w:cs="宋体"/>
          <w:kern w:val="0"/>
          <w:sz w:val="24"/>
          <w:highlight w:val="none"/>
          <w:lang w:eastAsia="zh-CN"/>
        </w:rPr>
        <w:t>常用的检测项目</w:t>
      </w:r>
      <w:r>
        <w:rPr>
          <w:rFonts w:hint="eastAsia" w:ascii="宋体" w:hAnsi="宋体" w:eastAsia="宋体" w:cs="宋体"/>
          <w:kern w:val="0"/>
          <w:sz w:val="24"/>
          <w:highlight w:val="none"/>
        </w:rPr>
        <w:t>，实际</w:t>
      </w:r>
      <w:r>
        <w:rPr>
          <w:rFonts w:hint="eastAsia" w:ascii="宋体" w:hAnsi="宋体" w:eastAsia="宋体" w:cs="宋体"/>
          <w:kern w:val="0"/>
          <w:sz w:val="24"/>
          <w:highlight w:val="none"/>
          <w:lang w:eastAsia="zh-CN"/>
        </w:rPr>
        <w:t>检测事项和检测量以实际工程及施工过程中发生设计变更为准</w:t>
      </w:r>
      <w:r>
        <w:rPr>
          <w:rFonts w:hint="eastAsia" w:ascii="宋体" w:hAnsi="宋体" w:eastAsia="宋体" w:cs="宋体"/>
          <w:kern w:val="0"/>
          <w:sz w:val="24"/>
          <w:highlight w:val="none"/>
        </w:rPr>
        <w:t>。</w:t>
      </w:r>
    </w:p>
    <w:p>
      <w:pPr>
        <w:pStyle w:val="7"/>
        <w:pageBreakBefore w:val="0"/>
        <w:kinsoku/>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7.</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本技术规范书的最终解释权归招标方所有。</w:t>
      </w:r>
    </w:p>
    <w:p>
      <w:pPr>
        <w:pStyle w:val="15"/>
        <w:pageBreakBefore w:val="0"/>
        <w:kinsoku/>
        <w:overflowPunct/>
        <w:topLinePunct w:val="0"/>
        <w:autoSpaceDE/>
        <w:autoSpaceDN/>
        <w:bidi w:val="0"/>
        <w:adjustRightInd/>
        <w:snapToGrid/>
        <w:spacing w:line="360" w:lineRule="auto"/>
        <w:ind w:firstLine="0" w:firstLineChars="0"/>
        <w:textAlignment w:val="auto"/>
        <w:outlineLvl w:val="0"/>
        <w:rPr>
          <w:rFonts w:hint="default" w:ascii="宋体" w:hAnsi="宋体" w:eastAsia="宋体" w:cs="宋体"/>
          <w:b/>
          <w:bCs/>
          <w:highlight w:val="none"/>
          <w:lang w:val="en-US" w:eastAsia="zh-CN"/>
        </w:rPr>
      </w:pPr>
      <w:bookmarkStart w:id="20" w:name="_Toc2540"/>
      <w:r>
        <w:rPr>
          <w:rFonts w:hint="eastAsia" w:ascii="宋体" w:hAnsi="宋体" w:eastAsia="宋体" w:cs="宋体"/>
          <w:b/>
          <w:highlight w:val="none"/>
          <w:lang w:val="en-US" w:eastAsia="zh-CN"/>
        </w:rPr>
        <w:t>8 检测</w:t>
      </w:r>
      <w:bookmarkEnd w:id="20"/>
      <w:bookmarkStart w:id="21" w:name="_Toc9289_WPSOffice_Level1"/>
      <w:bookmarkStart w:id="22" w:name="_Toc25236_WPSOffice_Level1"/>
      <w:r>
        <w:rPr>
          <w:rFonts w:hint="eastAsia" w:ascii="宋体" w:hAnsi="宋体" w:eastAsia="宋体" w:cs="宋体"/>
          <w:b/>
          <w:highlight w:val="none"/>
          <w:lang w:val="en-US" w:eastAsia="zh-CN"/>
        </w:rPr>
        <w:t>项目</w:t>
      </w:r>
      <w:bookmarkEnd w:id="21"/>
      <w:bookmarkEnd w:id="22"/>
      <w:r>
        <w:rPr>
          <w:rFonts w:hint="eastAsia" w:ascii="宋体" w:hAnsi="宋体" w:eastAsia="宋体" w:cs="宋体"/>
          <w:b/>
          <w:bCs/>
          <w:kern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实际检测项目根据工程需求进行选择和补充。</w:t>
      </w:r>
    </w:p>
    <w:tbl>
      <w:tblPr>
        <w:tblStyle w:val="16"/>
        <w:tblpPr w:leftFromText="180" w:rightFromText="180" w:vertAnchor="text" w:horzAnchor="page" w:tblpXSpec="center" w:tblpY="590"/>
        <w:tblOverlap w:val="never"/>
        <w:tblW w:w="468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9"/>
        <w:gridCol w:w="1121"/>
        <w:gridCol w:w="2716"/>
        <w:gridCol w:w="736"/>
        <w:gridCol w:w="1656"/>
        <w:gridCol w:w="9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jc w:val="center"/>
        </w:trPr>
        <w:tc>
          <w:tcPr>
            <w:tcW w:w="519" w:type="pct"/>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02"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样品名称</w:t>
            </w:r>
          </w:p>
        </w:tc>
        <w:tc>
          <w:tcPr>
            <w:tcW w:w="1701"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检测项目</w:t>
            </w:r>
          </w:p>
        </w:tc>
        <w:tc>
          <w:tcPr>
            <w:tcW w:w="461"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037"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t>检测量（计划）</w:t>
            </w:r>
          </w:p>
        </w:tc>
        <w:tc>
          <w:tcPr>
            <w:tcW w:w="578"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水泥</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细度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安定性</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不溶物</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氧化镁</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三氧化硫</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烧失量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水化热</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凝结时间</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胶砂强度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标准稠度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砂</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颗粒级配</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含泥量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泥块含量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堆积密度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含水率</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氯离子含量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坚固性</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碱活性</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碎石</w:t>
            </w: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颗粒级配</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含泥量</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泥块含量</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针片状含量</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压碎指标</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表观密度</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含水率</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碱活性</w:t>
            </w:r>
          </w:p>
        </w:tc>
        <w:tc>
          <w:tcPr>
            <w:tcW w:w="46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02" w:type="pct"/>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混凝土用水</w:t>
            </w:r>
          </w:p>
        </w:tc>
        <w:tc>
          <w:tcPr>
            <w:tcW w:w="1701"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PH</w:t>
            </w:r>
            <w:r>
              <w:rPr>
                <w:rFonts w:hint="eastAsia" w:ascii="宋体" w:hAnsi="宋体" w:eastAsia="宋体" w:cs="宋体"/>
                <w:i w:val="0"/>
                <w:iCs w:val="0"/>
                <w:color w:val="auto"/>
                <w:kern w:val="0"/>
                <w:sz w:val="22"/>
                <w:szCs w:val="22"/>
                <w:highlight w:val="none"/>
                <w:u w:val="none"/>
                <w:lang w:val="en-US" w:eastAsia="zh-CN" w:bidi="ar"/>
              </w:rPr>
              <w:t>值</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不溶物含量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可溶物含量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氯离子含量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硫酸盐含量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碱含量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混凝土（C20</w:t>
            </w:r>
            <w:r>
              <w:rPr>
                <w:rFonts w:hint="eastAsia" w:ascii="宋体" w:hAnsi="宋体" w:eastAsia="宋体" w:cs="宋体"/>
                <w:b w:val="0"/>
                <w:bCs w:val="0"/>
                <w:kern w:val="2"/>
                <w:sz w:val="21"/>
                <w:szCs w:val="24"/>
                <w:lang w:val="en-US" w:eastAsia="zh-CN" w:bidi="ar-SA"/>
              </w:rPr>
              <w:t>）</w:t>
            </w:r>
            <w:r>
              <w:rPr>
                <w:rFonts w:hint="eastAsia" w:ascii="宋体" w:hAnsi="宋体" w:eastAsia="宋体" w:cs="宋体"/>
                <w:lang w:val="en-US" w:eastAsia="zh-CN"/>
              </w:rPr>
              <w:t>（C30</w:t>
            </w:r>
            <w:r>
              <w:rPr>
                <w:rFonts w:hint="eastAsia" w:ascii="宋体" w:hAnsi="宋体" w:eastAsia="宋体" w:cs="宋体"/>
                <w:b w:val="0"/>
                <w:bCs w:val="0"/>
                <w:kern w:val="2"/>
                <w:sz w:val="21"/>
                <w:szCs w:val="24"/>
                <w:lang w:val="en-US" w:eastAsia="zh-CN" w:bidi="ar-SA"/>
              </w:rPr>
              <w:t>）</w:t>
            </w:r>
          </w:p>
          <w:p>
            <w:pPr>
              <w:pStyle w:val="2"/>
              <w:pageBreakBefore w:val="0"/>
              <w:kinsoku/>
              <w:wordWrap/>
              <w:overflowPunct/>
              <w:topLinePunct w:val="0"/>
              <w:autoSpaceDE/>
              <w:autoSpaceDN/>
              <w:bidi w:val="0"/>
              <w:adjustRightInd/>
              <w:snapToGrid/>
              <w:spacing w:before="0" w:after="0" w:line="240" w:lineRule="auto"/>
              <w:jc w:val="center"/>
              <w:rPr>
                <w:rFonts w:hint="eastAsia" w:ascii="宋体" w:hAnsi="宋体" w:eastAsia="宋体" w:cs="宋体"/>
                <w:lang w:val="en-US" w:eastAsia="zh-CN"/>
              </w:rPr>
            </w:pPr>
            <w:r>
              <w:rPr>
                <w:rFonts w:hint="eastAsia" w:ascii="宋体" w:hAnsi="宋体" w:eastAsia="宋体" w:cs="宋体"/>
                <w:b w:val="0"/>
                <w:bCs w:val="0"/>
                <w:kern w:val="2"/>
                <w:sz w:val="21"/>
                <w:szCs w:val="24"/>
                <w:lang w:val="en-US" w:eastAsia="zh-CN" w:bidi="ar-SA"/>
              </w:rPr>
              <w:t>（C35）</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凝结时间</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胶砂强度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验证配合比</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抗压强度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砂浆</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砂浆配合比试验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抗压强度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砌块</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外观检验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强度等级</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干密度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干燥收缩</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导热系数</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7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lang w:val="en-US" w:eastAsia="zh-CN"/>
              </w:rPr>
            </w:pPr>
            <w:r>
              <w:rPr>
                <w:rFonts w:hint="eastAsia"/>
                <w:lang w:val="en-US" w:eastAsia="zh-CN"/>
              </w:rPr>
              <w:t>钢筋</w:t>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Theme="minorHAnsi" w:hAnsiTheme="minorHAnsi" w:eastAsiaTheme="minorEastAsia" w:cstheme="minorBidi"/>
                <w:b w:val="0"/>
                <w:bCs w:val="0"/>
                <w:kern w:val="2"/>
                <w:sz w:val="21"/>
                <w:szCs w:val="24"/>
                <w:lang w:val="en-US" w:eastAsia="zh-CN" w:bidi="ar-SA"/>
              </w:rPr>
            </w:pPr>
            <w:r>
              <w:rPr>
                <w:rFonts w:hint="eastAsia" w:asciiTheme="minorHAnsi" w:hAnsiTheme="minorHAnsi" w:eastAsiaTheme="minorEastAsia" w:cstheme="minorBidi"/>
                <w:b w:val="0"/>
                <w:bCs w:val="0"/>
                <w:kern w:val="2"/>
                <w:sz w:val="21"/>
                <w:szCs w:val="24"/>
                <w:lang w:val="en-US" w:eastAsia="zh-CN" w:bidi="ar-SA"/>
              </w:rPr>
              <w:t>(d≤12mm)</w:t>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lang w:val="en-US" w:eastAsia="zh-CN"/>
              </w:rPr>
            </w:pPr>
            <w:r>
              <w:rPr>
                <w:rFonts w:hint="eastAsia" w:asciiTheme="minorHAnsi" w:hAnsiTheme="minorHAnsi" w:eastAsiaTheme="minorEastAsia" w:cstheme="minorBidi"/>
                <w:b w:val="0"/>
                <w:bCs w:val="0"/>
                <w:kern w:val="2"/>
                <w:sz w:val="21"/>
                <w:szCs w:val="24"/>
                <w:lang w:val="en-US" w:eastAsia="zh-CN" w:bidi="ar-SA"/>
              </w:rPr>
              <w:t>((12＜d≤20)</w:t>
            </w:r>
          </w:p>
        </w:tc>
        <w:tc>
          <w:tcPr>
            <w:tcW w:w="170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尺寸偏差</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0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屈服强度、抗拉强度、弯曲强度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02" w:type="pct"/>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01"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反复弯曲</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钢筋焊接</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焊接工艺机械性能</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混凝土结构</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钢筋保护层厚度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点</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p>
        </w:tc>
        <w:tc>
          <w:tcPr>
            <w:tcW w:w="70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混凝土回弹</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02"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混凝土取芯强度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restart"/>
            <w:tcBorders>
              <w:top w:val="single" w:color="000000" w:sz="4" w:space="0"/>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702" w:type="pct"/>
            <w:vMerge w:val="restart"/>
            <w:tcBorders>
              <w:top w:val="single" w:color="000000" w:sz="4" w:space="0"/>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地脚螺栓</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硬度试验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02" w:type="pct"/>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拉伸试验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9"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02"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冲击试验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14</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沥青</w:t>
            </w:r>
          </w:p>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混合料</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包括但不限于：1、马歇尔稳定度、流值；2、密度；3、沥青含量；4、理论最大相对密度；5、劈裂试验；6、动稳定度</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val="en-US" w:eastAsia="zh-CN" w:bidi="ar"/>
              </w:rPr>
              <w:t>15</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水泥</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rPr>
              <w:t>稳定碎石性能检测</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rPr>
              <w:t>击实试验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2"/>
                <w:sz w:val="21"/>
                <w:szCs w:val="21"/>
                <w:highlight w:val="none"/>
                <w:u w:val="none"/>
                <w:lang w:val="en-US" w:eastAsia="zh-CN" w:bidi="ar-SA"/>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水泥</w:t>
            </w:r>
          </w:p>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rPr>
              <w:t>稳定碎石性能检测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val="en-US" w:eastAsia="zh-CN" w:bidi="ar"/>
              </w:rPr>
              <w:t>16</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水泥</w:t>
            </w:r>
          </w:p>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稳定碎石性能检测</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无侧限抗压强度试验</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组</w:t>
            </w:r>
          </w:p>
        </w:tc>
        <w:tc>
          <w:tcPr>
            <w:tcW w:w="10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1000平方米测1点</w:t>
            </w:r>
          </w:p>
        </w:tc>
      </w:tr>
    </w:tbl>
    <w:p>
      <w:pPr>
        <w:bidi w:val="0"/>
        <w:rPr>
          <w:rFonts w:hint="eastAsia"/>
          <w:lang w:eastAsia="zh-CN"/>
        </w:rPr>
      </w:pPr>
      <w:bookmarkStart w:id="23" w:name="_GoBack"/>
      <w:bookmarkEnd w:id="23"/>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8864CD9-AE96-4ED8-8C66-D2B76227854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740C5024-122B-4544-9912-D82FA49EBE64}"/>
  </w:font>
  <w:font w:name="仿宋_GB2312">
    <w:panose1 w:val="02010609030101010101"/>
    <w:charset w:val="86"/>
    <w:family w:val="modern"/>
    <w:pitch w:val="default"/>
    <w:sig w:usb0="00000001" w:usb1="080E0000" w:usb2="00000000" w:usb3="00000000" w:csb0="00040000" w:csb1="00000000"/>
    <w:embedRegular r:id="rId3" w:fontKey="{AF709D9B-D2E6-487B-9795-39D54AAFC8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1OTE0NGEwOWYzM2YzOTE5ZGMzZTE3OWU3NjcxM2YifQ=="/>
  </w:docVars>
  <w:rsids>
    <w:rsidRoot w:val="00172A27"/>
    <w:rsid w:val="000B55BA"/>
    <w:rsid w:val="000E4BAC"/>
    <w:rsid w:val="00172A27"/>
    <w:rsid w:val="001A60C6"/>
    <w:rsid w:val="001F25A2"/>
    <w:rsid w:val="00257620"/>
    <w:rsid w:val="002C46A2"/>
    <w:rsid w:val="00410635"/>
    <w:rsid w:val="00413DA4"/>
    <w:rsid w:val="004307B5"/>
    <w:rsid w:val="004447C3"/>
    <w:rsid w:val="00490621"/>
    <w:rsid w:val="00496C1B"/>
    <w:rsid w:val="004D4794"/>
    <w:rsid w:val="004D5826"/>
    <w:rsid w:val="00532AE0"/>
    <w:rsid w:val="005528E8"/>
    <w:rsid w:val="005669B6"/>
    <w:rsid w:val="005A1610"/>
    <w:rsid w:val="00661B60"/>
    <w:rsid w:val="006B309D"/>
    <w:rsid w:val="006D4E1D"/>
    <w:rsid w:val="00864E7A"/>
    <w:rsid w:val="00935959"/>
    <w:rsid w:val="00957EE2"/>
    <w:rsid w:val="009C0985"/>
    <w:rsid w:val="009F4FB4"/>
    <w:rsid w:val="00A47B9F"/>
    <w:rsid w:val="00A60A89"/>
    <w:rsid w:val="00AC39A8"/>
    <w:rsid w:val="00B42707"/>
    <w:rsid w:val="00B675A7"/>
    <w:rsid w:val="00C86298"/>
    <w:rsid w:val="00C97C05"/>
    <w:rsid w:val="00CC2CE5"/>
    <w:rsid w:val="00CE4D97"/>
    <w:rsid w:val="00D605A1"/>
    <w:rsid w:val="00D77C23"/>
    <w:rsid w:val="00DA1A75"/>
    <w:rsid w:val="00DB36EA"/>
    <w:rsid w:val="00DC0D95"/>
    <w:rsid w:val="00E10EDC"/>
    <w:rsid w:val="00EE214C"/>
    <w:rsid w:val="00EE6262"/>
    <w:rsid w:val="00F05655"/>
    <w:rsid w:val="00F0642B"/>
    <w:rsid w:val="00F45980"/>
    <w:rsid w:val="00F77B73"/>
    <w:rsid w:val="00F80F24"/>
    <w:rsid w:val="00F9758F"/>
    <w:rsid w:val="00FF3BE7"/>
    <w:rsid w:val="011C27EE"/>
    <w:rsid w:val="013E6F75"/>
    <w:rsid w:val="01870685"/>
    <w:rsid w:val="02435DB8"/>
    <w:rsid w:val="0264024A"/>
    <w:rsid w:val="02D84338"/>
    <w:rsid w:val="03235091"/>
    <w:rsid w:val="03595387"/>
    <w:rsid w:val="03D30460"/>
    <w:rsid w:val="04286CCA"/>
    <w:rsid w:val="047475DC"/>
    <w:rsid w:val="0491354E"/>
    <w:rsid w:val="04EA7A4B"/>
    <w:rsid w:val="04EC3DA3"/>
    <w:rsid w:val="05253B7D"/>
    <w:rsid w:val="0566574C"/>
    <w:rsid w:val="05971511"/>
    <w:rsid w:val="05A045D0"/>
    <w:rsid w:val="065A13C7"/>
    <w:rsid w:val="067C435D"/>
    <w:rsid w:val="07075397"/>
    <w:rsid w:val="071830B3"/>
    <w:rsid w:val="07227961"/>
    <w:rsid w:val="07714556"/>
    <w:rsid w:val="078063A3"/>
    <w:rsid w:val="07E23DBB"/>
    <w:rsid w:val="082B63F3"/>
    <w:rsid w:val="083F5094"/>
    <w:rsid w:val="08686258"/>
    <w:rsid w:val="087B42D7"/>
    <w:rsid w:val="08A0717D"/>
    <w:rsid w:val="08DF3F4A"/>
    <w:rsid w:val="08E2175A"/>
    <w:rsid w:val="091A6AE6"/>
    <w:rsid w:val="095274DB"/>
    <w:rsid w:val="09745B28"/>
    <w:rsid w:val="09926959"/>
    <w:rsid w:val="09DC163D"/>
    <w:rsid w:val="09E779CE"/>
    <w:rsid w:val="0A6174E0"/>
    <w:rsid w:val="0AB173D9"/>
    <w:rsid w:val="0AC05D10"/>
    <w:rsid w:val="0AEB17FA"/>
    <w:rsid w:val="0B5750F6"/>
    <w:rsid w:val="0BAC72F1"/>
    <w:rsid w:val="0BD67CD6"/>
    <w:rsid w:val="0BE441ED"/>
    <w:rsid w:val="0C001A51"/>
    <w:rsid w:val="0C2D757F"/>
    <w:rsid w:val="0C6805B7"/>
    <w:rsid w:val="0C6D1CBF"/>
    <w:rsid w:val="0CAD145B"/>
    <w:rsid w:val="0CB7014B"/>
    <w:rsid w:val="0D4F3088"/>
    <w:rsid w:val="0D4F7A5F"/>
    <w:rsid w:val="0D5242FD"/>
    <w:rsid w:val="0DA7412A"/>
    <w:rsid w:val="0DB000DC"/>
    <w:rsid w:val="0DF4515B"/>
    <w:rsid w:val="0E24280B"/>
    <w:rsid w:val="0E7E5744"/>
    <w:rsid w:val="0E8649CF"/>
    <w:rsid w:val="0EF54ED7"/>
    <w:rsid w:val="0EFF5A98"/>
    <w:rsid w:val="0F575EC7"/>
    <w:rsid w:val="0F6D77B3"/>
    <w:rsid w:val="0F7C5D30"/>
    <w:rsid w:val="0FF354EF"/>
    <w:rsid w:val="108904B2"/>
    <w:rsid w:val="108B42BE"/>
    <w:rsid w:val="10CB1CF0"/>
    <w:rsid w:val="114800BB"/>
    <w:rsid w:val="11D731FF"/>
    <w:rsid w:val="123D2ECD"/>
    <w:rsid w:val="12771554"/>
    <w:rsid w:val="127779F0"/>
    <w:rsid w:val="127904C0"/>
    <w:rsid w:val="1279795D"/>
    <w:rsid w:val="12D62FD5"/>
    <w:rsid w:val="12DD62D4"/>
    <w:rsid w:val="13345015"/>
    <w:rsid w:val="139F6FB4"/>
    <w:rsid w:val="14321BD6"/>
    <w:rsid w:val="144C5645"/>
    <w:rsid w:val="145A7E72"/>
    <w:rsid w:val="14AB14EB"/>
    <w:rsid w:val="14AB2AFE"/>
    <w:rsid w:val="14BF1D95"/>
    <w:rsid w:val="15437FFF"/>
    <w:rsid w:val="15EC1502"/>
    <w:rsid w:val="16242A8F"/>
    <w:rsid w:val="162F2A72"/>
    <w:rsid w:val="16B45587"/>
    <w:rsid w:val="170A6C82"/>
    <w:rsid w:val="17131EB5"/>
    <w:rsid w:val="17365554"/>
    <w:rsid w:val="178A352D"/>
    <w:rsid w:val="17B346F1"/>
    <w:rsid w:val="17BE5517"/>
    <w:rsid w:val="18443991"/>
    <w:rsid w:val="18B6056A"/>
    <w:rsid w:val="18B97F3F"/>
    <w:rsid w:val="18BA4EFB"/>
    <w:rsid w:val="18CA1B01"/>
    <w:rsid w:val="18D35630"/>
    <w:rsid w:val="18ED7FD4"/>
    <w:rsid w:val="18FE477D"/>
    <w:rsid w:val="193C0975"/>
    <w:rsid w:val="196D2E5D"/>
    <w:rsid w:val="1A815695"/>
    <w:rsid w:val="1A9558FC"/>
    <w:rsid w:val="1A9B0BEB"/>
    <w:rsid w:val="1ADB5E38"/>
    <w:rsid w:val="1AE741D9"/>
    <w:rsid w:val="1B155FFD"/>
    <w:rsid w:val="1B1F402B"/>
    <w:rsid w:val="1B201E0F"/>
    <w:rsid w:val="1B63390E"/>
    <w:rsid w:val="1BC11999"/>
    <w:rsid w:val="1BE84A67"/>
    <w:rsid w:val="1BE87F5E"/>
    <w:rsid w:val="1C0521F4"/>
    <w:rsid w:val="1C9B0535"/>
    <w:rsid w:val="1CC52C06"/>
    <w:rsid w:val="1CCB6484"/>
    <w:rsid w:val="1CFB40DA"/>
    <w:rsid w:val="1D5D3718"/>
    <w:rsid w:val="1DEE0CA9"/>
    <w:rsid w:val="1E0E4E0C"/>
    <w:rsid w:val="1E20277C"/>
    <w:rsid w:val="1E8359CC"/>
    <w:rsid w:val="1E8C45D9"/>
    <w:rsid w:val="1EFF4369"/>
    <w:rsid w:val="1F024CF0"/>
    <w:rsid w:val="1F061775"/>
    <w:rsid w:val="1F520E6A"/>
    <w:rsid w:val="1F737547"/>
    <w:rsid w:val="1FBC055F"/>
    <w:rsid w:val="1FFD5496"/>
    <w:rsid w:val="1FFE0442"/>
    <w:rsid w:val="20000DDB"/>
    <w:rsid w:val="202655D2"/>
    <w:rsid w:val="20B42736"/>
    <w:rsid w:val="20F0503A"/>
    <w:rsid w:val="20F5319F"/>
    <w:rsid w:val="21337307"/>
    <w:rsid w:val="214C0279"/>
    <w:rsid w:val="21522262"/>
    <w:rsid w:val="216C1F0B"/>
    <w:rsid w:val="2185500C"/>
    <w:rsid w:val="21DD569B"/>
    <w:rsid w:val="21FF356A"/>
    <w:rsid w:val="22993768"/>
    <w:rsid w:val="22B37C7D"/>
    <w:rsid w:val="22D97EBC"/>
    <w:rsid w:val="22F27762"/>
    <w:rsid w:val="23123443"/>
    <w:rsid w:val="232625C2"/>
    <w:rsid w:val="23C15E15"/>
    <w:rsid w:val="24462612"/>
    <w:rsid w:val="246130AE"/>
    <w:rsid w:val="24F63747"/>
    <w:rsid w:val="255870C9"/>
    <w:rsid w:val="25613BD1"/>
    <w:rsid w:val="25667146"/>
    <w:rsid w:val="25C33799"/>
    <w:rsid w:val="25D765AB"/>
    <w:rsid w:val="25F477C6"/>
    <w:rsid w:val="26795443"/>
    <w:rsid w:val="268140F2"/>
    <w:rsid w:val="26945557"/>
    <w:rsid w:val="26E44998"/>
    <w:rsid w:val="274618B4"/>
    <w:rsid w:val="274A3283"/>
    <w:rsid w:val="276969B7"/>
    <w:rsid w:val="27D711E9"/>
    <w:rsid w:val="28502C3F"/>
    <w:rsid w:val="28A56325"/>
    <w:rsid w:val="28AA6FC3"/>
    <w:rsid w:val="28EE18F4"/>
    <w:rsid w:val="29714B90"/>
    <w:rsid w:val="29C14484"/>
    <w:rsid w:val="29C83614"/>
    <w:rsid w:val="29D54977"/>
    <w:rsid w:val="29F050DC"/>
    <w:rsid w:val="29F21591"/>
    <w:rsid w:val="2A2C6FA3"/>
    <w:rsid w:val="2A444B66"/>
    <w:rsid w:val="2A7C2741"/>
    <w:rsid w:val="2AD04FD0"/>
    <w:rsid w:val="2AEF2A80"/>
    <w:rsid w:val="2B107731"/>
    <w:rsid w:val="2B8C0380"/>
    <w:rsid w:val="2BD43FF7"/>
    <w:rsid w:val="2BDE22FD"/>
    <w:rsid w:val="2CA71DD1"/>
    <w:rsid w:val="2CB82494"/>
    <w:rsid w:val="2CF033A4"/>
    <w:rsid w:val="2D081307"/>
    <w:rsid w:val="2D172F75"/>
    <w:rsid w:val="2D226070"/>
    <w:rsid w:val="2D707243"/>
    <w:rsid w:val="2D843C82"/>
    <w:rsid w:val="2D9B0214"/>
    <w:rsid w:val="2DDA61E1"/>
    <w:rsid w:val="2DDE404C"/>
    <w:rsid w:val="2E0F7E9D"/>
    <w:rsid w:val="2E6F393B"/>
    <w:rsid w:val="2E732342"/>
    <w:rsid w:val="2F0476B2"/>
    <w:rsid w:val="2F3A7D50"/>
    <w:rsid w:val="2F3F48A8"/>
    <w:rsid w:val="2F4E4F07"/>
    <w:rsid w:val="2F6612A2"/>
    <w:rsid w:val="2FDC2C0D"/>
    <w:rsid w:val="2FE66BCA"/>
    <w:rsid w:val="2FEC412C"/>
    <w:rsid w:val="2FF63B4F"/>
    <w:rsid w:val="304E0C3C"/>
    <w:rsid w:val="30592F1D"/>
    <w:rsid w:val="305A1CF2"/>
    <w:rsid w:val="30D30FE3"/>
    <w:rsid w:val="30D46D44"/>
    <w:rsid w:val="31074A62"/>
    <w:rsid w:val="3155215F"/>
    <w:rsid w:val="31BE4028"/>
    <w:rsid w:val="31C57236"/>
    <w:rsid w:val="320B5066"/>
    <w:rsid w:val="327F1EE7"/>
    <w:rsid w:val="32B00164"/>
    <w:rsid w:val="32D63311"/>
    <w:rsid w:val="33452A1E"/>
    <w:rsid w:val="334C7FB6"/>
    <w:rsid w:val="33583DC9"/>
    <w:rsid w:val="33996BD5"/>
    <w:rsid w:val="33A31BE0"/>
    <w:rsid w:val="33B2427E"/>
    <w:rsid w:val="33F629CD"/>
    <w:rsid w:val="343A5806"/>
    <w:rsid w:val="34486330"/>
    <w:rsid w:val="3474109D"/>
    <w:rsid w:val="34B453EB"/>
    <w:rsid w:val="34D65D7C"/>
    <w:rsid w:val="35470DB7"/>
    <w:rsid w:val="35A2302E"/>
    <w:rsid w:val="35F4122F"/>
    <w:rsid w:val="361C5F6C"/>
    <w:rsid w:val="36327B17"/>
    <w:rsid w:val="36386386"/>
    <w:rsid w:val="364A4053"/>
    <w:rsid w:val="364E6D33"/>
    <w:rsid w:val="36871934"/>
    <w:rsid w:val="36B7591F"/>
    <w:rsid w:val="37144D14"/>
    <w:rsid w:val="37556BD7"/>
    <w:rsid w:val="37FF58D7"/>
    <w:rsid w:val="385B0302"/>
    <w:rsid w:val="38891DF8"/>
    <w:rsid w:val="38D155B2"/>
    <w:rsid w:val="390D04A7"/>
    <w:rsid w:val="393C3A27"/>
    <w:rsid w:val="396D63E7"/>
    <w:rsid w:val="39804AD4"/>
    <w:rsid w:val="39CA3E3A"/>
    <w:rsid w:val="3A355D69"/>
    <w:rsid w:val="3A864490"/>
    <w:rsid w:val="3AC54542"/>
    <w:rsid w:val="3AD1189A"/>
    <w:rsid w:val="3B28531E"/>
    <w:rsid w:val="3BA548E8"/>
    <w:rsid w:val="3BB00C18"/>
    <w:rsid w:val="3BDC143E"/>
    <w:rsid w:val="3BE03E4B"/>
    <w:rsid w:val="3BEC505C"/>
    <w:rsid w:val="3BF24A5F"/>
    <w:rsid w:val="3C1E0D2E"/>
    <w:rsid w:val="3C2F4ACA"/>
    <w:rsid w:val="3C4E55FE"/>
    <w:rsid w:val="3CB91A05"/>
    <w:rsid w:val="3CC6165C"/>
    <w:rsid w:val="3CEB4B2C"/>
    <w:rsid w:val="3D1C14DA"/>
    <w:rsid w:val="3D253E38"/>
    <w:rsid w:val="3D2C346A"/>
    <w:rsid w:val="3D8632F4"/>
    <w:rsid w:val="3D910901"/>
    <w:rsid w:val="3DA82DB4"/>
    <w:rsid w:val="3DFE37C3"/>
    <w:rsid w:val="3E495293"/>
    <w:rsid w:val="3E81291B"/>
    <w:rsid w:val="3EA55708"/>
    <w:rsid w:val="3EBD0471"/>
    <w:rsid w:val="3ED03E27"/>
    <w:rsid w:val="3F257D1D"/>
    <w:rsid w:val="3F813232"/>
    <w:rsid w:val="3F9D0839"/>
    <w:rsid w:val="3FDD5F20"/>
    <w:rsid w:val="4006528F"/>
    <w:rsid w:val="4013150B"/>
    <w:rsid w:val="40386AB4"/>
    <w:rsid w:val="40BE0DB2"/>
    <w:rsid w:val="4133606E"/>
    <w:rsid w:val="41355E76"/>
    <w:rsid w:val="41B94F1D"/>
    <w:rsid w:val="41F16F6E"/>
    <w:rsid w:val="421C00DF"/>
    <w:rsid w:val="421E47E0"/>
    <w:rsid w:val="42FD0171"/>
    <w:rsid w:val="43406C9D"/>
    <w:rsid w:val="434F017C"/>
    <w:rsid w:val="438710B4"/>
    <w:rsid w:val="43B2241F"/>
    <w:rsid w:val="43B56532"/>
    <w:rsid w:val="442F3CAA"/>
    <w:rsid w:val="44705E69"/>
    <w:rsid w:val="44AF210D"/>
    <w:rsid w:val="44F24FAA"/>
    <w:rsid w:val="45267D82"/>
    <w:rsid w:val="453F1920"/>
    <w:rsid w:val="45963111"/>
    <w:rsid w:val="45A77F17"/>
    <w:rsid w:val="45B21B65"/>
    <w:rsid w:val="45F72659"/>
    <w:rsid w:val="460743C1"/>
    <w:rsid w:val="46387841"/>
    <w:rsid w:val="463C702F"/>
    <w:rsid w:val="466F101E"/>
    <w:rsid w:val="468615E6"/>
    <w:rsid w:val="46C42CA7"/>
    <w:rsid w:val="46E4575A"/>
    <w:rsid w:val="47C628F1"/>
    <w:rsid w:val="48333FDD"/>
    <w:rsid w:val="48835206"/>
    <w:rsid w:val="48F46540"/>
    <w:rsid w:val="495E03EC"/>
    <w:rsid w:val="496D22A8"/>
    <w:rsid w:val="49B32086"/>
    <w:rsid w:val="49FB2E52"/>
    <w:rsid w:val="4A0271AE"/>
    <w:rsid w:val="4A6B60F6"/>
    <w:rsid w:val="4A790561"/>
    <w:rsid w:val="4AE500B2"/>
    <w:rsid w:val="4B191858"/>
    <w:rsid w:val="4B857F7F"/>
    <w:rsid w:val="4BAD708D"/>
    <w:rsid w:val="4BE25084"/>
    <w:rsid w:val="4C0B4458"/>
    <w:rsid w:val="4CDB3BA6"/>
    <w:rsid w:val="4D1E7B13"/>
    <w:rsid w:val="4D3267B3"/>
    <w:rsid w:val="4D4221BA"/>
    <w:rsid w:val="4D427A0E"/>
    <w:rsid w:val="4D4344CF"/>
    <w:rsid w:val="4D7502EB"/>
    <w:rsid w:val="4D870499"/>
    <w:rsid w:val="4DD61F45"/>
    <w:rsid w:val="4E1600AB"/>
    <w:rsid w:val="4E4F5690"/>
    <w:rsid w:val="4E874011"/>
    <w:rsid w:val="4ED410B1"/>
    <w:rsid w:val="4EF63EA4"/>
    <w:rsid w:val="4FAA2E55"/>
    <w:rsid w:val="501B7A3D"/>
    <w:rsid w:val="502E6463"/>
    <w:rsid w:val="504C6252"/>
    <w:rsid w:val="50F3175D"/>
    <w:rsid w:val="50FF4E1B"/>
    <w:rsid w:val="51222EA0"/>
    <w:rsid w:val="517455E5"/>
    <w:rsid w:val="51763783"/>
    <w:rsid w:val="518122C6"/>
    <w:rsid w:val="51A47093"/>
    <w:rsid w:val="51D23DD6"/>
    <w:rsid w:val="51D80B67"/>
    <w:rsid w:val="52006417"/>
    <w:rsid w:val="525A79DB"/>
    <w:rsid w:val="52AA2EAA"/>
    <w:rsid w:val="52D208A0"/>
    <w:rsid w:val="530840C1"/>
    <w:rsid w:val="5333320B"/>
    <w:rsid w:val="534F37BA"/>
    <w:rsid w:val="536A0C3D"/>
    <w:rsid w:val="54594940"/>
    <w:rsid w:val="54B93F92"/>
    <w:rsid w:val="55326D32"/>
    <w:rsid w:val="55B6705B"/>
    <w:rsid w:val="5627460C"/>
    <w:rsid w:val="562763BA"/>
    <w:rsid w:val="567F5625"/>
    <w:rsid w:val="56966750"/>
    <w:rsid w:val="56BE7FDF"/>
    <w:rsid w:val="571376CF"/>
    <w:rsid w:val="571B1D91"/>
    <w:rsid w:val="57283E05"/>
    <w:rsid w:val="5754159A"/>
    <w:rsid w:val="575512B4"/>
    <w:rsid w:val="57C871D8"/>
    <w:rsid w:val="57FD06CF"/>
    <w:rsid w:val="58907EDA"/>
    <w:rsid w:val="589233DD"/>
    <w:rsid w:val="58CA7BC5"/>
    <w:rsid w:val="58F529B9"/>
    <w:rsid w:val="58F577A4"/>
    <w:rsid w:val="595B2961"/>
    <w:rsid w:val="596D2F3F"/>
    <w:rsid w:val="598B2C0C"/>
    <w:rsid w:val="598C08A3"/>
    <w:rsid w:val="59A96428"/>
    <w:rsid w:val="59DA6BF7"/>
    <w:rsid w:val="59FB56AF"/>
    <w:rsid w:val="5A0A1945"/>
    <w:rsid w:val="5A635857"/>
    <w:rsid w:val="5A746DF6"/>
    <w:rsid w:val="5AD91593"/>
    <w:rsid w:val="5B0F11F3"/>
    <w:rsid w:val="5B1E2A81"/>
    <w:rsid w:val="5B4807E8"/>
    <w:rsid w:val="5BA9396F"/>
    <w:rsid w:val="5C386FD5"/>
    <w:rsid w:val="5C4943A0"/>
    <w:rsid w:val="5C581E36"/>
    <w:rsid w:val="5C6E6BB0"/>
    <w:rsid w:val="5CD270DC"/>
    <w:rsid w:val="5D1E5400"/>
    <w:rsid w:val="5D92140F"/>
    <w:rsid w:val="5DB77E4C"/>
    <w:rsid w:val="5E00575C"/>
    <w:rsid w:val="5E793B07"/>
    <w:rsid w:val="5EA26F25"/>
    <w:rsid w:val="5EC6388D"/>
    <w:rsid w:val="5ED0639A"/>
    <w:rsid w:val="5EDA16CD"/>
    <w:rsid w:val="5F800F78"/>
    <w:rsid w:val="5FCC0FBA"/>
    <w:rsid w:val="5FD25D65"/>
    <w:rsid w:val="601E18C0"/>
    <w:rsid w:val="602B0BD5"/>
    <w:rsid w:val="60494247"/>
    <w:rsid w:val="60935501"/>
    <w:rsid w:val="60BE39C7"/>
    <w:rsid w:val="60C1494C"/>
    <w:rsid w:val="61646370"/>
    <w:rsid w:val="617636A3"/>
    <w:rsid w:val="6184468A"/>
    <w:rsid w:val="61844A4B"/>
    <w:rsid w:val="61844F2D"/>
    <w:rsid w:val="61B6665A"/>
    <w:rsid w:val="626367B7"/>
    <w:rsid w:val="62874A83"/>
    <w:rsid w:val="628903DB"/>
    <w:rsid w:val="62BB2188"/>
    <w:rsid w:val="62FC28A0"/>
    <w:rsid w:val="633B3537"/>
    <w:rsid w:val="63692C34"/>
    <w:rsid w:val="63841BD1"/>
    <w:rsid w:val="63896059"/>
    <w:rsid w:val="639618B0"/>
    <w:rsid w:val="63B401A2"/>
    <w:rsid w:val="63CE724D"/>
    <w:rsid w:val="63DB5D55"/>
    <w:rsid w:val="65666194"/>
    <w:rsid w:val="6568292E"/>
    <w:rsid w:val="657213FC"/>
    <w:rsid w:val="65C47E2B"/>
    <w:rsid w:val="65C62620"/>
    <w:rsid w:val="65CE462C"/>
    <w:rsid w:val="65ED517D"/>
    <w:rsid w:val="65F657B5"/>
    <w:rsid w:val="66900307"/>
    <w:rsid w:val="66B31AC4"/>
    <w:rsid w:val="672D16D2"/>
    <w:rsid w:val="678C3D4D"/>
    <w:rsid w:val="67DC029E"/>
    <w:rsid w:val="67E0333B"/>
    <w:rsid w:val="68075758"/>
    <w:rsid w:val="685145AA"/>
    <w:rsid w:val="6860357A"/>
    <w:rsid w:val="68B44744"/>
    <w:rsid w:val="68BA5430"/>
    <w:rsid w:val="6921668A"/>
    <w:rsid w:val="6977475B"/>
    <w:rsid w:val="697C15FE"/>
    <w:rsid w:val="69EA405C"/>
    <w:rsid w:val="6A217234"/>
    <w:rsid w:val="6A584189"/>
    <w:rsid w:val="6A6965FF"/>
    <w:rsid w:val="6B4C6968"/>
    <w:rsid w:val="6B9C7C98"/>
    <w:rsid w:val="6BAC37B5"/>
    <w:rsid w:val="6C2B4084"/>
    <w:rsid w:val="6C6509E5"/>
    <w:rsid w:val="6C9C7659"/>
    <w:rsid w:val="6CA02C98"/>
    <w:rsid w:val="6CA91B55"/>
    <w:rsid w:val="6D1E40DD"/>
    <w:rsid w:val="6D39114F"/>
    <w:rsid w:val="6D4D071C"/>
    <w:rsid w:val="6D935BD4"/>
    <w:rsid w:val="6DA636D4"/>
    <w:rsid w:val="6DAB3574"/>
    <w:rsid w:val="6DD855A8"/>
    <w:rsid w:val="6E4158D6"/>
    <w:rsid w:val="6E605241"/>
    <w:rsid w:val="6E6E472E"/>
    <w:rsid w:val="6E797E59"/>
    <w:rsid w:val="6E873EE3"/>
    <w:rsid w:val="6EEC1689"/>
    <w:rsid w:val="6F0F1718"/>
    <w:rsid w:val="6F422098"/>
    <w:rsid w:val="6F74201A"/>
    <w:rsid w:val="6F8D2AB3"/>
    <w:rsid w:val="6F974036"/>
    <w:rsid w:val="6F9D14AD"/>
    <w:rsid w:val="6FC06060"/>
    <w:rsid w:val="6FCB4A49"/>
    <w:rsid w:val="6FCD6054"/>
    <w:rsid w:val="6FF4732C"/>
    <w:rsid w:val="6FFE2617"/>
    <w:rsid w:val="70076CC9"/>
    <w:rsid w:val="70260308"/>
    <w:rsid w:val="70370D5B"/>
    <w:rsid w:val="70597661"/>
    <w:rsid w:val="70651A10"/>
    <w:rsid w:val="70D03F0E"/>
    <w:rsid w:val="70D23C3E"/>
    <w:rsid w:val="70ED2A07"/>
    <w:rsid w:val="70F16E3D"/>
    <w:rsid w:val="712B110C"/>
    <w:rsid w:val="714921D2"/>
    <w:rsid w:val="718450C3"/>
    <w:rsid w:val="71942548"/>
    <w:rsid w:val="719E357C"/>
    <w:rsid w:val="71CF78AB"/>
    <w:rsid w:val="71DC70EE"/>
    <w:rsid w:val="71FB259A"/>
    <w:rsid w:val="720802A1"/>
    <w:rsid w:val="721C41A5"/>
    <w:rsid w:val="725A00AC"/>
    <w:rsid w:val="726254B8"/>
    <w:rsid w:val="728C73D7"/>
    <w:rsid w:val="72AA7CFF"/>
    <w:rsid w:val="72EE502D"/>
    <w:rsid w:val="72F14DB0"/>
    <w:rsid w:val="73085C46"/>
    <w:rsid w:val="73287F01"/>
    <w:rsid w:val="73923899"/>
    <w:rsid w:val="73B2260A"/>
    <w:rsid w:val="73C5713A"/>
    <w:rsid w:val="73FF295B"/>
    <w:rsid w:val="74163C32"/>
    <w:rsid w:val="7431692A"/>
    <w:rsid w:val="745769C6"/>
    <w:rsid w:val="74A81CDB"/>
    <w:rsid w:val="74B61198"/>
    <w:rsid w:val="74D06143"/>
    <w:rsid w:val="752807AC"/>
    <w:rsid w:val="75341D00"/>
    <w:rsid w:val="7537556F"/>
    <w:rsid w:val="754D79AA"/>
    <w:rsid w:val="75C25F4C"/>
    <w:rsid w:val="76063A73"/>
    <w:rsid w:val="763C4DF4"/>
    <w:rsid w:val="765F11C0"/>
    <w:rsid w:val="766C625F"/>
    <w:rsid w:val="76882384"/>
    <w:rsid w:val="7695169A"/>
    <w:rsid w:val="76A21419"/>
    <w:rsid w:val="76C57C6B"/>
    <w:rsid w:val="76CA0970"/>
    <w:rsid w:val="76FC5594"/>
    <w:rsid w:val="770D2782"/>
    <w:rsid w:val="771357EC"/>
    <w:rsid w:val="77361899"/>
    <w:rsid w:val="775535A9"/>
    <w:rsid w:val="775D10A8"/>
    <w:rsid w:val="77A32A8E"/>
    <w:rsid w:val="77A865CB"/>
    <w:rsid w:val="77B10B6D"/>
    <w:rsid w:val="77B22F3E"/>
    <w:rsid w:val="77CB1717"/>
    <w:rsid w:val="77F3781A"/>
    <w:rsid w:val="78917647"/>
    <w:rsid w:val="78AA6B87"/>
    <w:rsid w:val="78B87D97"/>
    <w:rsid w:val="78B9790F"/>
    <w:rsid w:val="791134A9"/>
    <w:rsid w:val="791553CB"/>
    <w:rsid w:val="79175355"/>
    <w:rsid w:val="792E135E"/>
    <w:rsid w:val="79413EA4"/>
    <w:rsid w:val="794E160F"/>
    <w:rsid w:val="794E6A26"/>
    <w:rsid w:val="79BF4807"/>
    <w:rsid w:val="79C00750"/>
    <w:rsid w:val="7A565E50"/>
    <w:rsid w:val="7A581D45"/>
    <w:rsid w:val="7A587047"/>
    <w:rsid w:val="7AB944BB"/>
    <w:rsid w:val="7B0527BE"/>
    <w:rsid w:val="7B384C36"/>
    <w:rsid w:val="7B47744F"/>
    <w:rsid w:val="7BCE3DAF"/>
    <w:rsid w:val="7BDE159A"/>
    <w:rsid w:val="7C1670E4"/>
    <w:rsid w:val="7C2C7F87"/>
    <w:rsid w:val="7C540886"/>
    <w:rsid w:val="7C8F5BA1"/>
    <w:rsid w:val="7CD51E11"/>
    <w:rsid w:val="7DC97AA7"/>
    <w:rsid w:val="7DDA3EAE"/>
    <w:rsid w:val="7E141A72"/>
    <w:rsid w:val="7E3D2549"/>
    <w:rsid w:val="7E9B7568"/>
    <w:rsid w:val="7EB368DF"/>
    <w:rsid w:val="7ECF1346"/>
    <w:rsid w:val="7F48086E"/>
    <w:rsid w:val="7FB135E8"/>
    <w:rsid w:val="7FBA441B"/>
    <w:rsid w:val="7FC01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jc w:val="left"/>
      <w:outlineLvl w:val="0"/>
    </w:pPr>
    <w:rPr>
      <w:b/>
      <w:bCs/>
      <w:kern w:val="44"/>
      <w:sz w:val="28"/>
      <w:szCs w:val="44"/>
    </w:rPr>
  </w:style>
  <w:style w:type="paragraph" w:styleId="4">
    <w:name w:val="heading 2"/>
    <w:basedOn w:val="1"/>
    <w:next w:val="1"/>
    <w:qFormat/>
    <w:uiPriority w:val="0"/>
    <w:pPr>
      <w:keepNext/>
      <w:keepLines/>
      <w:spacing w:line="412" w:lineRule="auto"/>
      <w:jc w:val="center"/>
      <w:outlineLvl w:val="1"/>
    </w:pPr>
    <w:rPr>
      <w:rFonts w:ascii="Arial" w:hAnsi="Arial"/>
      <w:b/>
      <w:sz w:val="24"/>
      <w:szCs w:val="20"/>
    </w:rPr>
  </w:style>
  <w:style w:type="paragraph" w:styleId="5">
    <w:name w:val="heading 3"/>
    <w:basedOn w:val="1"/>
    <w:next w:val="1"/>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2">
    <w:name w:val="heading 4"/>
    <w:basedOn w:val="1"/>
    <w:next w:val="1"/>
    <w:qFormat/>
    <w:uiPriority w:val="9"/>
    <w:pPr>
      <w:keepNext/>
      <w:keepLines/>
      <w:spacing w:before="280" w:after="290" w:line="374" w:lineRule="auto"/>
      <w:outlineLvl w:val="3"/>
    </w:pPr>
    <w:rPr>
      <w:rFonts w:ascii="Arial" w:hAnsi="Arial" w:eastAsia="黑体"/>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pPr>
      <w:snapToGrid w:val="0"/>
      <w:spacing w:line="348" w:lineRule="auto"/>
    </w:pPr>
    <w:rPr>
      <w:rFonts w:ascii="Arial" w:hAnsi="Arial" w:eastAsia="宋体"/>
      <w:sz w:val="32"/>
    </w:rPr>
  </w:style>
  <w:style w:type="paragraph" w:styleId="8">
    <w:name w:val="Title"/>
    <w:basedOn w:val="1"/>
    <w:next w:val="1"/>
    <w:qFormat/>
    <w:uiPriority w:val="10"/>
    <w:pPr>
      <w:spacing w:before="300" w:after="200"/>
      <w:contextualSpacing/>
    </w:pPr>
    <w:rPr>
      <w:sz w:val="48"/>
      <w:szCs w:val="48"/>
    </w:rPr>
  </w:style>
  <w:style w:type="paragraph" w:styleId="9">
    <w:name w:val="Block Text"/>
    <w:basedOn w:val="1"/>
    <w:qFormat/>
    <w:uiPriority w:val="0"/>
    <w:pPr>
      <w:spacing w:afterLines="0" w:afterAutospacing="0" w:line="240" w:lineRule="auto"/>
      <w:ind w:left="0" w:leftChars="0" w:rightChars="0" w:firstLine="0" w:firstLineChars="0"/>
    </w:pPr>
    <w:rPr>
      <w:rFonts w:ascii="Times New Roman" w:hAnsi="Times New Roman" w:cs="Times New Roman"/>
      <w:sz w:val="21"/>
    </w:rPr>
  </w:style>
  <w:style w:type="paragraph" w:styleId="10">
    <w:name w:val="Plain Text"/>
    <w:basedOn w:val="1"/>
    <w:qFormat/>
    <w:uiPriority w:val="0"/>
    <w:rPr>
      <w:rFonts w:hint="eastAsia" w:ascii="宋体" w:hAnsi="Courier New"/>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39"/>
    <w:rPr>
      <w:rFonts w:ascii="Times New Roman" w:hAnsi="Times New Roman" w:eastAsia="宋体"/>
    </w:rPr>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Body Text First Indent"/>
    <w:basedOn w:val="1"/>
    <w:qFormat/>
    <w:uiPriority w:val="0"/>
    <w:pPr>
      <w:spacing w:line="360" w:lineRule="auto"/>
      <w:ind w:firstLine="200" w:firstLineChars="200"/>
    </w:pPr>
    <w:rPr>
      <w:sz w:val="24"/>
    </w:rPr>
  </w:style>
  <w:style w:type="character" w:styleId="18">
    <w:name w:val="Strong"/>
    <w:basedOn w:val="17"/>
    <w:qFormat/>
    <w:uiPriority w:val="0"/>
    <w:rPr>
      <w:b/>
    </w:rPr>
  </w:style>
  <w:style w:type="character" w:styleId="19">
    <w:name w:val="Emphasis"/>
    <w:basedOn w:val="17"/>
    <w:qFormat/>
    <w:uiPriority w:val="0"/>
    <w:rPr>
      <w:i/>
    </w:rPr>
  </w:style>
  <w:style w:type="paragraph" w:customStyle="1" w:styleId="20">
    <w:name w:val="Char"/>
    <w:basedOn w:val="1"/>
    <w:next w:val="1"/>
    <w:qFormat/>
    <w:uiPriority w:val="0"/>
    <w:pPr>
      <w:pageBreakBefore/>
      <w:spacing w:line="400" w:lineRule="exact"/>
    </w:pPr>
    <w:rPr>
      <w:rFonts w:eastAsia="黑体"/>
      <w:sz w:val="32"/>
      <w:szCs w:val="32"/>
    </w:rPr>
  </w:style>
  <w:style w:type="character" w:customStyle="1" w:styleId="21">
    <w:name w:val="font11"/>
    <w:basedOn w:val="17"/>
    <w:qFormat/>
    <w:uiPriority w:val="0"/>
    <w:rPr>
      <w:rFonts w:hint="eastAsia" w:ascii="宋体" w:hAnsi="宋体" w:eastAsia="宋体" w:cs="宋体"/>
      <w:color w:val="000000"/>
      <w:sz w:val="24"/>
      <w:szCs w:val="24"/>
      <w:u w:val="none"/>
    </w:rPr>
  </w:style>
  <w:style w:type="character" w:customStyle="1" w:styleId="22">
    <w:name w:val="font51"/>
    <w:basedOn w:val="17"/>
    <w:qFormat/>
    <w:uiPriority w:val="0"/>
    <w:rPr>
      <w:rFonts w:hint="eastAsia" w:ascii="宋体" w:hAnsi="宋体" w:eastAsia="宋体" w:cs="宋体"/>
      <w:color w:val="000000"/>
      <w:sz w:val="24"/>
      <w:szCs w:val="24"/>
      <w:u w:val="none"/>
    </w:rPr>
  </w:style>
  <w:style w:type="paragraph" w:customStyle="1" w:styleId="23">
    <w:name w:val="WPSOffice手动目录 1"/>
    <w:qFormat/>
    <w:uiPriority w:val="0"/>
    <w:rPr>
      <w:rFonts w:ascii="Times New Roman" w:hAnsi="Times New Roman" w:eastAsia="宋体" w:cs="Times New Roman"/>
      <w:lang w:val="en-US" w:eastAsia="zh-CN" w:bidi="ar-SA"/>
    </w:rPr>
  </w:style>
  <w:style w:type="paragraph" w:customStyle="1" w:styleId="24">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5">
    <w:name w:val="font81"/>
    <w:basedOn w:val="17"/>
    <w:qFormat/>
    <w:uiPriority w:val="0"/>
    <w:rPr>
      <w:rFonts w:hint="eastAsia" w:ascii="宋体" w:hAnsi="宋体" w:eastAsia="宋体" w:cs="宋体"/>
      <w:color w:val="000000"/>
      <w:sz w:val="24"/>
      <w:szCs w:val="24"/>
      <w:u w:val="none"/>
    </w:rPr>
  </w:style>
  <w:style w:type="character" w:customStyle="1" w:styleId="26">
    <w:name w:val="font61"/>
    <w:basedOn w:val="17"/>
    <w:qFormat/>
    <w:uiPriority w:val="0"/>
    <w:rPr>
      <w:rFonts w:hint="eastAsia" w:ascii="宋体" w:hAnsi="宋体" w:eastAsia="宋体" w:cs="宋体"/>
      <w:color w:val="000000"/>
      <w:sz w:val="24"/>
      <w:szCs w:val="24"/>
      <w:u w:val="none"/>
    </w:rPr>
  </w:style>
  <w:style w:type="character" w:customStyle="1" w:styleId="27">
    <w:name w:val="font31"/>
    <w:basedOn w:val="17"/>
    <w:qFormat/>
    <w:uiPriority w:val="0"/>
    <w:rPr>
      <w:rFonts w:hint="eastAsia" w:ascii="宋体" w:hAnsi="宋体" w:eastAsia="宋体" w:cs="宋体"/>
      <w:color w:val="000000"/>
      <w:sz w:val="18"/>
      <w:szCs w:val="18"/>
      <w:u w:val="none"/>
    </w:rPr>
  </w:style>
  <w:style w:type="character" w:customStyle="1" w:styleId="28">
    <w:name w:val="font71"/>
    <w:basedOn w:val="1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8</Pages>
  <Words>3433</Words>
  <Characters>3840</Characters>
  <Lines>26</Lines>
  <Paragraphs>7</Paragraphs>
  <TotalTime>27</TotalTime>
  <ScaleCrop>false</ScaleCrop>
  <LinksUpToDate>false</LinksUpToDate>
  <CharactersWithSpaces>3962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2023-10-23T02:52:00Z</dcterms:created>
  <dc:creator>jiangzhenyu</dc:creator>
  <cp:lastModifiedBy>00031989_cgy</cp:lastModifiedBy>
  <cp:lastPrinted>2026-04-08T03:39:17Z</cp:lastPrinted>
  <dcterms:modified xsi:type="dcterms:W3CDTF">2026-04-08T03:40:42Z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8C4AC28A1FF84191A4A7B95471868EA1</vt:lpwstr>
  </property>
  <property fmtid="{D5CDD505-2E9C-101B-9397-08002B2CF9AE}" pid="4" name="KSOTemplateDocerSaveRecord">
    <vt:lpwstr>eyJoZGlkIjoiMzAzYjNkMWU4MzEyYTBjYTU0ZjlhMWM4MzFiOTliYmEiLCJ1c2VySWQiOiIxNDU1NTIyMTA0In0=</vt:lpwstr>
  </property>
</Properties>
</file>