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C61E047">
      <w:pPr>
        <w:wordWrap w:val="0"/>
        <w:jc w:val="right"/>
        <w:rPr>
          <w:rFonts w:ascii="黑体" w:eastAsia="黑体"/>
          <w:color w:val="auto"/>
          <w:sz w:val="52"/>
          <w:szCs w:val="52"/>
          <w:highlight w:val="none"/>
        </w:rPr>
      </w:pPr>
      <w:r>
        <w:rPr>
          <w:rFonts w:hint="eastAsia" w:ascii="宋体" w:hAnsi="宋体"/>
          <w:b/>
          <w:color w:val="auto"/>
          <w:sz w:val="28"/>
          <w:szCs w:val="28"/>
          <w:highlight w:val="none"/>
        </w:rPr>
        <w:t xml:space="preserve">    </w:t>
      </w:r>
    </w:p>
    <w:p w14:paraId="3A198F5B">
      <w:pPr>
        <w:jc w:val="center"/>
        <w:rPr>
          <w:rFonts w:eastAsia="黑体"/>
          <w:color w:val="auto"/>
          <w:sz w:val="52"/>
          <w:szCs w:val="52"/>
          <w:highlight w:val="none"/>
        </w:rPr>
      </w:pPr>
      <w:r>
        <w:rPr>
          <w:color w:val="auto"/>
          <w:highlight w:val="none"/>
        </w:rPr>
        <w:drawing>
          <wp:anchor distT="0" distB="0" distL="114300" distR="114300" simplePos="0" relativeHeight="251659264" behindDoc="0" locked="0" layoutInCell="1" allowOverlap="1">
            <wp:simplePos x="0" y="0"/>
            <wp:positionH relativeFrom="column">
              <wp:posOffset>-1263650</wp:posOffset>
            </wp:positionH>
            <wp:positionV relativeFrom="paragraph">
              <wp:posOffset>-1903730</wp:posOffset>
            </wp:positionV>
            <wp:extent cx="8164830" cy="2506345"/>
            <wp:effectExtent l="0" t="0" r="7620" b="8255"/>
            <wp:wrapNone/>
            <wp:docPr id="1" name="图片 6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1" descr="模板-3"/>
                    <pic:cNvPicPr>
                      <a:picLocks noChangeAspect="1"/>
                    </pic:cNvPicPr>
                  </pic:nvPicPr>
                  <pic:blipFill>
                    <a:blip r:embed="rId10"/>
                    <a:stretch>
                      <a:fillRect/>
                    </a:stretch>
                  </pic:blipFill>
                  <pic:spPr>
                    <a:xfrm>
                      <a:off x="0" y="0"/>
                      <a:ext cx="8164830" cy="2506345"/>
                    </a:xfrm>
                    <a:prstGeom prst="rect">
                      <a:avLst/>
                    </a:prstGeom>
                    <a:noFill/>
                    <a:ln>
                      <a:noFill/>
                    </a:ln>
                  </pic:spPr>
                </pic:pic>
              </a:graphicData>
            </a:graphic>
          </wp:anchor>
        </w:drawing>
      </w:r>
    </w:p>
    <w:p w14:paraId="26AE1635">
      <w:pPr>
        <w:jc w:val="center"/>
        <w:rPr>
          <w:rFonts w:eastAsia="黑体"/>
          <w:color w:val="auto"/>
          <w:sz w:val="52"/>
          <w:szCs w:val="52"/>
          <w:highlight w:val="none"/>
        </w:rPr>
      </w:pPr>
    </w:p>
    <w:p w14:paraId="21E962D1">
      <w:pPr>
        <w:jc w:val="center"/>
        <w:rPr>
          <w:rFonts w:eastAsia="黑体"/>
          <w:color w:val="auto"/>
          <w:sz w:val="52"/>
          <w:szCs w:val="52"/>
          <w:highlight w:val="none"/>
        </w:rPr>
      </w:pPr>
    </w:p>
    <w:p w14:paraId="3B9F483B">
      <w:pPr>
        <w:spacing w:before="156"/>
        <w:jc w:val="center"/>
        <w:rPr>
          <w:rFonts w:hint="default" w:ascii="黑体" w:hAnsi="黑体" w:eastAsia="黑体" w:cs="Calibri"/>
          <w:color w:val="auto"/>
          <w:sz w:val="44"/>
          <w:szCs w:val="44"/>
          <w:highlight w:val="none"/>
          <w:u w:val="single"/>
          <w:lang w:val="en-US"/>
        </w:rPr>
      </w:pPr>
      <w:r>
        <w:rPr>
          <w:rFonts w:hint="eastAsia" w:ascii="黑体" w:hAnsi="黑体" w:eastAsia="黑体" w:cs="Calibri"/>
          <w:color w:val="auto"/>
          <w:sz w:val="44"/>
          <w:szCs w:val="44"/>
          <w:highlight w:val="none"/>
          <w:u w:val="single"/>
          <w:lang w:val="en-US" w:eastAsia="zh-CN"/>
        </w:rPr>
        <w:t>面向新型电力系统的硬隔离配电网光通信装置开发及其用于配网差动保护的网络技术研究网管软件测试服务</w:t>
      </w:r>
    </w:p>
    <w:p w14:paraId="7F9FE3C9">
      <w:pPr>
        <w:spacing w:before="156"/>
        <w:jc w:val="center"/>
        <w:rPr>
          <w:rFonts w:hint="eastAsia" w:ascii="黑体" w:hAnsi="黑体" w:eastAsia="黑体" w:cs="Calibri"/>
          <w:color w:val="auto"/>
          <w:sz w:val="44"/>
          <w:szCs w:val="44"/>
          <w:highlight w:val="none"/>
          <w:u w:val="single"/>
        </w:rPr>
      </w:pPr>
    </w:p>
    <w:p w14:paraId="36A44E5C">
      <w:pPr>
        <w:spacing w:before="156"/>
        <w:jc w:val="center"/>
        <w:rPr>
          <w:color w:val="auto"/>
          <w:sz w:val="28"/>
          <w:highlight w:val="none"/>
        </w:rPr>
      </w:pPr>
      <w:r>
        <w:rPr>
          <w:rFonts w:hint="eastAsia" w:ascii="黑体" w:hAnsi="黑体" w:eastAsia="黑体" w:cs="Calibri"/>
          <w:color w:val="auto"/>
          <w:sz w:val="44"/>
          <w:szCs w:val="44"/>
          <w:highlight w:val="none"/>
          <w:u w:val="single"/>
        </w:rPr>
        <w:t>技术规范书</w:t>
      </w:r>
    </w:p>
    <w:p w14:paraId="21E0FB30">
      <w:pPr>
        <w:spacing w:line="360" w:lineRule="auto"/>
        <w:jc w:val="center"/>
        <w:rPr>
          <w:color w:val="auto"/>
          <w:sz w:val="28"/>
          <w:highlight w:val="none"/>
        </w:rPr>
      </w:pPr>
    </w:p>
    <w:p w14:paraId="5E89C3F8">
      <w:pPr>
        <w:spacing w:line="360" w:lineRule="auto"/>
        <w:jc w:val="center"/>
        <w:rPr>
          <w:color w:val="auto"/>
          <w:sz w:val="28"/>
          <w:highlight w:val="none"/>
        </w:rPr>
      </w:pPr>
    </w:p>
    <w:p w14:paraId="10DEF502">
      <w:pPr>
        <w:spacing w:line="360" w:lineRule="auto"/>
        <w:jc w:val="center"/>
        <w:rPr>
          <w:color w:val="auto"/>
          <w:sz w:val="28"/>
          <w:highlight w:val="none"/>
        </w:rPr>
      </w:pPr>
    </w:p>
    <w:p w14:paraId="105D2604">
      <w:pPr>
        <w:spacing w:line="360" w:lineRule="auto"/>
        <w:jc w:val="center"/>
        <w:rPr>
          <w:color w:val="auto"/>
          <w:sz w:val="28"/>
          <w:highlight w:val="none"/>
        </w:rPr>
      </w:pPr>
    </w:p>
    <w:p w14:paraId="272D3EAD">
      <w:pPr>
        <w:spacing w:line="360" w:lineRule="auto"/>
        <w:jc w:val="both"/>
        <w:rPr>
          <w:color w:val="auto"/>
          <w:sz w:val="28"/>
          <w:highlight w:val="none"/>
        </w:rPr>
      </w:pPr>
    </w:p>
    <w:p w14:paraId="0BFC763C">
      <w:pPr>
        <w:spacing w:line="360" w:lineRule="auto"/>
        <w:jc w:val="both"/>
        <w:rPr>
          <w:color w:val="auto"/>
          <w:sz w:val="28"/>
          <w:highlight w:val="none"/>
        </w:rPr>
      </w:pPr>
    </w:p>
    <w:p w14:paraId="31ECB08B">
      <w:pPr>
        <w:spacing w:line="360" w:lineRule="auto"/>
        <w:jc w:val="both"/>
        <w:rPr>
          <w:color w:val="auto"/>
          <w:sz w:val="28"/>
          <w:highlight w:val="none"/>
        </w:rPr>
      </w:pPr>
    </w:p>
    <w:p w14:paraId="34328A97">
      <w:pPr>
        <w:spacing w:line="360" w:lineRule="auto"/>
        <w:jc w:val="both"/>
        <w:rPr>
          <w:color w:val="auto"/>
          <w:sz w:val="28"/>
          <w:highlight w:val="none"/>
        </w:rPr>
      </w:pPr>
    </w:p>
    <w:p w14:paraId="766D634B">
      <w:pPr>
        <w:spacing w:line="360" w:lineRule="auto"/>
        <w:jc w:val="center"/>
        <w:rPr>
          <w:color w:val="auto"/>
          <w:sz w:val="28"/>
          <w:highlight w:val="none"/>
        </w:rPr>
      </w:pPr>
    </w:p>
    <w:p w14:paraId="04F023AC">
      <w:pPr>
        <w:spacing w:line="360" w:lineRule="auto"/>
        <w:jc w:val="center"/>
        <w:rPr>
          <w:color w:val="auto"/>
          <w:sz w:val="28"/>
          <w:highlight w:val="none"/>
        </w:rPr>
      </w:pPr>
    </w:p>
    <w:p w14:paraId="7D5D57DC">
      <w:pPr>
        <w:spacing w:line="360" w:lineRule="auto"/>
        <w:jc w:val="center"/>
        <w:rPr>
          <w:rFonts w:hint="default" w:eastAsia="宋体"/>
          <w:b/>
          <w:bCs/>
          <w:color w:val="auto"/>
          <w:sz w:val="30"/>
          <w:highlight w:val="none"/>
          <w:lang w:val="en-US" w:eastAsia="zh-CN"/>
        </w:rPr>
      </w:pPr>
      <w:r>
        <w:rPr>
          <w:rFonts w:hint="eastAsia" w:ascii="宋体" w:hAnsi="宋体" w:cs="Arial"/>
          <w:b/>
          <w:color w:val="auto"/>
          <w:sz w:val="30"/>
          <w:szCs w:val="30"/>
          <w:highlight w:val="none"/>
        </w:rPr>
        <w:t>广东电网公司</w:t>
      </w:r>
      <w:bookmarkStart w:id="41" w:name="_GoBack"/>
      <w:bookmarkEnd w:id="41"/>
      <w:r>
        <w:rPr>
          <w:rFonts w:hint="eastAsia" w:ascii="宋体" w:hAnsi="宋体" w:cs="Arial"/>
          <w:b/>
          <w:color w:val="auto"/>
          <w:sz w:val="30"/>
          <w:szCs w:val="30"/>
          <w:highlight w:val="none"/>
          <w:lang w:val="en-US" w:eastAsia="zh-CN"/>
        </w:rPr>
        <w:t>电力调度控制中心</w:t>
      </w:r>
    </w:p>
    <w:p w14:paraId="3D48CFEF">
      <w:pPr>
        <w:pStyle w:val="21"/>
        <w:spacing w:line="360" w:lineRule="auto"/>
        <w:ind w:left="113" w:leftChars="47"/>
        <w:jc w:val="center"/>
        <w:rPr>
          <w:b/>
          <w:bCs/>
          <w:color w:val="auto"/>
          <w:sz w:val="28"/>
          <w:szCs w:val="28"/>
          <w:highlight w:val="none"/>
        </w:rPr>
      </w:pPr>
      <w:r>
        <w:rPr>
          <w:rFonts w:hint="eastAsia"/>
          <w:b/>
          <w:bCs/>
          <w:color w:val="auto"/>
          <w:sz w:val="28"/>
          <w:szCs w:val="28"/>
          <w:highlight w:val="none"/>
        </w:rPr>
        <w:t>二○二</w:t>
      </w:r>
      <w:r>
        <w:rPr>
          <w:rFonts w:hint="eastAsia"/>
          <w:b/>
          <w:bCs/>
          <w:color w:val="auto"/>
          <w:sz w:val="28"/>
          <w:szCs w:val="28"/>
          <w:highlight w:val="none"/>
          <w:lang w:val="en-US" w:eastAsia="zh-CN"/>
        </w:rPr>
        <w:t>六</w:t>
      </w:r>
      <w:r>
        <w:rPr>
          <w:rFonts w:hint="eastAsia"/>
          <w:b/>
          <w:bCs/>
          <w:color w:val="auto"/>
          <w:sz w:val="28"/>
          <w:szCs w:val="28"/>
          <w:highlight w:val="none"/>
        </w:rPr>
        <w:t>年</w:t>
      </w:r>
      <w:r>
        <w:rPr>
          <w:rFonts w:hint="eastAsia"/>
          <w:b/>
          <w:bCs/>
          <w:color w:val="auto"/>
          <w:sz w:val="28"/>
          <w:szCs w:val="28"/>
          <w:highlight w:val="none"/>
          <w:lang w:val="en-US" w:eastAsia="zh-CN"/>
        </w:rPr>
        <w:t>一</w:t>
      </w:r>
      <w:r>
        <w:rPr>
          <w:rFonts w:hint="eastAsia"/>
          <w:b/>
          <w:bCs/>
          <w:color w:val="auto"/>
          <w:sz w:val="28"/>
          <w:szCs w:val="28"/>
          <w:highlight w:val="none"/>
        </w:rPr>
        <w:t>月</w:t>
      </w:r>
    </w:p>
    <w:p w14:paraId="17A3A17C">
      <w:pPr>
        <w:widowControl/>
        <w:adjustRightInd/>
        <w:spacing w:line="240" w:lineRule="auto"/>
        <w:textAlignment w:val="auto"/>
        <w:rPr>
          <w:b/>
          <w:bCs/>
          <w:color w:val="auto"/>
          <w:sz w:val="28"/>
          <w:szCs w:val="28"/>
          <w:highlight w:val="none"/>
        </w:rPr>
      </w:pPr>
      <w:r>
        <w:rPr>
          <w:b/>
          <w:bCs/>
          <w:color w:val="auto"/>
          <w:sz w:val="28"/>
          <w:szCs w:val="28"/>
          <w:highlight w:val="none"/>
        </w:rPr>
        <w:br w:type="page"/>
      </w:r>
    </w:p>
    <w:p w14:paraId="38B48334">
      <w:pPr>
        <w:pStyle w:val="21"/>
        <w:spacing w:line="360" w:lineRule="auto"/>
        <w:ind w:left="113" w:leftChars="47"/>
        <w:jc w:val="center"/>
        <w:rPr>
          <w:b/>
          <w:bCs/>
          <w:color w:val="auto"/>
          <w:sz w:val="28"/>
          <w:szCs w:val="28"/>
          <w:highlight w:val="none"/>
        </w:rPr>
      </w:pPr>
    </w:p>
    <w:p w14:paraId="25C5C666">
      <w:pPr>
        <w:spacing w:line="360" w:lineRule="auto"/>
        <w:ind w:left="420"/>
        <w:jc w:val="center"/>
        <w:rPr>
          <w:b/>
          <w:color w:val="auto"/>
          <w:sz w:val="32"/>
          <w:highlight w:val="none"/>
        </w:rPr>
      </w:pPr>
      <w:r>
        <w:rPr>
          <w:rFonts w:hAnsi="宋体"/>
          <w:b/>
          <w:color w:val="auto"/>
          <w:sz w:val="32"/>
          <w:highlight w:val="none"/>
        </w:rPr>
        <w:t>目</w:t>
      </w:r>
      <w:r>
        <w:rPr>
          <w:b/>
          <w:color w:val="auto"/>
          <w:sz w:val="32"/>
          <w:highlight w:val="none"/>
        </w:rPr>
        <w:t xml:space="preserve">     </w:t>
      </w:r>
      <w:r>
        <w:rPr>
          <w:rFonts w:hAnsi="宋体"/>
          <w:b/>
          <w:color w:val="auto"/>
          <w:sz w:val="32"/>
          <w:highlight w:val="none"/>
        </w:rPr>
        <w:t>录</w:t>
      </w:r>
    </w:p>
    <w:p w14:paraId="49B08DDA">
      <w:pPr>
        <w:pStyle w:val="25"/>
        <w:rPr>
          <w:rFonts w:asciiTheme="minorHAnsi" w:hAnsiTheme="minorHAnsi" w:eastAsiaTheme="minorEastAsia" w:cstheme="minorBidi"/>
          <w:b w:val="0"/>
          <w:color w:val="auto"/>
          <w:kern w:val="2"/>
          <w:sz w:val="21"/>
          <w:szCs w:val="22"/>
          <w:highlight w:val="none"/>
          <w14:ligatures w14:val="standardContextual"/>
        </w:rPr>
      </w:pPr>
      <w:r>
        <w:rPr>
          <w:rFonts w:eastAsiaTheme="minorEastAsia"/>
          <w:color w:val="auto"/>
          <w:highlight w:val="none"/>
        </w:rPr>
        <w:fldChar w:fldCharType="begin"/>
      </w:r>
      <w:r>
        <w:rPr>
          <w:rFonts w:eastAsiaTheme="minorEastAsia"/>
          <w:color w:val="auto"/>
          <w:highlight w:val="none"/>
        </w:rPr>
        <w:instrText xml:space="preserve"> TOC \o "1-2" \h \z </w:instrText>
      </w:r>
      <w:r>
        <w:rPr>
          <w:rFonts w:eastAsiaTheme="minorEastAsia"/>
          <w:color w:val="auto"/>
          <w:highlight w:val="none"/>
        </w:rPr>
        <w:fldChar w:fldCharType="separate"/>
      </w:r>
      <w:r>
        <w:rPr>
          <w:color w:val="auto"/>
          <w:highlight w:val="none"/>
        </w:rPr>
        <w:fldChar w:fldCharType="begin"/>
      </w:r>
      <w:r>
        <w:rPr>
          <w:color w:val="auto"/>
          <w:highlight w:val="none"/>
        </w:rPr>
        <w:instrText xml:space="preserve"> HYPERLINK \l "_Toc173509305" </w:instrText>
      </w:r>
      <w:r>
        <w:rPr>
          <w:color w:val="auto"/>
          <w:highlight w:val="none"/>
        </w:rPr>
        <w:fldChar w:fldCharType="separate"/>
      </w:r>
      <w:r>
        <w:rPr>
          <w:rStyle w:val="35"/>
          <w:rFonts w:hint="eastAsia" w:hAnsi="宋体"/>
          <w:color w:val="auto"/>
          <w:highlight w:val="none"/>
        </w:rPr>
        <w:t>1</w:t>
      </w:r>
      <w:r>
        <w:rPr>
          <w:rFonts w:hint="eastAsia" w:asciiTheme="minorHAnsi" w:hAnsiTheme="minorHAnsi" w:eastAsiaTheme="minorEastAsia" w:cstheme="minorBidi"/>
          <w:b w:val="0"/>
          <w:color w:val="auto"/>
          <w:kern w:val="2"/>
          <w:sz w:val="21"/>
          <w:szCs w:val="22"/>
          <w:highlight w:val="none"/>
          <w14:ligatures w14:val="standardContextual"/>
        </w:rPr>
        <w:tab/>
      </w:r>
      <w:r>
        <w:rPr>
          <w:rStyle w:val="35"/>
          <w:rFonts w:hint="eastAsia" w:hAnsi="宋体"/>
          <w:color w:val="auto"/>
          <w:highlight w:val="none"/>
        </w:rPr>
        <w:t>总则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_Toc173509305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1</w:t>
      </w:r>
      <w:r>
        <w:rPr>
          <w:rFonts w:hint="eastAsia"/>
          <w:color w:val="auto"/>
          <w:highlight w:val="none"/>
        </w:rPr>
        <w:fldChar w:fldCharType="end"/>
      </w:r>
      <w:r>
        <w:rPr>
          <w:rFonts w:hint="eastAsia"/>
          <w:color w:val="auto"/>
          <w:highlight w:val="none"/>
        </w:rPr>
        <w:fldChar w:fldCharType="end"/>
      </w:r>
    </w:p>
    <w:p w14:paraId="23B1CA76">
      <w:pPr>
        <w:pStyle w:val="25"/>
        <w:rPr>
          <w:rFonts w:asciiTheme="minorHAnsi" w:hAnsiTheme="minorHAnsi" w:eastAsiaTheme="minorEastAsia" w:cstheme="minorBidi"/>
          <w:b w:val="0"/>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"_Toc173509314" </w:instrText>
      </w:r>
      <w:r>
        <w:rPr>
          <w:color w:val="auto"/>
          <w:highlight w:val="none"/>
        </w:rPr>
        <w:fldChar w:fldCharType="separate"/>
      </w:r>
      <w:r>
        <w:rPr>
          <w:rStyle w:val="35"/>
          <w:rFonts w:hint="eastAsia" w:hAnsi="宋体"/>
          <w:color w:val="auto"/>
          <w:highlight w:val="none"/>
        </w:rPr>
        <w:t>2</w:t>
      </w:r>
      <w:r>
        <w:rPr>
          <w:rFonts w:hint="eastAsia" w:asciiTheme="minorHAnsi" w:hAnsiTheme="minorHAnsi" w:eastAsiaTheme="minorEastAsia" w:cstheme="minorBidi"/>
          <w:b w:val="0"/>
          <w:color w:val="auto"/>
          <w:kern w:val="2"/>
          <w:sz w:val="21"/>
          <w:szCs w:val="22"/>
          <w:highlight w:val="none"/>
          <w14:ligatures w14:val="standardContextual"/>
        </w:rPr>
        <w:tab/>
      </w:r>
      <w:r>
        <w:rPr>
          <w:rStyle w:val="35"/>
          <w:rFonts w:hint="eastAsia" w:hAnsi="宋体"/>
          <w:color w:val="auto"/>
          <w:highlight w:val="none"/>
        </w:rPr>
        <w:t>标的概况</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_Toc173509314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2</w:t>
      </w:r>
      <w:r>
        <w:rPr>
          <w:rFonts w:hint="eastAsia"/>
          <w:color w:val="auto"/>
          <w:highlight w:val="none"/>
        </w:rPr>
        <w:fldChar w:fldCharType="end"/>
      </w:r>
      <w:r>
        <w:rPr>
          <w:rFonts w:hint="eastAsia"/>
          <w:color w:val="auto"/>
          <w:highlight w:val="none"/>
        </w:rPr>
        <w:fldChar w:fldCharType="end"/>
      </w:r>
    </w:p>
    <w:p w14:paraId="77523B9E">
      <w:pPr>
        <w:pStyle w:val="25"/>
        <w:rPr>
          <w:rFonts w:asciiTheme="minorHAnsi" w:hAnsiTheme="minorHAnsi" w:eastAsiaTheme="minorEastAsia" w:cstheme="minorBidi"/>
          <w:b w:val="0"/>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"_Toc173509315" </w:instrText>
      </w:r>
      <w:r>
        <w:rPr>
          <w:color w:val="auto"/>
          <w:highlight w:val="none"/>
        </w:rPr>
        <w:fldChar w:fldCharType="separate"/>
      </w:r>
      <w:r>
        <w:rPr>
          <w:rStyle w:val="35"/>
          <w:rFonts w:hint="eastAsia" w:hAnsi="宋体"/>
          <w:color w:val="auto"/>
          <w:highlight w:val="none"/>
        </w:rPr>
        <w:t>3</w:t>
      </w:r>
      <w:r>
        <w:rPr>
          <w:rFonts w:hint="eastAsia" w:asciiTheme="minorHAnsi" w:hAnsiTheme="minorHAnsi" w:eastAsiaTheme="minorEastAsia" w:cstheme="minorBidi"/>
          <w:b w:val="0"/>
          <w:color w:val="auto"/>
          <w:kern w:val="2"/>
          <w:sz w:val="21"/>
          <w:szCs w:val="22"/>
          <w:highlight w:val="none"/>
          <w14:ligatures w14:val="standardContextual"/>
        </w:rPr>
        <w:tab/>
      </w:r>
      <w:r>
        <w:rPr>
          <w:rStyle w:val="35"/>
          <w:rFonts w:hint="eastAsia" w:hAnsi="宋体"/>
          <w:color w:val="auto"/>
          <w:highlight w:val="none"/>
        </w:rPr>
        <w:t>技术服务内容及要求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_Toc173509315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2</w:t>
      </w:r>
      <w:r>
        <w:rPr>
          <w:rFonts w:hint="eastAsia"/>
          <w:color w:val="auto"/>
          <w:highlight w:val="none"/>
        </w:rPr>
        <w:fldChar w:fldCharType="end"/>
      </w:r>
      <w:r>
        <w:rPr>
          <w:rFonts w:hint="eastAsia"/>
          <w:color w:val="auto"/>
          <w:highlight w:val="none"/>
        </w:rPr>
        <w:fldChar w:fldCharType="end"/>
      </w:r>
    </w:p>
    <w:p w14:paraId="775423CF">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"_Toc173509316" </w:instrText>
      </w:r>
      <w:r>
        <w:rPr>
          <w:color w:val="auto"/>
          <w:highlight w:val="none"/>
        </w:rPr>
        <w:fldChar w:fldCharType="separate"/>
      </w:r>
      <w:r>
        <w:rPr>
          <w:rStyle w:val="35"/>
          <w:rFonts w:hint="eastAsia"/>
          <w:color w:val="auto"/>
          <w:highlight w:val="none"/>
        </w:rPr>
        <w:t>3.1</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项目目标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_Toc173509316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2</w:t>
      </w:r>
      <w:r>
        <w:rPr>
          <w:rFonts w:hint="eastAsia"/>
          <w:color w:val="auto"/>
          <w:highlight w:val="none"/>
        </w:rPr>
        <w:fldChar w:fldCharType="end"/>
      </w:r>
      <w:r>
        <w:rPr>
          <w:rFonts w:hint="eastAsia"/>
          <w:color w:val="auto"/>
          <w:highlight w:val="none"/>
        </w:rPr>
        <w:fldChar w:fldCharType="end"/>
      </w:r>
    </w:p>
    <w:p w14:paraId="64C504EB">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"_Toc173509317" </w:instrText>
      </w:r>
      <w:r>
        <w:rPr>
          <w:color w:val="auto"/>
          <w:highlight w:val="none"/>
        </w:rPr>
        <w:fldChar w:fldCharType="separate"/>
      </w:r>
      <w:r>
        <w:rPr>
          <w:rStyle w:val="35"/>
          <w:rFonts w:hint="eastAsia"/>
          <w:color w:val="auto"/>
          <w:highlight w:val="none"/>
        </w:rPr>
        <w:t>3.2</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服务内容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_Toc173509317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2</w:t>
      </w:r>
      <w:r>
        <w:rPr>
          <w:rFonts w:hint="eastAsia"/>
          <w:color w:val="auto"/>
          <w:highlight w:val="none"/>
        </w:rPr>
        <w:fldChar w:fldCharType="end"/>
      </w:r>
      <w:r>
        <w:rPr>
          <w:rFonts w:hint="eastAsia"/>
          <w:color w:val="auto"/>
          <w:highlight w:val="none"/>
        </w:rPr>
        <w:fldChar w:fldCharType="end"/>
      </w:r>
    </w:p>
    <w:p w14:paraId="566B0684">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"_Toc173509318" </w:instrText>
      </w:r>
      <w:r>
        <w:rPr>
          <w:color w:val="auto"/>
          <w:highlight w:val="none"/>
        </w:rPr>
        <w:fldChar w:fldCharType="separate"/>
      </w:r>
      <w:r>
        <w:rPr>
          <w:rStyle w:val="35"/>
          <w:rFonts w:hint="eastAsia"/>
          <w:color w:val="auto"/>
          <w:highlight w:val="none"/>
        </w:rPr>
        <w:t>3.3</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进度要求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_Toc173509318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4</w:t>
      </w:r>
      <w:r>
        <w:rPr>
          <w:rFonts w:hint="eastAsia"/>
          <w:color w:val="auto"/>
          <w:highlight w:val="none"/>
        </w:rPr>
        <w:fldChar w:fldCharType="end"/>
      </w:r>
      <w:r>
        <w:rPr>
          <w:rFonts w:hint="eastAsia"/>
          <w:color w:val="auto"/>
          <w:highlight w:val="none"/>
        </w:rPr>
        <w:fldChar w:fldCharType="end"/>
      </w:r>
    </w:p>
    <w:p w14:paraId="22F228A9">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"_Toc173509319" </w:instrText>
      </w:r>
      <w:r>
        <w:rPr>
          <w:color w:val="auto"/>
          <w:highlight w:val="none"/>
        </w:rPr>
        <w:fldChar w:fldCharType="separate"/>
      </w:r>
      <w:r>
        <w:rPr>
          <w:rStyle w:val="35"/>
          <w:rFonts w:hint="eastAsia"/>
          <w:color w:val="auto"/>
          <w:highlight w:val="none"/>
        </w:rPr>
        <w:t>3.4</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测试指标定义</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_Toc173509319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4</w:t>
      </w:r>
      <w:r>
        <w:rPr>
          <w:rFonts w:hint="eastAsia"/>
          <w:color w:val="auto"/>
          <w:highlight w:val="none"/>
        </w:rPr>
        <w:fldChar w:fldCharType="end"/>
      </w:r>
      <w:r>
        <w:rPr>
          <w:rFonts w:hint="eastAsia"/>
          <w:color w:val="auto"/>
          <w:highlight w:val="none"/>
        </w:rPr>
        <w:fldChar w:fldCharType="end"/>
      </w:r>
    </w:p>
    <w:p w14:paraId="216D380C">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"_Toc173509320" </w:instrText>
      </w:r>
      <w:r>
        <w:rPr>
          <w:color w:val="auto"/>
          <w:highlight w:val="none"/>
        </w:rPr>
        <w:fldChar w:fldCharType="separate"/>
      </w:r>
      <w:r>
        <w:rPr>
          <w:rStyle w:val="35"/>
          <w:rFonts w:hint="eastAsia"/>
          <w:color w:val="auto"/>
          <w:highlight w:val="none"/>
        </w:rPr>
        <w:t>3.5</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测试依据</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_Toc173509320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5</w:t>
      </w:r>
      <w:r>
        <w:rPr>
          <w:rFonts w:hint="eastAsia"/>
          <w:color w:val="auto"/>
          <w:highlight w:val="none"/>
        </w:rPr>
        <w:fldChar w:fldCharType="end"/>
      </w:r>
      <w:r>
        <w:rPr>
          <w:rFonts w:hint="eastAsia"/>
          <w:color w:val="auto"/>
          <w:highlight w:val="none"/>
        </w:rPr>
        <w:fldChar w:fldCharType="end"/>
      </w:r>
    </w:p>
    <w:p w14:paraId="2C1D9479">
      <w:pPr>
        <w:pStyle w:val="25"/>
        <w:rPr>
          <w:rFonts w:asciiTheme="minorHAnsi" w:hAnsiTheme="minorHAnsi" w:eastAsiaTheme="minorEastAsia" w:cstheme="minorBidi"/>
          <w:b w:val="0"/>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"_Toc173509321" </w:instrText>
      </w:r>
      <w:r>
        <w:rPr>
          <w:color w:val="auto"/>
          <w:highlight w:val="none"/>
        </w:rPr>
        <w:fldChar w:fldCharType="separate"/>
      </w:r>
      <w:r>
        <w:rPr>
          <w:rStyle w:val="35"/>
          <w:rFonts w:hint="eastAsia"/>
          <w:color w:val="auto"/>
          <w:highlight w:val="none"/>
        </w:rPr>
        <w:t>4</w:t>
      </w:r>
      <w:r>
        <w:rPr>
          <w:rFonts w:hint="eastAsia" w:asciiTheme="minorHAnsi" w:hAnsiTheme="minorHAnsi" w:eastAsiaTheme="minorEastAsia" w:cstheme="minorBidi"/>
          <w:b w:val="0"/>
          <w:color w:val="auto"/>
          <w:kern w:val="2"/>
          <w:sz w:val="21"/>
          <w:szCs w:val="22"/>
          <w:highlight w:val="none"/>
          <w14:ligatures w14:val="standardContextual"/>
        </w:rPr>
        <w:tab/>
      </w:r>
      <w:r>
        <w:rPr>
          <w:rStyle w:val="35"/>
          <w:rFonts w:hint="eastAsia" w:hAnsi="宋体"/>
          <w:color w:val="auto"/>
          <w:highlight w:val="none"/>
        </w:rPr>
        <w:t>交付项及验收要求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_Toc173509321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5</w:t>
      </w:r>
      <w:r>
        <w:rPr>
          <w:rFonts w:hint="eastAsia"/>
          <w:color w:val="auto"/>
          <w:highlight w:val="none"/>
        </w:rPr>
        <w:fldChar w:fldCharType="end"/>
      </w:r>
      <w:r>
        <w:rPr>
          <w:rFonts w:hint="eastAsia"/>
          <w:color w:val="auto"/>
          <w:highlight w:val="none"/>
        </w:rPr>
        <w:fldChar w:fldCharType="end"/>
      </w:r>
    </w:p>
    <w:p w14:paraId="7B1B425E">
      <w:pPr>
        <w:pStyle w:val="25"/>
        <w:rPr>
          <w:rFonts w:asciiTheme="minorHAnsi" w:hAnsiTheme="minorHAnsi" w:eastAsiaTheme="minorEastAsia" w:cstheme="minorBidi"/>
          <w:b w:val="0"/>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"_Toc173509322" </w:instrText>
      </w:r>
      <w:r>
        <w:rPr>
          <w:color w:val="auto"/>
          <w:highlight w:val="none"/>
        </w:rPr>
        <w:fldChar w:fldCharType="separate"/>
      </w:r>
      <w:r>
        <w:rPr>
          <w:rStyle w:val="35"/>
          <w:rFonts w:hint="eastAsia" w:hAnsi="宋体"/>
          <w:color w:val="auto"/>
          <w:highlight w:val="none"/>
        </w:rPr>
        <w:t>5</w:t>
      </w:r>
      <w:r>
        <w:rPr>
          <w:rFonts w:hint="eastAsia" w:asciiTheme="minorHAnsi" w:hAnsiTheme="minorHAnsi" w:eastAsiaTheme="minorEastAsia" w:cstheme="minorBidi"/>
          <w:b w:val="0"/>
          <w:color w:val="auto"/>
          <w:kern w:val="2"/>
          <w:sz w:val="21"/>
          <w:szCs w:val="22"/>
          <w:highlight w:val="none"/>
          <w14:ligatures w14:val="standardContextual"/>
        </w:rPr>
        <w:tab/>
      </w:r>
      <w:r>
        <w:rPr>
          <w:rStyle w:val="35"/>
          <w:rFonts w:hint="eastAsia" w:hAnsi="宋体"/>
          <w:color w:val="auto"/>
          <w:highlight w:val="none"/>
        </w:rPr>
        <w:t>保密与质保要求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_Toc173509322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5</w:t>
      </w:r>
      <w:r>
        <w:rPr>
          <w:rFonts w:hint="eastAsia"/>
          <w:color w:val="auto"/>
          <w:highlight w:val="none"/>
        </w:rPr>
        <w:fldChar w:fldCharType="end"/>
      </w:r>
      <w:r>
        <w:rPr>
          <w:rFonts w:hint="eastAsia"/>
          <w:color w:val="auto"/>
          <w:highlight w:val="none"/>
        </w:rPr>
        <w:fldChar w:fldCharType="end"/>
      </w:r>
    </w:p>
    <w:p w14:paraId="0F237647">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"_Toc173509323" </w:instrText>
      </w:r>
      <w:r>
        <w:rPr>
          <w:color w:val="auto"/>
          <w:highlight w:val="none"/>
        </w:rPr>
        <w:fldChar w:fldCharType="separate"/>
      </w:r>
      <w:r>
        <w:rPr>
          <w:rStyle w:val="35"/>
          <w:rFonts w:hint="eastAsia"/>
          <w:color w:val="auto"/>
          <w:highlight w:val="none"/>
        </w:rPr>
        <w:t>5.1</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保密要求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_Toc173509323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5</w:t>
      </w:r>
      <w:r>
        <w:rPr>
          <w:rFonts w:hint="eastAsia"/>
          <w:color w:val="auto"/>
          <w:highlight w:val="none"/>
        </w:rPr>
        <w:fldChar w:fldCharType="end"/>
      </w:r>
      <w:r>
        <w:rPr>
          <w:rFonts w:hint="eastAsia"/>
          <w:color w:val="auto"/>
          <w:highlight w:val="none"/>
        </w:rPr>
        <w:fldChar w:fldCharType="end"/>
      </w:r>
    </w:p>
    <w:p w14:paraId="6E4D1443">
      <w:pPr>
        <w:pStyle w:val="27"/>
        <w:rPr>
          <w:rFonts w:asciiTheme="minorHAnsi" w:hAnsiTheme="minorHAnsi" w:eastAsiaTheme="minorEastAsia" w:cstheme="minorBidi"/>
          <w:color w:val="auto"/>
          <w:kern w:val="2"/>
          <w:sz w:val="21"/>
          <w:szCs w:val="22"/>
          <w:highlight w:val="none"/>
          <w14:ligatures w14:val="standardContextual"/>
        </w:rPr>
      </w:pPr>
      <w:r>
        <w:rPr>
          <w:color w:val="auto"/>
          <w:highlight w:val="none"/>
        </w:rPr>
        <w:fldChar w:fldCharType="begin"/>
      </w:r>
      <w:r>
        <w:rPr>
          <w:color w:val="auto"/>
          <w:highlight w:val="none"/>
        </w:rPr>
        <w:instrText xml:space="preserve"> HYPERLINK \l "_Toc173509324" </w:instrText>
      </w:r>
      <w:r>
        <w:rPr>
          <w:color w:val="auto"/>
          <w:highlight w:val="none"/>
        </w:rPr>
        <w:fldChar w:fldCharType="separate"/>
      </w:r>
      <w:r>
        <w:rPr>
          <w:rStyle w:val="35"/>
          <w:rFonts w:hint="eastAsia"/>
          <w:color w:val="auto"/>
          <w:highlight w:val="none"/>
        </w:rPr>
        <w:t>5.2</w:t>
      </w:r>
      <w:r>
        <w:rPr>
          <w:rFonts w:hint="eastAsia" w:asciiTheme="minorHAnsi" w:hAnsiTheme="minorHAnsi" w:eastAsiaTheme="minorEastAsia" w:cstheme="minorBidi"/>
          <w:color w:val="auto"/>
          <w:kern w:val="2"/>
          <w:sz w:val="21"/>
          <w:szCs w:val="22"/>
          <w:highlight w:val="none"/>
          <w14:ligatures w14:val="standardContextual"/>
        </w:rPr>
        <w:tab/>
      </w:r>
      <w:r>
        <w:rPr>
          <w:rStyle w:val="35"/>
          <w:rFonts w:hint="eastAsia"/>
          <w:color w:val="auto"/>
          <w:highlight w:val="none"/>
        </w:rPr>
        <w:t>服务质量保证要求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_Toc173509324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6</w:t>
      </w:r>
      <w:r>
        <w:rPr>
          <w:rFonts w:hint="eastAsia"/>
          <w:color w:val="auto"/>
          <w:highlight w:val="none"/>
        </w:rPr>
        <w:fldChar w:fldCharType="end"/>
      </w:r>
      <w:r>
        <w:rPr>
          <w:rFonts w:hint="eastAsia"/>
          <w:color w:val="auto"/>
          <w:highlight w:val="none"/>
        </w:rPr>
        <w:fldChar w:fldCharType="end"/>
      </w:r>
    </w:p>
    <w:p w14:paraId="7B0BAB03">
      <w:pPr>
        <w:pStyle w:val="25"/>
        <w:spacing w:beforeAutospacing="0" w:afterAutospacing="0" w:line="360" w:lineRule="auto"/>
        <w:rPr>
          <w:rStyle w:val="35"/>
          <w:color w:val="auto"/>
          <w:highlight w:val="none"/>
        </w:rPr>
        <w:sectPr>
          <w:headerReference r:id="rId5" w:type="default"/>
          <w:footerReference r:id="rId6" w:type="default"/>
          <w:footerReference r:id="rId7" w:type="even"/>
          <w:pgSz w:w="11907" w:h="16840"/>
          <w:pgMar w:top="1418" w:right="1134" w:bottom="1134" w:left="1418" w:header="851" w:footer="1134" w:gutter="0"/>
          <w:pgNumType w:start="1"/>
          <w:cols w:space="720" w:num="1"/>
          <w:docGrid w:linePitch="326" w:charSpace="0"/>
        </w:sectPr>
      </w:pPr>
      <w:r>
        <w:rPr>
          <w:rFonts w:eastAsiaTheme="minorEastAsia"/>
          <w:color w:val="auto"/>
          <w:highlight w:val="none"/>
        </w:rPr>
        <w:fldChar w:fldCharType="end"/>
      </w:r>
    </w:p>
    <w:p w14:paraId="5F8DEE0A">
      <w:pPr>
        <w:pStyle w:val="4"/>
        <w:tabs>
          <w:tab w:val="left" w:pos="426"/>
          <w:tab w:val="clear" w:pos="432"/>
        </w:tabs>
        <w:spacing w:before="120" w:beforeLines="50" w:after="120" w:afterLines="50" w:line="360" w:lineRule="auto"/>
        <w:ind w:left="426" w:hanging="437"/>
        <w:rPr>
          <w:rFonts w:hint="eastAsia" w:hAnsi="宋体"/>
          <w:color w:val="auto"/>
          <w:highlight w:val="none"/>
        </w:rPr>
      </w:pPr>
      <w:bookmarkStart w:id="0" w:name="_Toc173509305"/>
      <w:r>
        <w:rPr>
          <w:rFonts w:hint="eastAsia" w:hAnsi="宋体"/>
          <w:color w:val="auto"/>
          <w:highlight w:val="none"/>
        </w:rPr>
        <w:t>总则</w:t>
      </w:r>
      <w:bookmarkEnd w:id="0"/>
    </w:p>
    <w:p w14:paraId="5F7A36F0">
      <w:pPr>
        <w:pStyle w:val="5"/>
        <w:rPr>
          <w:b w:val="0"/>
          <w:bCs/>
          <w:color w:val="auto"/>
          <w:highlight w:val="none"/>
        </w:rPr>
      </w:pPr>
      <w:bookmarkStart w:id="1" w:name="_Toc173509306"/>
      <w:bookmarkStart w:id="2" w:name="_Toc173425159"/>
      <w:r>
        <w:rPr>
          <w:rFonts w:hint="eastAsia"/>
          <w:b w:val="0"/>
          <w:bCs/>
          <w:color w:val="auto"/>
          <w:highlight w:val="none"/>
        </w:rPr>
        <w:t>本技术规范书所描述</w:t>
      </w:r>
      <w:r>
        <w:rPr>
          <w:rFonts w:hint="eastAsia" w:ascii="Times New Roman" w:hAnsi="Times New Roman" w:eastAsia="宋体" w:cs="Times New Roman"/>
          <w:b w:val="0"/>
          <w:bCs/>
          <w:color w:val="auto"/>
          <w:highlight w:val="none"/>
        </w:rPr>
        <w:t>“</w:t>
      </w:r>
      <w:r>
        <w:rPr>
          <w:rFonts w:hint="eastAsia" w:ascii="Times New Roman" w:hAnsi="Times New Roman" w:eastAsia="宋体" w:cs="Times New Roman"/>
          <w:b w:val="0"/>
          <w:bCs/>
          <w:color w:val="auto"/>
          <w:highlight w:val="none"/>
          <w:lang w:val="en-US" w:eastAsia="zh-CN"/>
        </w:rPr>
        <w:t>面向新型电力系统的硬隔离配电网光通信装置开发及其用于配网差动保护的网络技术研究网管软件测试服务</w:t>
      </w:r>
      <w:r>
        <w:rPr>
          <w:rFonts w:hint="eastAsia" w:ascii="Times New Roman" w:hAnsi="Times New Roman" w:eastAsia="宋体" w:cs="Times New Roman"/>
          <w:b w:val="0"/>
          <w:bCs/>
          <w:color w:val="auto"/>
          <w:highlight w:val="none"/>
        </w:rPr>
        <w:t>”</w:t>
      </w:r>
      <w:r>
        <w:rPr>
          <w:rFonts w:hint="eastAsia"/>
          <w:b w:val="0"/>
          <w:bCs/>
          <w:color w:val="auto"/>
          <w:highlight w:val="none"/>
        </w:rPr>
        <w:t>的内容、深度需求仅供投标方编制投标文件之用。投标方可以提出不同的建议方案，但是建议方案必须满足但不限于本技术规范书所阐述的全部报告功能要求。</w:t>
      </w:r>
      <w:bookmarkEnd w:id="1"/>
      <w:bookmarkEnd w:id="2"/>
    </w:p>
    <w:p w14:paraId="33A90266">
      <w:pPr>
        <w:pStyle w:val="5"/>
        <w:rPr>
          <w:b w:val="0"/>
          <w:bCs/>
          <w:color w:val="auto"/>
          <w:highlight w:val="none"/>
        </w:rPr>
      </w:pPr>
      <w:bookmarkStart w:id="3" w:name="_Toc173425160"/>
      <w:bookmarkStart w:id="4" w:name="_Toc173509307"/>
      <w:r>
        <w:rPr>
          <w:rFonts w:hint="eastAsia"/>
          <w:b w:val="0"/>
          <w:bCs/>
          <w:color w:val="auto"/>
          <w:highlight w:val="none"/>
        </w:rPr>
        <w:t>本技术规范书所描述“</w:t>
      </w:r>
      <w:r>
        <w:rPr>
          <w:rFonts w:hint="eastAsia" w:ascii="Times New Roman" w:hAnsi="Times New Roman" w:eastAsia="宋体" w:cs="Times New Roman"/>
          <w:b w:val="0"/>
          <w:bCs/>
          <w:color w:val="auto"/>
          <w:highlight w:val="none"/>
          <w:lang w:val="en-US" w:eastAsia="zh-CN"/>
        </w:rPr>
        <w:t>面向新型电力系统的硬隔离配电网光通信装置开发及其用于配网差动保护的网络技术研究网管软件测试服务</w:t>
      </w:r>
      <w:r>
        <w:rPr>
          <w:rFonts w:hint="eastAsia"/>
          <w:b w:val="0"/>
          <w:bCs/>
          <w:color w:val="auto"/>
          <w:highlight w:val="none"/>
        </w:rPr>
        <w:t>”的内容、深度需求仅供投标方编制投标文件之用。投标方可以提出不同的建议方案，但是建议方案必须满足但不限于本技术规范书所阐述的全部报告功能要求。</w:t>
      </w:r>
      <w:bookmarkEnd w:id="3"/>
      <w:bookmarkEnd w:id="4"/>
    </w:p>
    <w:p w14:paraId="3F00E018">
      <w:pPr>
        <w:pStyle w:val="5"/>
        <w:rPr>
          <w:b w:val="0"/>
          <w:bCs/>
          <w:color w:val="auto"/>
          <w:highlight w:val="none"/>
        </w:rPr>
      </w:pPr>
      <w:bookmarkStart w:id="5" w:name="_Toc173509308"/>
      <w:bookmarkStart w:id="6" w:name="_Toc173425161"/>
      <w:r>
        <w:rPr>
          <w:rFonts w:hint="eastAsia"/>
          <w:b w:val="0"/>
          <w:bCs/>
          <w:color w:val="auto"/>
          <w:highlight w:val="none"/>
        </w:rPr>
        <w:t>本技术规范书仅提出需求目标及最低限度技术要求，并未对一切技术细节作出规定，也未充分引述有关标准和技术条文，投标方应根据需求目标进一步细化和深入。</w:t>
      </w:r>
      <w:bookmarkEnd w:id="5"/>
      <w:bookmarkEnd w:id="6"/>
    </w:p>
    <w:p w14:paraId="5F39EAFF">
      <w:pPr>
        <w:pStyle w:val="5"/>
        <w:rPr>
          <w:b w:val="0"/>
          <w:bCs/>
          <w:color w:val="auto"/>
          <w:highlight w:val="none"/>
        </w:rPr>
      </w:pPr>
      <w:bookmarkStart w:id="7" w:name="_Toc173509309"/>
      <w:bookmarkStart w:id="8" w:name="_Toc173425162"/>
      <w:r>
        <w:rPr>
          <w:b w:val="0"/>
          <w:bCs/>
          <w:color w:val="auto"/>
          <w:highlight w:val="none"/>
        </w:rPr>
        <w:t>投标方应仔细阅读招标文件。投标方可以推荐满足本技术规范书要求的类似</w:t>
      </w:r>
      <w:r>
        <w:rPr>
          <w:rFonts w:hint="eastAsia"/>
          <w:b w:val="0"/>
          <w:bCs/>
          <w:color w:val="auto"/>
          <w:highlight w:val="none"/>
        </w:rPr>
        <w:t>技术方案</w:t>
      </w:r>
      <w:r>
        <w:rPr>
          <w:b w:val="0"/>
          <w:bCs/>
          <w:color w:val="auto"/>
          <w:highlight w:val="none"/>
        </w:rPr>
        <w:t>，但必须提出详细的技术偏差。如果投标方没有以书面形式对本技术规范书的条文提出异议，则意味着投标方</w:t>
      </w:r>
      <w:r>
        <w:rPr>
          <w:rFonts w:hint="eastAsia"/>
          <w:b w:val="0"/>
          <w:bCs/>
          <w:color w:val="auto"/>
          <w:highlight w:val="none"/>
        </w:rPr>
        <w:t>项目</w:t>
      </w:r>
      <w:r>
        <w:rPr>
          <w:b w:val="0"/>
          <w:bCs/>
          <w:color w:val="auto"/>
          <w:highlight w:val="none"/>
        </w:rPr>
        <w:t>成果可以完全符合本技术规范书的要求。如有异议，应在投标书中</w:t>
      </w:r>
      <w:r>
        <w:rPr>
          <w:rFonts w:hint="eastAsia"/>
          <w:b w:val="0"/>
          <w:bCs/>
          <w:color w:val="auto"/>
          <w:highlight w:val="none"/>
        </w:rPr>
        <w:t>对技术偏差</w:t>
      </w:r>
      <w:r>
        <w:rPr>
          <w:b w:val="0"/>
          <w:bCs/>
          <w:color w:val="auto"/>
          <w:highlight w:val="none"/>
        </w:rPr>
        <w:t>加以详细描述。</w:t>
      </w:r>
      <w:bookmarkEnd w:id="7"/>
      <w:bookmarkEnd w:id="8"/>
    </w:p>
    <w:p w14:paraId="123B4D5B">
      <w:pPr>
        <w:pStyle w:val="5"/>
        <w:rPr>
          <w:b w:val="0"/>
          <w:bCs/>
          <w:color w:val="auto"/>
          <w:highlight w:val="none"/>
        </w:rPr>
      </w:pPr>
      <w:bookmarkStart w:id="9" w:name="_Toc173509310"/>
      <w:bookmarkStart w:id="10" w:name="_Toc173425163"/>
      <w:r>
        <w:rPr>
          <w:b w:val="0"/>
          <w:bCs/>
          <w:color w:val="auto"/>
          <w:highlight w:val="none"/>
        </w:rPr>
        <w:t>投标文件应在不泄露投标方的技术机密、知识产权的前提下尽可能地描述</w:t>
      </w:r>
      <w:r>
        <w:rPr>
          <w:rFonts w:hint="eastAsia"/>
          <w:b w:val="0"/>
          <w:bCs/>
          <w:color w:val="auto"/>
          <w:highlight w:val="none"/>
        </w:rPr>
        <w:t>项目实施技术路线</w:t>
      </w:r>
      <w:r>
        <w:rPr>
          <w:b w:val="0"/>
          <w:bCs/>
          <w:color w:val="auto"/>
          <w:highlight w:val="none"/>
        </w:rPr>
        <w:t>。招标方及其评标专家和最终用户不承担投标文件技术保密义务。</w:t>
      </w:r>
      <w:bookmarkEnd w:id="9"/>
      <w:bookmarkEnd w:id="10"/>
    </w:p>
    <w:p w14:paraId="5DEABF9C">
      <w:pPr>
        <w:pStyle w:val="5"/>
        <w:rPr>
          <w:b w:val="0"/>
          <w:bCs/>
          <w:color w:val="auto"/>
          <w:highlight w:val="none"/>
        </w:rPr>
      </w:pPr>
      <w:bookmarkStart w:id="11" w:name="_Toc173509311"/>
      <w:bookmarkStart w:id="12" w:name="_Toc173425164"/>
      <w:r>
        <w:rPr>
          <w:rFonts w:hint="eastAsia"/>
          <w:b w:val="0"/>
          <w:bCs/>
          <w:color w:val="auto"/>
          <w:highlight w:val="none"/>
        </w:rPr>
        <w:t>投标技术文件要求文字精练、数据准确、表述及图示清晰明确，具有针对性。</w:t>
      </w:r>
      <w:bookmarkEnd w:id="11"/>
      <w:bookmarkEnd w:id="12"/>
    </w:p>
    <w:p w14:paraId="7B4FF13B">
      <w:pPr>
        <w:pStyle w:val="5"/>
        <w:rPr>
          <w:b w:val="0"/>
          <w:bCs/>
          <w:color w:val="auto"/>
          <w:highlight w:val="none"/>
        </w:rPr>
      </w:pPr>
      <w:bookmarkStart w:id="13" w:name="_Toc173425165"/>
      <w:bookmarkStart w:id="14" w:name="_Toc173509312"/>
      <w:r>
        <w:rPr>
          <w:rFonts w:hint="eastAsia"/>
          <w:b w:val="0"/>
          <w:bCs/>
          <w:color w:val="auto"/>
          <w:highlight w:val="none"/>
        </w:rPr>
        <w:t>投标方不得将本技术规范书中的任何内容透露给第三方，必须对本项目的设计文件以及由招标方提供的所有内部资料、技术文档和其他相关信息予以保密。</w:t>
      </w:r>
      <w:bookmarkEnd w:id="13"/>
      <w:bookmarkEnd w:id="14"/>
    </w:p>
    <w:p w14:paraId="5C8D8D83">
      <w:pPr>
        <w:pStyle w:val="5"/>
        <w:rPr>
          <w:b w:val="0"/>
          <w:bCs/>
          <w:color w:val="auto"/>
          <w:highlight w:val="none"/>
        </w:rPr>
      </w:pPr>
      <w:bookmarkStart w:id="15" w:name="_Toc173509313"/>
      <w:bookmarkStart w:id="16" w:name="_Toc173425166"/>
      <w:r>
        <w:rPr>
          <w:b w:val="0"/>
          <w:bCs/>
          <w:color w:val="auto"/>
          <w:highlight w:val="none"/>
        </w:rPr>
        <w:t>本技术规范书未尽事宜，由招标方和投标方在合同技术谈判时双方协商确定。</w:t>
      </w:r>
      <w:bookmarkEnd w:id="15"/>
      <w:bookmarkEnd w:id="16"/>
    </w:p>
    <w:p w14:paraId="0D0D32A7">
      <w:pPr>
        <w:widowControl/>
        <w:adjustRightInd/>
        <w:spacing w:line="240" w:lineRule="auto"/>
        <w:textAlignment w:val="auto"/>
        <w:rPr>
          <w:bCs/>
          <w:color w:val="auto"/>
          <w:szCs w:val="24"/>
          <w:highlight w:val="none"/>
        </w:rPr>
      </w:pPr>
      <w:r>
        <w:rPr>
          <w:b/>
          <w:bCs/>
          <w:color w:val="auto"/>
          <w:highlight w:val="none"/>
        </w:rPr>
        <w:br w:type="page"/>
      </w:r>
    </w:p>
    <w:p w14:paraId="706E455F">
      <w:pPr>
        <w:pStyle w:val="4"/>
        <w:tabs>
          <w:tab w:val="left" w:pos="426"/>
          <w:tab w:val="clear" w:pos="432"/>
        </w:tabs>
        <w:spacing w:before="120" w:beforeLines="50" w:after="120" w:afterLines="50" w:line="360" w:lineRule="auto"/>
        <w:ind w:left="426" w:hanging="437"/>
        <w:rPr>
          <w:rFonts w:hint="eastAsia" w:hAnsi="宋体"/>
          <w:color w:val="auto"/>
          <w:highlight w:val="none"/>
        </w:rPr>
      </w:pPr>
      <w:bookmarkStart w:id="17" w:name="_Toc173509314"/>
      <w:bookmarkStart w:id="18" w:name="_Toc28532"/>
      <w:bookmarkStart w:id="19" w:name="_Toc28935"/>
      <w:r>
        <w:rPr>
          <w:rFonts w:hint="eastAsia" w:hAnsi="宋体"/>
          <w:color w:val="auto"/>
          <w:highlight w:val="none"/>
        </w:rPr>
        <w:t>标的</w:t>
      </w:r>
      <w:r>
        <w:rPr>
          <w:rFonts w:hAnsi="宋体"/>
          <w:color w:val="auto"/>
          <w:highlight w:val="none"/>
        </w:rPr>
        <w:t>概况</w:t>
      </w:r>
      <w:bookmarkEnd w:id="17"/>
      <w:bookmarkEnd w:id="18"/>
    </w:p>
    <w:p w14:paraId="7CB90D15">
      <w:pPr>
        <w:snapToGrid w:val="0"/>
        <w:spacing w:line="360" w:lineRule="auto"/>
        <w:ind w:firstLine="480" w:firstLineChars="200"/>
        <w:jc w:val="both"/>
        <w:rPr>
          <w:rFonts w:hint="eastAsia" w:ascii="Times New Roman" w:hAnsi="Times New Roman" w:eastAsia="宋体" w:cs="Times New Roman"/>
          <w:sz w:val="24"/>
        </w:rPr>
      </w:pPr>
      <w:bookmarkStart w:id="20" w:name="OLE_LINK5"/>
      <w:bookmarkStart w:id="21" w:name="OLE_LINK4"/>
      <w:r>
        <w:rPr>
          <w:rFonts w:hint="eastAsia" w:ascii="Times New Roman" w:hAnsi="Times New Roman" w:eastAsia="宋体" w:cs="Times New Roman"/>
          <w:sz w:val="24"/>
          <w:lang w:val="en-US" w:eastAsia="zh-CN"/>
        </w:rPr>
        <w:t>面向新型电力系统的硬隔离配电网光通信装置开发及其用于配网差动保护的网络技术研究项目</w:t>
      </w:r>
      <w:r>
        <w:rPr>
          <w:rFonts w:hint="eastAsia" w:ascii="Times New Roman" w:hAnsi="Times New Roman" w:eastAsia="宋体" w:cs="Times New Roman"/>
          <w:sz w:val="24"/>
        </w:rPr>
        <w:t>围绕新型电力系统</w:t>
      </w:r>
      <w:r>
        <w:rPr>
          <w:rFonts w:hint="eastAsia" w:ascii="Times New Roman" w:hAnsi="Times New Roman" w:eastAsia="宋体" w:cs="Times New Roman"/>
          <w:sz w:val="24"/>
          <w:lang w:val="en-US" w:eastAsia="zh-CN"/>
        </w:rPr>
        <w:t>配电网</w:t>
      </w:r>
      <w:r>
        <w:rPr>
          <w:rFonts w:hint="eastAsia"/>
          <w:sz w:val="24"/>
          <w:lang w:val="en-US" w:eastAsia="zh-CN"/>
        </w:rPr>
        <w:t>建设需求</w:t>
      </w:r>
      <w:r>
        <w:rPr>
          <w:rFonts w:hint="eastAsia"/>
          <w:sz w:val="24"/>
        </w:rPr>
        <w:t>，</w:t>
      </w:r>
      <w:r>
        <w:rPr>
          <w:rFonts w:hint="eastAsia"/>
          <w:sz w:val="24"/>
          <w:lang w:val="en-US" w:eastAsia="zh-CN"/>
        </w:rPr>
        <w:t>通过对</w:t>
      </w:r>
      <w:r>
        <w:rPr>
          <w:rFonts w:hint="eastAsia"/>
          <w:sz w:val="24"/>
        </w:rPr>
        <w:t>配网光通信硬切片隔离技术</w:t>
      </w:r>
      <w:r>
        <w:rPr>
          <w:rFonts w:hint="eastAsia"/>
          <w:sz w:val="24"/>
          <w:lang w:eastAsia="zh-CN"/>
        </w:rPr>
        <w:t>、</w:t>
      </w:r>
      <w:r>
        <w:rPr>
          <w:rFonts w:hint="eastAsia" w:ascii="Times New Roman" w:hAnsi="Times New Roman" w:eastAsia="宋体" w:cs="Times New Roman"/>
          <w:sz w:val="24"/>
        </w:rPr>
        <w:t>适应配电网差动保护业务的硬隔离配电网光通信网络技术</w:t>
      </w:r>
      <w:r>
        <w:rPr>
          <w:rFonts w:hint="eastAsia" w:ascii="Times New Roman" w:hAnsi="Times New Roman" w:eastAsia="宋体" w:cs="Times New Roman"/>
          <w:sz w:val="24"/>
          <w:lang w:val="en-US" w:eastAsia="zh-CN"/>
        </w:rPr>
        <w:t>以及</w:t>
      </w:r>
      <w:r>
        <w:rPr>
          <w:rFonts w:hint="eastAsia" w:ascii="Times New Roman" w:hAnsi="Times New Roman" w:eastAsia="宋体" w:cs="Times New Roman"/>
          <w:sz w:val="24"/>
        </w:rPr>
        <w:t>配电光通信网络数字化运维</w:t>
      </w:r>
      <w:r>
        <w:rPr>
          <w:rFonts w:hint="eastAsia" w:ascii="Times New Roman" w:hAnsi="Times New Roman" w:eastAsia="宋体" w:cs="Times New Roman"/>
          <w:sz w:val="24"/>
          <w:lang w:val="en-US" w:eastAsia="zh-CN"/>
        </w:rPr>
        <w:t>技术研究，研制并交付</w:t>
      </w:r>
      <w:r>
        <w:rPr>
          <w:rFonts w:hint="eastAsia" w:ascii="Times New Roman" w:hAnsi="Times New Roman" w:eastAsia="宋体" w:cs="Times New Roman"/>
          <w:sz w:val="24"/>
        </w:rPr>
        <w:t>具备硬隔离切片能力</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适配多业务承载</w:t>
      </w:r>
      <w:r>
        <w:rPr>
          <w:rFonts w:hint="eastAsia" w:ascii="Times New Roman" w:hAnsi="Times New Roman" w:eastAsia="宋体" w:cs="Times New Roman"/>
          <w:sz w:val="24"/>
        </w:rPr>
        <w:t>的</w:t>
      </w:r>
      <w:r>
        <w:rPr>
          <w:rFonts w:hint="eastAsia" w:ascii="Times New Roman" w:hAnsi="Times New Roman" w:eastAsia="宋体" w:cs="Times New Roman"/>
          <w:sz w:val="24"/>
          <w:lang w:val="en-US" w:eastAsia="zh-CN"/>
        </w:rPr>
        <w:t>硬隔离配电网光通信设备及其网管。</w:t>
      </w:r>
    </w:p>
    <w:p w14:paraId="76F37EDA">
      <w:pPr>
        <w:snapToGrid w:val="0"/>
        <w:spacing w:line="360" w:lineRule="auto"/>
        <w:ind w:firstLine="480" w:firstLineChars="200"/>
        <w:jc w:val="both"/>
        <w:rPr>
          <w:rFonts w:hint="eastAsia"/>
        </w:rPr>
      </w:pPr>
      <w:r>
        <w:rPr>
          <w:rFonts w:hint="eastAsia" w:ascii="Times New Roman" w:hAnsi="Times New Roman" w:eastAsia="宋体" w:cs="Times New Roman"/>
          <w:sz w:val="24"/>
          <w:lang w:val="en-US" w:eastAsia="zh-CN"/>
        </w:rPr>
        <w:t>本标包为硬隔离配电网光通信设备网管功能性能测试服务，包括但不限于可视化运维、网络故障诊断、业务极简开通、配网多维统计报表等。</w:t>
      </w:r>
    </w:p>
    <w:p w14:paraId="2655AF61">
      <w:pPr>
        <w:pStyle w:val="4"/>
        <w:tabs>
          <w:tab w:val="left" w:pos="426"/>
          <w:tab w:val="clear" w:pos="432"/>
        </w:tabs>
        <w:spacing w:before="120" w:beforeLines="50" w:after="120" w:afterLines="50" w:line="360" w:lineRule="auto"/>
        <w:ind w:left="426" w:hanging="437"/>
        <w:rPr>
          <w:rFonts w:hint="eastAsia" w:hAnsi="宋体"/>
          <w:color w:val="auto"/>
          <w:highlight w:val="none"/>
        </w:rPr>
      </w:pPr>
      <w:bookmarkStart w:id="22" w:name="_Toc173509315"/>
      <w:r>
        <w:rPr>
          <w:rFonts w:hint="eastAsia" w:hAnsi="宋体"/>
          <w:color w:val="auto"/>
          <w:highlight w:val="none"/>
        </w:rPr>
        <w:t>技术服务内容及要求</w:t>
      </w:r>
      <w:bookmarkEnd w:id="22"/>
    </w:p>
    <w:bookmarkEnd w:id="20"/>
    <w:bookmarkEnd w:id="21"/>
    <w:p w14:paraId="3E8A4FC0">
      <w:pPr>
        <w:pStyle w:val="5"/>
        <w:rPr>
          <w:color w:val="auto"/>
          <w:highlight w:val="none"/>
        </w:rPr>
      </w:pPr>
      <w:bookmarkStart w:id="23" w:name="_Toc173509316"/>
      <w:bookmarkStart w:id="24" w:name="_Toc14394"/>
      <w:bookmarkStart w:id="25" w:name="_Toc25359"/>
      <w:r>
        <w:rPr>
          <w:color w:val="auto"/>
          <w:highlight w:val="none"/>
        </w:rPr>
        <w:t>项目</w:t>
      </w:r>
      <w:r>
        <w:rPr>
          <w:rFonts w:hint="eastAsia"/>
          <w:color w:val="auto"/>
          <w:highlight w:val="none"/>
        </w:rPr>
        <w:t>目标</w:t>
      </w:r>
      <w:bookmarkEnd w:id="23"/>
    </w:p>
    <w:p w14:paraId="30C05977">
      <w:pPr>
        <w:snapToGrid w:val="0"/>
        <w:spacing w:line="360" w:lineRule="auto"/>
        <w:ind w:firstLine="480" w:firstLineChars="200"/>
        <w:jc w:val="both"/>
        <w:rPr>
          <w:rFonts w:hint="eastAsia" w:ascii="宋体" w:hAnsi="宋体" w:cs="宋体"/>
          <w:color w:val="auto"/>
          <w:szCs w:val="24"/>
          <w:highlight w:val="none"/>
        </w:rPr>
      </w:pPr>
      <w:bookmarkStart w:id="26" w:name="_Hlk173504949"/>
      <w:r>
        <w:rPr>
          <w:rFonts w:hint="eastAsia" w:ascii="Times New Roman" w:hAnsi="Times New Roman" w:eastAsia="宋体" w:cs="Times New Roman"/>
          <w:sz w:val="24"/>
          <w:lang w:val="en-US" w:eastAsia="zh-CN"/>
        </w:rPr>
        <w:t>针对</w:t>
      </w:r>
      <w:r>
        <w:rPr>
          <w:rFonts w:hint="eastAsia" w:ascii="Times New Roman" w:hAnsi="Times New Roman" w:eastAsia="宋体" w:cs="Times New Roman"/>
          <w:b w:val="0"/>
          <w:bCs/>
          <w:color w:val="auto"/>
          <w:highlight w:val="none"/>
          <w:lang w:val="en-US" w:eastAsia="zh-CN"/>
        </w:rPr>
        <w:t>面向</w:t>
      </w:r>
      <w:r>
        <w:rPr>
          <w:rFonts w:hint="eastAsia" w:ascii="Times New Roman" w:hAnsi="Times New Roman" w:eastAsia="宋体" w:cs="Times New Roman"/>
          <w:sz w:val="24"/>
          <w:lang w:val="en-US" w:eastAsia="zh-CN"/>
        </w:rPr>
        <w:t>新型电力系统的硬隔离配电网光通信装置开发及其用于配网差动保护的网络技术研究项目交付</w:t>
      </w:r>
      <w:r>
        <w:rPr>
          <w:rFonts w:hint="eastAsia" w:ascii="Times New Roman" w:hAnsi="Times New Roman" w:eastAsia="宋体" w:cs="Times New Roman"/>
          <w:sz w:val="24"/>
        </w:rPr>
        <w:t>的</w:t>
      </w:r>
      <w:r>
        <w:rPr>
          <w:rFonts w:hint="eastAsia" w:ascii="Times New Roman" w:hAnsi="Times New Roman" w:eastAsia="宋体" w:cs="Times New Roman"/>
          <w:sz w:val="24"/>
          <w:lang w:val="en-US" w:eastAsia="zh-CN"/>
        </w:rPr>
        <w:t>硬隔离配电网光通信设备网管进行</w:t>
      </w:r>
      <w:r>
        <w:rPr>
          <w:rFonts w:hint="eastAsia" w:ascii="宋体" w:hAnsi="宋体"/>
          <w:bCs/>
          <w:color w:val="auto"/>
          <w:szCs w:val="21"/>
          <w:highlight w:val="none"/>
          <w:lang w:val="en-US" w:eastAsia="zh-CN"/>
        </w:rPr>
        <w:t>功能性能测试，并出具测试报告。</w:t>
      </w:r>
      <w:bookmarkEnd w:id="26"/>
    </w:p>
    <w:bookmarkEnd w:id="24"/>
    <w:bookmarkEnd w:id="25"/>
    <w:p w14:paraId="1F62EDF0">
      <w:pPr>
        <w:pStyle w:val="5"/>
        <w:rPr>
          <w:color w:val="auto"/>
          <w:highlight w:val="none"/>
        </w:rPr>
      </w:pPr>
      <w:bookmarkStart w:id="27" w:name="_Toc173509317"/>
      <w:r>
        <w:rPr>
          <w:rFonts w:hint="eastAsia"/>
          <w:color w:val="auto"/>
          <w:highlight w:val="none"/>
        </w:rPr>
        <w:t>服务内容</w:t>
      </w:r>
      <w:bookmarkEnd w:id="27"/>
    </w:p>
    <w:p w14:paraId="4A5051A1">
      <w:pPr>
        <w:pStyle w:val="5"/>
        <w:numPr>
          <w:ilvl w:val="1"/>
          <w:numId w:val="0"/>
        </w:numPr>
        <w:tabs>
          <w:tab w:val="clear" w:pos="936"/>
        </w:tabs>
        <w:ind w:firstLine="480" w:firstLineChars="200"/>
        <w:rPr>
          <w:rFonts w:hint="eastAsia" w:ascii="Times New Roman" w:hAnsi="Times New Roman" w:eastAsia="宋体" w:cs="Times New Roman"/>
          <w:b w:val="0"/>
          <w:sz w:val="24"/>
          <w:szCs w:val="20"/>
          <w:lang w:val="en-US" w:eastAsia="zh-CN" w:bidi="ar-SA"/>
        </w:rPr>
      </w:pPr>
      <w:bookmarkStart w:id="28" w:name="_Toc173509318"/>
      <w:r>
        <w:rPr>
          <w:rFonts w:hint="eastAsia" w:ascii="Times New Roman" w:hAnsi="Times New Roman" w:eastAsia="宋体" w:cs="Times New Roman"/>
          <w:b w:val="0"/>
          <w:sz w:val="24"/>
          <w:szCs w:val="20"/>
          <w:lang w:val="en-US" w:eastAsia="zh-CN" w:bidi="ar-SA"/>
        </w:rPr>
        <w:t>针对《</w:t>
      </w:r>
      <w:r>
        <w:rPr>
          <w:rFonts w:hint="eastAsia" w:ascii="Times New Roman" w:hAnsi="Times New Roman" w:eastAsia="宋体" w:cs="Times New Roman"/>
          <w:b w:val="0"/>
          <w:bCs/>
          <w:color w:val="auto"/>
          <w:highlight w:val="none"/>
          <w:lang w:val="en-US" w:eastAsia="zh-CN"/>
        </w:rPr>
        <w:t>面向</w:t>
      </w:r>
      <w:r>
        <w:rPr>
          <w:rFonts w:hint="eastAsia" w:ascii="Times New Roman" w:hAnsi="Times New Roman" w:eastAsia="宋体" w:cs="Times New Roman"/>
          <w:b w:val="0"/>
          <w:sz w:val="24"/>
          <w:szCs w:val="20"/>
          <w:lang w:val="en-US" w:eastAsia="zh-CN" w:bidi="ar-SA"/>
        </w:rPr>
        <w:t>新型电力系统的硬隔离配电网光通信装置开发及其用于配网差动保护的网络技术研究》项目交付的硬隔离配电网光通信设备网管进行功能性能测试。</w:t>
      </w:r>
    </w:p>
    <w:p w14:paraId="525C31A5">
      <w:pPr>
        <w:pStyle w:val="5"/>
        <w:numPr>
          <w:ilvl w:val="1"/>
          <w:numId w:val="0"/>
        </w:numPr>
        <w:tabs>
          <w:tab w:val="clear" w:pos="936"/>
        </w:tabs>
        <w:ind w:firstLine="480" w:firstLineChars="200"/>
        <w:rPr>
          <w:rFonts w:hint="eastAsia" w:ascii="Times New Roman" w:hAnsi="Times New Roman" w:eastAsia="宋体" w:cs="Times New Roman"/>
          <w:b w:val="0"/>
          <w:sz w:val="24"/>
          <w:szCs w:val="20"/>
          <w:lang w:val="en-US" w:eastAsia="zh-CN" w:bidi="ar-SA"/>
        </w:rPr>
      </w:pPr>
      <w:r>
        <w:rPr>
          <w:rFonts w:hint="eastAsia" w:ascii="Times New Roman" w:hAnsi="Times New Roman" w:eastAsia="宋体" w:cs="Times New Roman"/>
          <w:b w:val="0"/>
          <w:sz w:val="24"/>
          <w:szCs w:val="20"/>
          <w:lang w:val="en-US" w:eastAsia="zh-CN" w:bidi="ar-SA"/>
        </w:rPr>
        <w:t>功能测试内容包括但不限于：</w:t>
      </w:r>
    </w:p>
    <w:p w14:paraId="692EC8A5">
      <w:pPr>
        <w:snapToGrid w:val="0"/>
        <w:spacing w:line="360" w:lineRule="auto"/>
        <w:ind w:firstLine="480" w:firstLineChars="200"/>
        <w:jc w:val="both"/>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1.可视化运维：网管中网络拓扑可视，保护关系可视，手拉手保护拓扑可视。</w:t>
      </w:r>
    </w:p>
    <w:p w14:paraId="0C3CAF46">
      <w:pPr>
        <w:snapToGrid w:val="0"/>
        <w:spacing w:line="360" w:lineRule="auto"/>
        <w:ind w:firstLine="480" w:firstLineChars="200"/>
        <w:jc w:val="both"/>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2.网络故障诊断：可诊断网络故障如光纤断纤.配电网光通信设备离线.主备倒换.配电网光通信设备掉电等场景，能够在拓扑中直观可视，快速定位。</w:t>
      </w:r>
    </w:p>
    <w:p w14:paraId="643D74B0">
      <w:pPr>
        <w:snapToGrid w:val="0"/>
        <w:spacing w:line="360" w:lineRule="auto"/>
        <w:ind w:firstLine="480" w:firstLineChars="200"/>
        <w:jc w:val="both"/>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3.业务极简开通：实现配电网光通信设备上电后自动上线，智能网管基于策略的“基本信息”自动增加配电网光通信设备，并下发业务流配置，配电网光通信设备即插即用。 </w:t>
      </w:r>
    </w:p>
    <w:p w14:paraId="2D0F7AB7">
      <w:pPr>
        <w:snapToGrid w:val="0"/>
        <w:spacing w:line="360" w:lineRule="auto"/>
        <w:ind w:firstLine="480" w:firstLineChars="200"/>
        <w:jc w:val="both"/>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4.配网多维统计报表：面向配网光通信设备数字化管理，提供多维度统计能力，支持自定义统计任务，按需生成数字报表。</w:t>
      </w:r>
    </w:p>
    <w:p w14:paraId="36C5F285">
      <w:pPr>
        <w:pStyle w:val="5"/>
        <w:numPr>
          <w:ilvl w:val="1"/>
          <w:numId w:val="0"/>
        </w:numPr>
        <w:tabs>
          <w:tab w:val="clear" w:pos="936"/>
        </w:tabs>
        <w:ind w:firstLine="480" w:firstLineChars="200"/>
        <w:rPr>
          <w:rFonts w:hint="eastAsia" w:ascii="Times New Roman" w:hAnsi="Times New Roman" w:eastAsia="宋体" w:cs="Times New Roman"/>
          <w:b w:val="0"/>
          <w:sz w:val="24"/>
          <w:szCs w:val="20"/>
          <w:lang w:val="en-US" w:eastAsia="zh-CN" w:bidi="ar-SA"/>
        </w:rPr>
      </w:pPr>
      <w:r>
        <w:rPr>
          <w:rFonts w:hint="eastAsia" w:ascii="Times New Roman" w:hAnsi="Times New Roman" w:eastAsia="宋体" w:cs="Times New Roman"/>
          <w:b w:val="0"/>
          <w:sz w:val="24"/>
          <w:szCs w:val="20"/>
          <w:lang w:val="en-US" w:eastAsia="zh-CN" w:bidi="ar-SA"/>
        </w:rPr>
        <w:t>性能测试结合系统功能，对系统的性能情况进行检测。</w:t>
      </w:r>
    </w:p>
    <w:p w14:paraId="398674CE">
      <w:pPr>
        <w:pStyle w:val="5"/>
        <w:numPr>
          <w:ilvl w:val="1"/>
          <w:numId w:val="0"/>
        </w:numPr>
        <w:tabs>
          <w:tab w:val="clear" w:pos="936"/>
        </w:tabs>
        <w:ind w:firstLine="480" w:firstLineChars="200"/>
        <w:rPr>
          <w:rFonts w:hint="eastAsia" w:ascii="Times New Roman" w:hAnsi="Times New Roman" w:eastAsia="宋体" w:cs="Times New Roman"/>
          <w:b w:val="0"/>
          <w:sz w:val="24"/>
          <w:szCs w:val="20"/>
          <w:lang w:val="en-US" w:eastAsia="zh-CN" w:bidi="ar-SA"/>
        </w:rPr>
      </w:pPr>
      <w:r>
        <w:rPr>
          <w:rFonts w:hint="eastAsia" w:ascii="Times New Roman" w:hAnsi="Times New Roman" w:eastAsia="宋体" w:cs="Times New Roman"/>
          <w:b w:val="0"/>
          <w:sz w:val="24"/>
          <w:szCs w:val="20"/>
          <w:lang w:val="en-US" w:eastAsia="zh-CN" w:bidi="ar-SA"/>
        </w:rPr>
        <w:t>进度要求</w:t>
      </w:r>
      <w:bookmarkEnd w:id="19"/>
      <w:bookmarkEnd w:id="28"/>
      <w:r>
        <w:rPr>
          <w:rFonts w:hint="eastAsia" w:ascii="Times New Roman" w:hAnsi="Times New Roman" w:eastAsia="宋体" w:cs="Times New Roman"/>
          <w:b w:val="0"/>
          <w:sz w:val="24"/>
          <w:szCs w:val="20"/>
          <w:lang w:val="en-US" w:eastAsia="zh-CN" w:bidi="ar-SA"/>
        </w:rPr>
        <w:t>如下：</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2349"/>
        <w:gridCol w:w="4940"/>
      </w:tblGrid>
      <w:tr w14:paraId="30DCA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jc w:val="center"/>
        </w:trPr>
        <w:tc>
          <w:tcPr>
            <w:tcW w:w="902" w:type="dxa"/>
          </w:tcPr>
          <w:p w14:paraId="54546608">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序号</w:t>
            </w:r>
          </w:p>
        </w:tc>
        <w:tc>
          <w:tcPr>
            <w:tcW w:w="2349" w:type="dxa"/>
            <w:vAlign w:val="center"/>
          </w:tcPr>
          <w:p w14:paraId="569E3C3B">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完成时间</w:t>
            </w:r>
          </w:p>
        </w:tc>
        <w:tc>
          <w:tcPr>
            <w:tcW w:w="4940" w:type="dxa"/>
            <w:vAlign w:val="center"/>
          </w:tcPr>
          <w:p w14:paraId="0B6A4F20">
            <w:pPr>
              <w:ind w:left="24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主要内容及交付项</w:t>
            </w:r>
          </w:p>
        </w:tc>
      </w:tr>
      <w:tr w14:paraId="7A01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902" w:type="dxa"/>
            <w:vAlign w:val="center"/>
          </w:tcPr>
          <w:p w14:paraId="0502D925">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w:t>
            </w:r>
          </w:p>
        </w:tc>
        <w:tc>
          <w:tcPr>
            <w:tcW w:w="2349" w:type="dxa"/>
            <w:vAlign w:val="center"/>
          </w:tcPr>
          <w:p w14:paraId="43187126">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合同签订后</w:t>
            </w:r>
            <w:r>
              <w:rPr>
                <w:rFonts w:hint="eastAsia" w:asciiTheme="minorEastAsia" w:hAnsiTheme="minorEastAsia" w:eastAsiaTheme="minorEastAsia" w:cstheme="minorEastAsia"/>
                <w:color w:val="auto"/>
                <w:szCs w:val="24"/>
                <w:highlight w:val="none"/>
                <w:lang w:val="en-US" w:eastAsia="zh-CN"/>
              </w:rPr>
              <w:t>3</w:t>
            </w:r>
            <w:r>
              <w:rPr>
                <w:rFonts w:hint="eastAsia" w:asciiTheme="minorEastAsia" w:hAnsiTheme="minorEastAsia" w:eastAsiaTheme="minorEastAsia" w:cstheme="minorEastAsia"/>
                <w:color w:val="auto"/>
                <w:szCs w:val="24"/>
                <w:highlight w:val="none"/>
              </w:rPr>
              <w:t>0天内</w:t>
            </w:r>
          </w:p>
        </w:tc>
        <w:tc>
          <w:tcPr>
            <w:tcW w:w="4940" w:type="dxa"/>
            <w:vAlign w:val="center"/>
          </w:tcPr>
          <w:p w14:paraId="4F5AC55B">
            <w:pPr>
              <w:rPr>
                <w:rFonts w:hint="eastAsia" w:eastAsia="宋体" w:asciiTheme="minorEastAsia" w:hAnsiTheme="minorEastAsia" w:cstheme="minorEastAsia"/>
                <w:color w:val="auto"/>
                <w:szCs w:val="24"/>
                <w:highlight w:val="none"/>
                <w:lang w:val="en-US" w:eastAsia="zh-CN"/>
              </w:rPr>
            </w:pPr>
            <w:r>
              <w:rPr>
                <w:rFonts w:hint="eastAsia"/>
                <w:color w:val="auto"/>
                <w:highlight w:val="none"/>
              </w:rPr>
              <w:t>收集项目需求，制定测试</w:t>
            </w:r>
            <w:r>
              <w:rPr>
                <w:rFonts w:hint="eastAsia"/>
                <w:color w:val="auto"/>
                <w:highlight w:val="none"/>
                <w:lang w:val="en-US" w:eastAsia="zh-CN"/>
              </w:rPr>
              <w:t>系统搭建</w:t>
            </w:r>
            <w:r>
              <w:rPr>
                <w:rFonts w:hint="eastAsia"/>
                <w:color w:val="auto"/>
                <w:highlight w:val="none"/>
              </w:rPr>
              <w:t>方案</w:t>
            </w:r>
          </w:p>
        </w:tc>
      </w:tr>
      <w:tr w14:paraId="7FF5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902" w:type="dxa"/>
            <w:vAlign w:val="center"/>
          </w:tcPr>
          <w:p w14:paraId="3DA10B33">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w:t>
            </w:r>
          </w:p>
        </w:tc>
        <w:tc>
          <w:tcPr>
            <w:tcW w:w="2349" w:type="dxa"/>
            <w:vAlign w:val="center"/>
          </w:tcPr>
          <w:p w14:paraId="0F87AA9F">
            <w:pPr>
              <w:jc w:val="center"/>
              <w:rPr>
                <w:rFonts w:hint="default" w:asciiTheme="minorEastAsia" w:hAnsiTheme="minorEastAsia" w:eastAsiaTheme="minorEastAsia" w:cstheme="minorEastAsia"/>
                <w:color w:val="auto"/>
                <w:szCs w:val="24"/>
                <w:highlight w:val="none"/>
                <w:lang w:val="en-US"/>
              </w:rPr>
            </w:pPr>
            <w:r>
              <w:rPr>
                <w:rFonts w:hint="eastAsia" w:asciiTheme="minorEastAsia" w:hAnsiTheme="minorEastAsia" w:eastAsiaTheme="minorEastAsia" w:cstheme="minorEastAsia"/>
                <w:color w:val="auto"/>
                <w:szCs w:val="24"/>
                <w:highlight w:val="none"/>
                <w:lang w:val="en-US" w:eastAsia="zh-CN"/>
              </w:rPr>
              <w:t>合同签订之日起至2026年9月</w:t>
            </w:r>
          </w:p>
        </w:tc>
        <w:tc>
          <w:tcPr>
            <w:tcW w:w="4940" w:type="dxa"/>
            <w:vAlign w:val="center"/>
          </w:tcPr>
          <w:p w14:paraId="2439576B">
            <w:pPr>
              <w:spacing w:line="360" w:lineRule="auto"/>
              <w:rPr>
                <w:rFonts w:hint="default" w:eastAsia="宋体" w:asciiTheme="minorEastAsia" w:hAnsiTheme="minorEastAsia" w:cstheme="minorEastAsia"/>
                <w:color w:val="auto"/>
                <w:szCs w:val="24"/>
                <w:highlight w:val="none"/>
                <w:lang w:val="en-US" w:eastAsia="zh-CN"/>
              </w:rPr>
            </w:pPr>
            <w:r>
              <w:rPr>
                <w:rFonts w:hint="eastAsia"/>
                <w:color w:val="auto"/>
                <w:highlight w:val="none"/>
              </w:rPr>
              <w:t>实施</w:t>
            </w:r>
            <w:r>
              <w:rPr>
                <w:rFonts w:hint="eastAsia"/>
                <w:color w:val="auto"/>
                <w:highlight w:val="none"/>
                <w:lang w:val="en-US" w:eastAsia="zh-CN"/>
              </w:rPr>
              <w:t>并完成</w:t>
            </w:r>
            <w:r>
              <w:rPr>
                <w:rFonts w:hint="eastAsia"/>
                <w:color w:val="auto"/>
                <w:highlight w:val="none"/>
              </w:rPr>
              <w:t>测试服务，形成测试报告</w:t>
            </w:r>
            <w:r>
              <w:rPr>
                <w:rFonts w:hint="eastAsia"/>
                <w:color w:val="auto"/>
                <w:highlight w:val="none"/>
                <w:lang w:val="en-US" w:eastAsia="zh-CN"/>
              </w:rPr>
              <w:t>1</w:t>
            </w:r>
            <w:r>
              <w:rPr>
                <w:rFonts w:hint="eastAsia"/>
                <w:color w:val="auto"/>
                <w:highlight w:val="none"/>
              </w:rPr>
              <w:t>份</w:t>
            </w:r>
            <w:r>
              <w:rPr>
                <w:rFonts w:hint="eastAsia"/>
                <w:color w:val="auto"/>
                <w:highlight w:val="none"/>
                <w:lang w:eastAsia="zh-CN"/>
              </w:rPr>
              <w:t>（</w:t>
            </w:r>
            <w:r>
              <w:rPr>
                <w:rFonts w:hint="eastAsia"/>
                <w:color w:val="auto"/>
                <w:highlight w:val="none"/>
                <w:lang w:val="en-US" w:eastAsia="zh-CN"/>
              </w:rPr>
              <w:t>盖CNAS章</w:t>
            </w:r>
            <w:r>
              <w:rPr>
                <w:rFonts w:hint="eastAsia"/>
                <w:color w:val="auto"/>
                <w:highlight w:val="none"/>
                <w:lang w:eastAsia="zh-CN"/>
              </w:rPr>
              <w:t>），</w:t>
            </w:r>
            <w:r>
              <w:rPr>
                <w:rFonts w:hint="eastAsia"/>
                <w:color w:val="auto"/>
                <w:highlight w:val="none"/>
                <w:lang w:val="en-US" w:eastAsia="zh-CN"/>
              </w:rPr>
              <w:t>并通过甲方验收。</w:t>
            </w:r>
          </w:p>
        </w:tc>
      </w:tr>
    </w:tbl>
    <w:p w14:paraId="2A39B453">
      <w:pPr>
        <w:snapToGrid w:val="0"/>
        <w:spacing w:line="360" w:lineRule="auto"/>
        <w:ind w:firstLine="480" w:firstLineChars="200"/>
        <w:jc w:val="both"/>
        <w:rPr>
          <w:color w:val="auto"/>
          <w:highlight w:val="none"/>
        </w:rPr>
      </w:pPr>
      <w:r>
        <w:rPr>
          <w:rFonts w:hint="eastAsia"/>
          <w:color w:val="auto"/>
          <w:highlight w:val="none"/>
        </w:rPr>
        <w:t>注：本项目服务期由合同签订之日起至</w:t>
      </w:r>
      <w:r>
        <w:rPr>
          <w:rFonts w:hint="eastAsia"/>
          <w:color w:val="auto"/>
          <w:highlight w:val="none"/>
          <w:lang w:val="en-US" w:eastAsia="zh-CN"/>
        </w:rPr>
        <w:t>项目</w:t>
      </w:r>
      <w:r>
        <w:rPr>
          <w:rFonts w:hint="eastAsia"/>
          <w:color w:val="auto"/>
          <w:highlight w:val="none"/>
        </w:rPr>
        <w:t>通过</w:t>
      </w:r>
      <w:r>
        <w:rPr>
          <w:rFonts w:hint="eastAsia"/>
          <w:color w:val="auto"/>
          <w:highlight w:val="none"/>
          <w:lang w:val="en-US" w:eastAsia="zh-CN"/>
        </w:rPr>
        <w:t>整体</w:t>
      </w:r>
      <w:r>
        <w:rPr>
          <w:rFonts w:hint="eastAsia"/>
          <w:color w:val="auto"/>
          <w:highlight w:val="none"/>
        </w:rPr>
        <w:t>验收，根据项目实际工作需要和现场试验条件开展实际进度工作，如果因招标方计划变更或其他特殊原因影响，双方协商解决进行相应的工期调整。</w:t>
      </w:r>
    </w:p>
    <w:p w14:paraId="43F85E78">
      <w:pPr>
        <w:pStyle w:val="4"/>
        <w:tabs>
          <w:tab w:val="left" w:pos="426"/>
          <w:tab w:val="clear" w:pos="432"/>
        </w:tabs>
        <w:spacing w:before="120" w:beforeLines="50" w:after="120" w:afterLines="50" w:line="360" w:lineRule="auto"/>
        <w:ind w:left="426" w:hanging="437"/>
        <w:rPr>
          <w:color w:val="auto"/>
          <w:highlight w:val="none"/>
        </w:rPr>
      </w:pPr>
      <w:bookmarkStart w:id="29" w:name="_Toc15592"/>
      <w:bookmarkStart w:id="30" w:name="_Toc173509321"/>
      <w:r>
        <w:rPr>
          <w:rFonts w:hAnsi="宋体"/>
          <w:color w:val="auto"/>
          <w:highlight w:val="none"/>
        </w:rPr>
        <w:t>交付</w:t>
      </w:r>
      <w:r>
        <w:rPr>
          <w:rFonts w:hint="eastAsia" w:hAnsi="宋体"/>
          <w:color w:val="auto"/>
          <w:highlight w:val="none"/>
        </w:rPr>
        <w:t>项</w:t>
      </w:r>
      <w:bookmarkEnd w:id="29"/>
      <w:r>
        <w:rPr>
          <w:rFonts w:hint="eastAsia" w:hAnsi="宋体"/>
          <w:color w:val="auto"/>
          <w:highlight w:val="none"/>
        </w:rPr>
        <w:t>及验收要求</w:t>
      </w:r>
      <w:bookmarkEnd w:id="30"/>
    </w:p>
    <w:p w14:paraId="3E362DE0">
      <w:pPr>
        <w:numPr>
          <w:ilvl w:val="255"/>
          <w:numId w:val="0"/>
        </w:numPr>
        <w:adjustRightInd/>
        <w:snapToGrid w:val="0"/>
        <w:spacing w:line="360" w:lineRule="auto"/>
        <w:ind w:firstLine="480" w:firstLineChars="200"/>
        <w:textAlignment w:val="auto"/>
        <w:rPr>
          <w:rFonts w:hint="eastAsia" w:ascii="宋体" w:hAnsi="宋体" w:cs="宋体"/>
          <w:color w:val="auto"/>
          <w:szCs w:val="24"/>
          <w:highlight w:val="none"/>
        </w:rPr>
      </w:pPr>
      <w:bookmarkStart w:id="31" w:name="_Toc30416"/>
      <w:r>
        <w:rPr>
          <w:rFonts w:hint="eastAsia" w:ascii="宋体" w:hAnsi="宋体" w:cs="宋体"/>
          <w:color w:val="auto"/>
          <w:szCs w:val="24"/>
          <w:highlight w:val="none"/>
          <w:lang w:val="en-US" w:eastAsia="zh-CN"/>
        </w:rPr>
        <w:t>对</w:t>
      </w:r>
      <w:r>
        <w:rPr>
          <w:rFonts w:hint="eastAsia" w:ascii="宋体" w:hAnsi="宋体" w:cs="宋体"/>
          <w:color w:val="auto"/>
          <w:szCs w:val="24"/>
          <w:highlight w:val="none"/>
        </w:rPr>
        <w:t>招标方</w:t>
      </w:r>
      <w:r>
        <w:rPr>
          <w:rFonts w:hint="eastAsia" w:ascii="宋体" w:hAnsi="宋体" w:cs="宋体"/>
          <w:color w:val="auto"/>
          <w:szCs w:val="24"/>
          <w:highlight w:val="none"/>
          <w:lang w:val="en-US" w:eastAsia="zh-CN"/>
        </w:rPr>
        <w:t>提供的</w:t>
      </w:r>
      <w:r>
        <w:rPr>
          <w:rFonts w:hint="eastAsia" w:ascii="Times New Roman" w:hAnsi="Times New Roman" w:eastAsia="宋体" w:cs="Times New Roman"/>
          <w:b w:val="0"/>
          <w:sz w:val="24"/>
          <w:szCs w:val="20"/>
          <w:lang w:val="en-US" w:eastAsia="zh-CN" w:bidi="ar-SA"/>
        </w:rPr>
        <w:t>硬隔离配电网光通信设备网管</w:t>
      </w:r>
      <w:r>
        <w:rPr>
          <w:rFonts w:hint="eastAsia" w:ascii="宋体" w:hAnsi="宋体" w:cs="宋体"/>
          <w:color w:val="auto"/>
          <w:szCs w:val="24"/>
          <w:highlight w:val="none"/>
          <w:lang w:val="en-US" w:eastAsia="zh-CN"/>
        </w:rPr>
        <w:t>进行功能性能测试，</w:t>
      </w:r>
      <w:r>
        <w:rPr>
          <w:rFonts w:hint="eastAsia" w:ascii="宋体" w:hAnsi="宋体" w:cs="宋体"/>
          <w:color w:val="auto"/>
          <w:szCs w:val="24"/>
          <w:highlight w:val="none"/>
        </w:rPr>
        <w:t>出具测试报告（含纸质件和电子扫描件）</w:t>
      </w:r>
      <w:r>
        <w:rPr>
          <w:rFonts w:hint="eastAsia" w:ascii="宋体" w:hAnsi="宋体" w:cs="宋体"/>
          <w:color w:val="auto"/>
          <w:szCs w:val="24"/>
          <w:highlight w:val="none"/>
          <w:lang w:val="en-US" w:eastAsia="zh-CN"/>
        </w:rPr>
        <w:t>1份</w:t>
      </w:r>
      <w:r>
        <w:rPr>
          <w:rFonts w:hint="eastAsia" w:ascii="宋体" w:hAnsi="宋体" w:cs="宋体"/>
          <w:color w:val="auto"/>
          <w:szCs w:val="24"/>
          <w:highlight w:val="none"/>
        </w:rPr>
        <w:t>。</w:t>
      </w:r>
    </w:p>
    <w:bookmarkEnd w:id="31"/>
    <w:p w14:paraId="5EEB2E26">
      <w:pPr>
        <w:pStyle w:val="4"/>
        <w:spacing w:before="120" w:beforeLines="50" w:after="120" w:afterLines="50" w:line="360" w:lineRule="auto"/>
        <w:ind w:left="426" w:hanging="437"/>
        <w:rPr>
          <w:rFonts w:hint="eastAsia" w:hAnsi="宋体"/>
          <w:color w:val="auto"/>
          <w:highlight w:val="none"/>
        </w:rPr>
      </w:pPr>
      <w:bookmarkStart w:id="32" w:name="_Toc173509322"/>
      <w:r>
        <w:rPr>
          <w:rFonts w:hint="eastAsia" w:hAnsi="宋体"/>
          <w:color w:val="auto"/>
          <w:highlight w:val="none"/>
        </w:rPr>
        <w:t>保密与质保要求</w:t>
      </w:r>
      <w:bookmarkEnd w:id="32"/>
    </w:p>
    <w:p w14:paraId="251AFA19">
      <w:pPr>
        <w:pStyle w:val="5"/>
        <w:rPr>
          <w:color w:val="auto"/>
          <w:highlight w:val="none"/>
        </w:rPr>
      </w:pPr>
      <w:bookmarkStart w:id="33" w:name="_Toc3428"/>
      <w:bookmarkStart w:id="34" w:name="_Toc173509323"/>
      <w:r>
        <w:rPr>
          <w:rFonts w:hint="eastAsia"/>
          <w:color w:val="auto"/>
          <w:highlight w:val="none"/>
        </w:rPr>
        <w:t>保密要求</w:t>
      </w:r>
      <w:bookmarkEnd w:id="33"/>
      <w:bookmarkEnd w:id="34"/>
    </w:p>
    <w:p w14:paraId="0CEE2521">
      <w:pPr>
        <w:spacing w:line="360" w:lineRule="auto"/>
        <w:ind w:firstLine="480" w:firstLineChars="200"/>
        <w:rPr>
          <w:rFonts w:hint="eastAsia" w:hAnsi="宋体"/>
          <w:color w:val="auto"/>
          <w:highlight w:val="none"/>
        </w:rPr>
      </w:pPr>
      <w:r>
        <w:rPr>
          <w:rFonts w:hint="eastAsia" w:hAnsi="宋体"/>
          <w:color w:val="auto"/>
          <w:highlight w:val="none"/>
        </w:rPr>
        <w:t>（1）投标方需妥善保管保密信息，投标方对于从招标方得到的保密信息，应当按要求确保保密信息的安全，如投标方内部已有保密制度的，应将从投标方得到的保密信息视同投标方内部的保密信息进行安全管理。对于从投标方获得的保密信息，安全管理要求不得低于国家、行业和招标方相关的安全管理要求。</w:t>
      </w:r>
    </w:p>
    <w:p w14:paraId="024C0601">
      <w:pPr>
        <w:spacing w:line="360" w:lineRule="auto"/>
        <w:ind w:firstLine="480" w:firstLineChars="200"/>
        <w:rPr>
          <w:rFonts w:hint="eastAsia" w:hAnsi="宋体"/>
          <w:color w:val="auto"/>
          <w:highlight w:val="none"/>
        </w:rPr>
      </w:pPr>
      <w:r>
        <w:rPr>
          <w:rFonts w:hint="eastAsia" w:hAnsi="宋体"/>
          <w:color w:val="auto"/>
          <w:highlight w:val="none"/>
        </w:rPr>
        <w:t>（2）投标方所获知的保密信息须谨慎的使用，只能透露给直接参与项目的人员，透露的内容只能是与其工作相关的信息。</w:t>
      </w:r>
    </w:p>
    <w:p w14:paraId="758371B1">
      <w:pPr>
        <w:spacing w:line="360" w:lineRule="auto"/>
        <w:ind w:firstLine="480" w:firstLineChars="200"/>
        <w:rPr>
          <w:rFonts w:hint="eastAsia" w:hAnsi="宋体"/>
          <w:color w:val="auto"/>
          <w:highlight w:val="none"/>
        </w:rPr>
      </w:pPr>
      <w:r>
        <w:rPr>
          <w:rFonts w:hint="eastAsia" w:hAnsi="宋体"/>
          <w:color w:val="auto"/>
          <w:highlight w:val="none"/>
        </w:rPr>
        <w:t>（3）投标方应当采取必要的措施防止复制、泄漏或遗失。投标方亦不得依据保密信息，就任何问题，向第三方做出任何建议。</w:t>
      </w:r>
    </w:p>
    <w:p w14:paraId="659FBA9D">
      <w:pPr>
        <w:spacing w:line="360" w:lineRule="auto"/>
        <w:ind w:firstLine="480" w:firstLineChars="200"/>
        <w:rPr>
          <w:rFonts w:hint="eastAsia" w:hAnsi="宋体"/>
          <w:color w:val="auto"/>
          <w:highlight w:val="none"/>
        </w:rPr>
      </w:pPr>
      <w:r>
        <w:rPr>
          <w:rFonts w:hint="eastAsia" w:hAnsi="宋体"/>
          <w:color w:val="auto"/>
          <w:highlight w:val="none"/>
        </w:rPr>
        <w:t>（4）保密信息及利用保密信息所形成的工作成果非经招标方书面同意，投标方及其相关人员应负保密责任，不得以任何方式就保密信息及工作成果之全部或部分泄漏、告知、复制、传播、或对外发表、或为自己及第三人使用。</w:t>
      </w:r>
    </w:p>
    <w:p w14:paraId="474FA285">
      <w:pPr>
        <w:spacing w:line="360" w:lineRule="auto"/>
        <w:ind w:firstLine="480" w:firstLineChars="200"/>
        <w:rPr>
          <w:rFonts w:hint="eastAsia" w:hAnsi="宋体"/>
          <w:color w:val="auto"/>
          <w:highlight w:val="none"/>
        </w:rPr>
      </w:pPr>
      <w:r>
        <w:rPr>
          <w:rFonts w:hint="eastAsia" w:hAnsi="宋体"/>
          <w:color w:val="auto"/>
          <w:highlight w:val="none"/>
        </w:rPr>
        <w:t>（5）在招标方项目实施过程中，投标方必须在招标方指定地点办公，使用招标方指定的信息技术工具，并遵守投标方关于第三方人员管理规定要求。未经许可不得将保密信息带离办公场所。</w:t>
      </w:r>
    </w:p>
    <w:p w14:paraId="494485D6">
      <w:pPr>
        <w:spacing w:line="360" w:lineRule="auto"/>
        <w:ind w:firstLine="480" w:firstLineChars="200"/>
        <w:rPr>
          <w:rFonts w:hint="eastAsia" w:hAnsi="宋体"/>
          <w:color w:val="auto"/>
          <w:highlight w:val="none"/>
        </w:rPr>
      </w:pPr>
      <w:r>
        <w:rPr>
          <w:rFonts w:hint="eastAsia" w:hAnsi="宋体"/>
          <w:color w:val="auto"/>
          <w:highlight w:val="none"/>
        </w:rPr>
        <w:t>（6）投标方保证按招标方项目管理部门确认的途径向招标方提交或索取有关资料。</w:t>
      </w:r>
    </w:p>
    <w:p w14:paraId="117F7FBF">
      <w:pPr>
        <w:spacing w:line="360" w:lineRule="auto"/>
        <w:ind w:firstLine="480" w:firstLineChars="200"/>
        <w:rPr>
          <w:rFonts w:hint="eastAsia" w:hAnsi="宋体"/>
          <w:color w:val="auto"/>
          <w:highlight w:val="none"/>
        </w:rPr>
      </w:pPr>
      <w:r>
        <w:rPr>
          <w:rFonts w:hint="eastAsia" w:hAnsi="宋体"/>
          <w:color w:val="auto"/>
          <w:highlight w:val="none"/>
        </w:rPr>
        <w:t>（7）投标方应在项目结束时，保证将所有通过本项目获取到的保密信息和资料进行清除。</w:t>
      </w:r>
    </w:p>
    <w:p w14:paraId="34DC5A38">
      <w:pPr>
        <w:spacing w:line="360" w:lineRule="auto"/>
        <w:ind w:firstLine="480" w:firstLineChars="200"/>
        <w:rPr>
          <w:rFonts w:hint="eastAsia" w:hAnsi="宋体"/>
          <w:color w:val="auto"/>
          <w:highlight w:val="none"/>
        </w:rPr>
      </w:pPr>
      <w:r>
        <w:rPr>
          <w:rFonts w:hint="eastAsia" w:hAnsi="宋体"/>
          <w:color w:val="auto"/>
          <w:highlight w:val="none"/>
        </w:rPr>
        <w:t>（8）中标单位需与合同签订单位签订《网络安全协议书》。</w:t>
      </w:r>
    </w:p>
    <w:p w14:paraId="5A2A4D0D">
      <w:pPr>
        <w:pStyle w:val="5"/>
        <w:rPr>
          <w:color w:val="auto"/>
          <w:highlight w:val="none"/>
        </w:rPr>
      </w:pPr>
      <w:bookmarkStart w:id="35" w:name="_Toc173509324"/>
      <w:bookmarkStart w:id="36" w:name="_Toc142113827"/>
      <w:bookmarkStart w:id="37" w:name="_Toc156212537"/>
      <w:bookmarkStart w:id="38" w:name="_Toc138520553"/>
      <w:bookmarkStart w:id="39" w:name="_Toc147119733"/>
      <w:bookmarkStart w:id="40" w:name="_Toc144447751"/>
      <w:r>
        <w:rPr>
          <w:rFonts w:hint="eastAsia"/>
          <w:color w:val="auto"/>
          <w:highlight w:val="none"/>
        </w:rPr>
        <w:t>服务质量保证要求</w:t>
      </w:r>
      <w:bookmarkEnd w:id="35"/>
    </w:p>
    <w:p w14:paraId="2BA6040C">
      <w:pPr>
        <w:spacing w:line="360" w:lineRule="auto"/>
        <w:ind w:firstLine="480" w:firstLineChars="200"/>
        <w:rPr>
          <w:rFonts w:hint="eastAsia" w:hAnsi="宋体"/>
          <w:color w:val="auto"/>
          <w:highlight w:val="none"/>
        </w:rPr>
      </w:pPr>
      <w:r>
        <w:rPr>
          <w:rFonts w:hint="eastAsia" w:hAnsi="宋体"/>
          <w:color w:val="auto"/>
          <w:highlight w:val="none"/>
        </w:rPr>
        <w:t>（1）投标方应建立严格的质量保证体系，制定项目实施质量控制方案，并督促落实各环节质量控制内容和目标；保证项目实施与各个阶段工作满足招标方对质量的要求。</w:t>
      </w:r>
    </w:p>
    <w:p w14:paraId="5DA7FE9E">
      <w:pPr>
        <w:spacing w:line="360" w:lineRule="auto"/>
        <w:ind w:firstLine="480" w:firstLineChars="200"/>
        <w:rPr>
          <w:rFonts w:hint="eastAsia" w:hAnsi="宋体"/>
          <w:color w:val="auto"/>
          <w:highlight w:val="none"/>
        </w:rPr>
      </w:pPr>
      <w:r>
        <w:rPr>
          <w:rFonts w:hint="eastAsia" w:hAnsi="宋体"/>
          <w:color w:val="auto"/>
          <w:highlight w:val="none"/>
        </w:rPr>
        <w:t>（2）投标方应配合招标方收集现场数据，整理数据，并及时反馈数据存在的问题，便于保障报告数据的真实性和代表性。</w:t>
      </w:r>
    </w:p>
    <w:p w14:paraId="35B56207">
      <w:pPr>
        <w:spacing w:line="360" w:lineRule="auto"/>
        <w:ind w:firstLine="480" w:firstLineChars="200"/>
        <w:rPr>
          <w:rFonts w:hint="eastAsia" w:hAnsi="宋体"/>
          <w:color w:val="auto"/>
          <w:highlight w:val="none"/>
        </w:rPr>
      </w:pPr>
      <w:r>
        <w:rPr>
          <w:rFonts w:hint="eastAsia" w:hAnsi="宋体"/>
          <w:color w:val="auto"/>
          <w:highlight w:val="none"/>
        </w:rPr>
        <w:t>（3）服务期内响应要求：电话4小时响应。</w:t>
      </w:r>
    </w:p>
    <w:p w14:paraId="07F7DBC1">
      <w:pPr>
        <w:spacing w:line="360" w:lineRule="auto"/>
        <w:ind w:firstLine="480" w:firstLineChars="200"/>
        <w:rPr>
          <w:rFonts w:hint="eastAsia" w:hAnsi="宋体"/>
          <w:color w:val="auto"/>
          <w:highlight w:val="none"/>
        </w:rPr>
      </w:pPr>
      <w:r>
        <w:rPr>
          <w:rFonts w:hint="eastAsia" w:hAnsi="宋体"/>
          <w:color w:val="auto"/>
          <w:highlight w:val="none"/>
        </w:rPr>
        <w:t>（4）投标方应提供灵活、多样的通信联系手段，明确联系电话和联系人姓名，并且提供24小时的热线电话响应服务。</w:t>
      </w:r>
      <w:bookmarkEnd w:id="36"/>
      <w:bookmarkEnd w:id="37"/>
      <w:bookmarkEnd w:id="38"/>
      <w:bookmarkEnd w:id="39"/>
      <w:bookmarkEnd w:id="40"/>
    </w:p>
    <w:sectPr>
      <w:footerReference r:id="rId8" w:type="default"/>
      <w:pgSz w:w="11907" w:h="16840"/>
      <w:pgMar w:top="1440" w:right="1247" w:bottom="1440" w:left="1588" w:header="284" w:footer="284"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F4989">
    <w:pPr>
      <w:pStyle w:val="23"/>
      <w:ind w:right="360"/>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9C69D">
    <w:pPr>
      <w:pStyle w:val="23"/>
      <w:framePr w:wrap="around" w:vAnchor="text" w:hAnchor="margin" w:xAlign="center" w:y="1"/>
      <w:rPr>
        <w:rStyle w:val="34"/>
      </w:rPr>
    </w:pPr>
    <w:r>
      <w:fldChar w:fldCharType="begin"/>
    </w:r>
    <w:r>
      <w:rPr>
        <w:rStyle w:val="34"/>
      </w:rPr>
      <w:instrText xml:space="preserve">PAGE  </w:instrText>
    </w:r>
    <w:r>
      <w:fldChar w:fldCharType="separate"/>
    </w:r>
    <w:r>
      <w:rPr>
        <w:rStyle w:val="34"/>
      </w:rPr>
      <w:t>5</w:t>
    </w:r>
    <w:r>
      <w:fldChar w:fldCharType="end"/>
    </w:r>
  </w:p>
  <w:p w14:paraId="44F2F173">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43F7E">
    <w:pPr>
      <w:pStyle w:val="23"/>
      <w:framePr w:wrap="around" w:vAnchor="text" w:hAnchor="margin" w:xAlign="center" w:y="1"/>
      <w:rPr>
        <w:rStyle w:val="34"/>
        <w:sz w:val="21"/>
        <w:szCs w:val="21"/>
      </w:rPr>
    </w:pPr>
    <w:r>
      <w:rPr>
        <w:sz w:val="21"/>
        <w:szCs w:val="21"/>
      </w:rPr>
      <w:fldChar w:fldCharType="begin"/>
    </w:r>
    <w:r>
      <w:rPr>
        <w:rStyle w:val="34"/>
        <w:sz w:val="21"/>
        <w:szCs w:val="21"/>
      </w:rPr>
      <w:instrText xml:space="preserve">PAGE  </w:instrText>
    </w:r>
    <w:r>
      <w:rPr>
        <w:sz w:val="21"/>
        <w:szCs w:val="21"/>
      </w:rPr>
      <w:fldChar w:fldCharType="separate"/>
    </w:r>
    <w:r>
      <w:rPr>
        <w:rStyle w:val="34"/>
        <w:sz w:val="21"/>
        <w:szCs w:val="21"/>
      </w:rPr>
      <w:t>12</w:t>
    </w:r>
    <w:r>
      <w:rPr>
        <w:sz w:val="21"/>
        <w:szCs w:val="21"/>
      </w:rPr>
      <w:fldChar w:fldCharType="end"/>
    </w:r>
  </w:p>
  <w:p w14:paraId="207A34A2">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309B9">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A0C1F"/>
    <w:multiLevelType w:val="multilevel"/>
    <w:tmpl w:val="73AA0C1F"/>
    <w:lvl w:ilvl="0" w:tentative="0">
      <w:start w:val="1"/>
      <w:numFmt w:val="decimal"/>
      <w:pStyle w:val="4"/>
      <w:lvlText w:val="%1"/>
      <w:lvlJc w:val="left"/>
      <w:pPr>
        <w:tabs>
          <w:tab w:val="left" w:pos="432"/>
        </w:tabs>
        <w:ind w:left="432" w:hanging="432"/>
      </w:pPr>
    </w:lvl>
    <w:lvl w:ilvl="1" w:tentative="0">
      <w:start w:val="1"/>
      <w:numFmt w:val="decimal"/>
      <w:pStyle w:val="5"/>
      <w:lvlText w:val="%1.%2"/>
      <w:lvlJc w:val="left"/>
      <w:pPr>
        <w:tabs>
          <w:tab w:val="left" w:pos="936"/>
        </w:tabs>
        <w:ind w:left="936" w:hanging="576"/>
      </w:pPr>
    </w:lvl>
    <w:lvl w:ilvl="2" w:tentative="0">
      <w:start w:val="1"/>
      <w:numFmt w:val="decimal"/>
      <w:pStyle w:val="6"/>
      <w:lvlText w:val="%1.%2.%3"/>
      <w:lvlJc w:val="left"/>
      <w:pPr>
        <w:tabs>
          <w:tab w:val="left" w:pos="1004"/>
        </w:tabs>
        <w:ind w:left="1004" w:hanging="720"/>
      </w:pPr>
      <w:rPr>
        <w:b w:val="0"/>
      </w:rPr>
    </w:lvl>
    <w:lvl w:ilvl="3" w:tentative="0">
      <w:start w:val="1"/>
      <w:numFmt w:val="decimal"/>
      <w:pStyle w:val="7"/>
      <w:lvlText w:val="%1.%2.%3.%4"/>
      <w:lvlJc w:val="left"/>
      <w:pPr>
        <w:tabs>
          <w:tab w:val="left" w:pos="1006"/>
        </w:tabs>
        <w:ind w:left="1006" w:hanging="864"/>
      </w:pPr>
      <w:rPr>
        <w:rFonts w:hint="default" w:ascii="Times New Roman" w:hAnsi="Times New Roman" w:cs="Times New Roman"/>
      </w:rPr>
    </w:lvl>
    <w:lvl w:ilvl="4" w:tentative="0">
      <w:start w:val="1"/>
      <w:numFmt w:val="decimal"/>
      <w:pStyle w:val="8"/>
      <w:lvlText w:val="%1.%2.%3.%4.%5"/>
      <w:lvlJc w:val="left"/>
      <w:pPr>
        <w:tabs>
          <w:tab w:val="left" w:pos="1008"/>
        </w:tabs>
        <w:ind w:left="1008" w:hanging="1008"/>
      </w:pPr>
    </w:lvl>
    <w:lvl w:ilvl="5" w:tentative="0">
      <w:start w:val="1"/>
      <w:numFmt w:val="decimal"/>
      <w:pStyle w:val="9"/>
      <w:lvlText w:val="%1.%2.%3.%4.%5.%6"/>
      <w:lvlJc w:val="left"/>
      <w:pPr>
        <w:tabs>
          <w:tab w:val="left" w:pos="1152"/>
        </w:tabs>
        <w:ind w:left="1152" w:hanging="1152"/>
      </w:pPr>
    </w:lvl>
    <w:lvl w:ilvl="6" w:tentative="0">
      <w:start w:val="1"/>
      <w:numFmt w:val="decimal"/>
      <w:pStyle w:val="10"/>
      <w:lvlText w:val="%1.%2.%3.%4.%5.%6.%7"/>
      <w:lvlJc w:val="left"/>
      <w:pPr>
        <w:tabs>
          <w:tab w:val="left" w:pos="1296"/>
        </w:tabs>
        <w:ind w:left="1296" w:hanging="1296"/>
      </w:pPr>
    </w:lvl>
    <w:lvl w:ilvl="7" w:tentative="0">
      <w:start w:val="1"/>
      <w:numFmt w:val="decimal"/>
      <w:pStyle w:val="11"/>
      <w:lvlText w:val="%1.%2.%3.%4.%5.%6.%7.%8"/>
      <w:lvlJc w:val="left"/>
      <w:pPr>
        <w:tabs>
          <w:tab w:val="left" w:pos="1440"/>
        </w:tabs>
        <w:ind w:left="1440" w:hanging="1440"/>
      </w:pPr>
    </w:lvl>
    <w:lvl w:ilvl="8" w:tentative="0">
      <w:start w:val="1"/>
      <w:numFmt w:val="decimal"/>
      <w:pStyle w:val="12"/>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zMzk5OTUwZTg1OTIwMzAwZDMwYTYxYmI5Y2VjYzcifQ=="/>
  </w:docVars>
  <w:rsids>
    <w:rsidRoot w:val="00172A27"/>
    <w:rsid w:val="00000374"/>
    <w:rsid w:val="00000526"/>
    <w:rsid w:val="00002283"/>
    <w:rsid w:val="00002C34"/>
    <w:rsid w:val="00003CF6"/>
    <w:rsid w:val="00006354"/>
    <w:rsid w:val="0001240F"/>
    <w:rsid w:val="0001333C"/>
    <w:rsid w:val="00015420"/>
    <w:rsid w:val="00016E33"/>
    <w:rsid w:val="00016E6E"/>
    <w:rsid w:val="00016F3F"/>
    <w:rsid w:val="000175A4"/>
    <w:rsid w:val="0001796D"/>
    <w:rsid w:val="00022411"/>
    <w:rsid w:val="00023737"/>
    <w:rsid w:val="00023AC5"/>
    <w:rsid w:val="00030877"/>
    <w:rsid w:val="0003312B"/>
    <w:rsid w:val="00036327"/>
    <w:rsid w:val="000429D9"/>
    <w:rsid w:val="000432CF"/>
    <w:rsid w:val="0004417A"/>
    <w:rsid w:val="00046194"/>
    <w:rsid w:val="000461A1"/>
    <w:rsid w:val="00046592"/>
    <w:rsid w:val="000473BD"/>
    <w:rsid w:val="00051659"/>
    <w:rsid w:val="00052615"/>
    <w:rsid w:val="000527AF"/>
    <w:rsid w:val="00053460"/>
    <w:rsid w:val="0005467F"/>
    <w:rsid w:val="0005637A"/>
    <w:rsid w:val="0006223E"/>
    <w:rsid w:val="00071EA1"/>
    <w:rsid w:val="00073BED"/>
    <w:rsid w:val="0007409D"/>
    <w:rsid w:val="00082E29"/>
    <w:rsid w:val="000837E0"/>
    <w:rsid w:val="00091278"/>
    <w:rsid w:val="0009244B"/>
    <w:rsid w:val="00095046"/>
    <w:rsid w:val="00095825"/>
    <w:rsid w:val="000958EB"/>
    <w:rsid w:val="00095C4C"/>
    <w:rsid w:val="000B0A78"/>
    <w:rsid w:val="000B3C0D"/>
    <w:rsid w:val="000B471F"/>
    <w:rsid w:val="000C5000"/>
    <w:rsid w:val="000D31A2"/>
    <w:rsid w:val="000D5A83"/>
    <w:rsid w:val="000D71AF"/>
    <w:rsid w:val="000E2D1B"/>
    <w:rsid w:val="000E4011"/>
    <w:rsid w:val="000E5746"/>
    <w:rsid w:val="000E61A1"/>
    <w:rsid w:val="000E755D"/>
    <w:rsid w:val="000F555E"/>
    <w:rsid w:val="00104004"/>
    <w:rsid w:val="001044EB"/>
    <w:rsid w:val="00106E60"/>
    <w:rsid w:val="00111CE7"/>
    <w:rsid w:val="0011519E"/>
    <w:rsid w:val="00121169"/>
    <w:rsid w:val="00121E6C"/>
    <w:rsid w:val="0012279C"/>
    <w:rsid w:val="001237DF"/>
    <w:rsid w:val="00126E48"/>
    <w:rsid w:val="00126FBC"/>
    <w:rsid w:val="001312E6"/>
    <w:rsid w:val="00133B50"/>
    <w:rsid w:val="00135A57"/>
    <w:rsid w:val="0014675D"/>
    <w:rsid w:val="001471C6"/>
    <w:rsid w:val="001476A1"/>
    <w:rsid w:val="001479D4"/>
    <w:rsid w:val="00150DD1"/>
    <w:rsid w:val="00151DFB"/>
    <w:rsid w:val="00153248"/>
    <w:rsid w:val="0015538C"/>
    <w:rsid w:val="00160108"/>
    <w:rsid w:val="0016123C"/>
    <w:rsid w:val="00161DD0"/>
    <w:rsid w:val="00162842"/>
    <w:rsid w:val="00163FD4"/>
    <w:rsid w:val="00165EE2"/>
    <w:rsid w:val="00170885"/>
    <w:rsid w:val="00172A27"/>
    <w:rsid w:val="00176D57"/>
    <w:rsid w:val="00177BC1"/>
    <w:rsid w:val="00180287"/>
    <w:rsid w:val="0018029F"/>
    <w:rsid w:val="001836F3"/>
    <w:rsid w:val="00187D36"/>
    <w:rsid w:val="00191601"/>
    <w:rsid w:val="00194961"/>
    <w:rsid w:val="0019772E"/>
    <w:rsid w:val="001A3119"/>
    <w:rsid w:val="001A3F73"/>
    <w:rsid w:val="001A7CC0"/>
    <w:rsid w:val="001B082E"/>
    <w:rsid w:val="001B2A8C"/>
    <w:rsid w:val="001B4CC6"/>
    <w:rsid w:val="001B69A1"/>
    <w:rsid w:val="001C05BE"/>
    <w:rsid w:val="001C17B4"/>
    <w:rsid w:val="001C1AC6"/>
    <w:rsid w:val="001C7FAB"/>
    <w:rsid w:val="001D24A3"/>
    <w:rsid w:val="001E74F9"/>
    <w:rsid w:val="001F137B"/>
    <w:rsid w:val="001F3417"/>
    <w:rsid w:val="001F3D13"/>
    <w:rsid w:val="002036A5"/>
    <w:rsid w:val="00207237"/>
    <w:rsid w:val="002100DE"/>
    <w:rsid w:val="00212744"/>
    <w:rsid w:val="002127F8"/>
    <w:rsid w:val="002128C8"/>
    <w:rsid w:val="00215E9D"/>
    <w:rsid w:val="00222342"/>
    <w:rsid w:val="00225625"/>
    <w:rsid w:val="00230311"/>
    <w:rsid w:val="002315E2"/>
    <w:rsid w:val="00232433"/>
    <w:rsid w:val="00232BF9"/>
    <w:rsid w:val="002355F8"/>
    <w:rsid w:val="00236983"/>
    <w:rsid w:val="002369A6"/>
    <w:rsid w:val="00242A71"/>
    <w:rsid w:val="002473EA"/>
    <w:rsid w:val="002474B0"/>
    <w:rsid w:val="002501C8"/>
    <w:rsid w:val="002541DB"/>
    <w:rsid w:val="00255B88"/>
    <w:rsid w:val="0025774E"/>
    <w:rsid w:val="0026096C"/>
    <w:rsid w:val="002633C2"/>
    <w:rsid w:val="00264372"/>
    <w:rsid w:val="0026752C"/>
    <w:rsid w:val="00267FCC"/>
    <w:rsid w:val="00270A4E"/>
    <w:rsid w:val="0028458E"/>
    <w:rsid w:val="00285FF2"/>
    <w:rsid w:val="002865AD"/>
    <w:rsid w:val="00290A63"/>
    <w:rsid w:val="002919BC"/>
    <w:rsid w:val="00291A36"/>
    <w:rsid w:val="002933C6"/>
    <w:rsid w:val="0029561D"/>
    <w:rsid w:val="002A1141"/>
    <w:rsid w:val="002A3062"/>
    <w:rsid w:val="002A428E"/>
    <w:rsid w:val="002A42B5"/>
    <w:rsid w:val="002A70ED"/>
    <w:rsid w:val="002B041B"/>
    <w:rsid w:val="002B58A7"/>
    <w:rsid w:val="002B71B2"/>
    <w:rsid w:val="002C3D30"/>
    <w:rsid w:val="002C4260"/>
    <w:rsid w:val="002C5EE3"/>
    <w:rsid w:val="002C60A9"/>
    <w:rsid w:val="002D3786"/>
    <w:rsid w:val="002D3C55"/>
    <w:rsid w:val="002D7D0B"/>
    <w:rsid w:val="002E1651"/>
    <w:rsid w:val="002E4380"/>
    <w:rsid w:val="002F1FFC"/>
    <w:rsid w:val="002F3281"/>
    <w:rsid w:val="002F35AA"/>
    <w:rsid w:val="002F5407"/>
    <w:rsid w:val="002F6389"/>
    <w:rsid w:val="002F7D69"/>
    <w:rsid w:val="0030107F"/>
    <w:rsid w:val="00301E6F"/>
    <w:rsid w:val="00302B5B"/>
    <w:rsid w:val="00310806"/>
    <w:rsid w:val="00310AB8"/>
    <w:rsid w:val="003148BC"/>
    <w:rsid w:val="00316E18"/>
    <w:rsid w:val="003215FF"/>
    <w:rsid w:val="003227D9"/>
    <w:rsid w:val="00323174"/>
    <w:rsid w:val="00324A66"/>
    <w:rsid w:val="00327B16"/>
    <w:rsid w:val="00327DA9"/>
    <w:rsid w:val="00333882"/>
    <w:rsid w:val="003439C6"/>
    <w:rsid w:val="00344204"/>
    <w:rsid w:val="00346C78"/>
    <w:rsid w:val="00354734"/>
    <w:rsid w:val="00356B3C"/>
    <w:rsid w:val="00356E92"/>
    <w:rsid w:val="0036021C"/>
    <w:rsid w:val="0036351E"/>
    <w:rsid w:val="00365683"/>
    <w:rsid w:val="00367004"/>
    <w:rsid w:val="003726C7"/>
    <w:rsid w:val="00373A0A"/>
    <w:rsid w:val="00373CED"/>
    <w:rsid w:val="00374E26"/>
    <w:rsid w:val="00376A66"/>
    <w:rsid w:val="00376ED4"/>
    <w:rsid w:val="00384CD9"/>
    <w:rsid w:val="00390BF2"/>
    <w:rsid w:val="0039471D"/>
    <w:rsid w:val="003A04E6"/>
    <w:rsid w:val="003A4DE4"/>
    <w:rsid w:val="003A7209"/>
    <w:rsid w:val="003B6AD2"/>
    <w:rsid w:val="003C412E"/>
    <w:rsid w:val="003D159A"/>
    <w:rsid w:val="003D1EFD"/>
    <w:rsid w:val="003D1F60"/>
    <w:rsid w:val="003D4C1C"/>
    <w:rsid w:val="003D65EC"/>
    <w:rsid w:val="003D723E"/>
    <w:rsid w:val="003D777F"/>
    <w:rsid w:val="003D781D"/>
    <w:rsid w:val="003E0BD5"/>
    <w:rsid w:val="003E78B3"/>
    <w:rsid w:val="003F3136"/>
    <w:rsid w:val="003F49AB"/>
    <w:rsid w:val="003F60A6"/>
    <w:rsid w:val="00400AF6"/>
    <w:rsid w:val="0040183F"/>
    <w:rsid w:val="00403023"/>
    <w:rsid w:val="004051B1"/>
    <w:rsid w:val="004076D6"/>
    <w:rsid w:val="00413464"/>
    <w:rsid w:val="00415B09"/>
    <w:rsid w:val="00421194"/>
    <w:rsid w:val="004262CA"/>
    <w:rsid w:val="00427ED7"/>
    <w:rsid w:val="00444F81"/>
    <w:rsid w:val="0044594C"/>
    <w:rsid w:val="0045048E"/>
    <w:rsid w:val="0045296D"/>
    <w:rsid w:val="00455660"/>
    <w:rsid w:val="00455DCA"/>
    <w:rsid w:val="00457679"/>
    <w:rsid w:val="0046239C"/>
    <w:rsid w:val="00467347"/>
    <w:rsid w:val="00467563"/>
    <w:rsid w:val="00467B84"/>
    <w:rsid w:val="00470D11"/>
    <w:rsid w:val="004817BB"/>
    <w:rsid w:val="00482A88"/>
    <w:rsid w:val="00482EF3"/>
    <w:rsid w:val="004837DF"/>
    <w:rsid w:val="0048403F"/>
    <w:rsid w:val="004842D5"/>
    <w:rsid w:val="00485195"/>
    <w:rsid w:val="00485E80"/>
    <w:rsid w:val="00486351"/>
    <w:rsid w:val="00486954"/>
    <w:rsid w:val="00490C39"/>
    <w:rsid w:val="004952AC"/>
    <w:rsid w:val="00497746"/>
    <w:rsid w:val="004A13A2"/>
    <w:rsid w:val="004A20D0"/>
    <w:rsid w:val="004A3ED4"/>
    <w:rsid w:val="004A4B47"/>
    <w:rsid w:val="004B024A"/>
    <w:rsid w:val="004B2BD8"/>
    <w:rsid w:val="004B3D52"/>
    <w:rsid w:val="004B43BA"/>
    <w:rsid w:val="004B484A"/>
    <w:rsid w:val="004B7270"/>
    <w:rsid w:val="004B7EA4"/>
    <w:rsid w:val="004C54C9"/>
    <w:rsid w:val="004D27E4"/>
    <w:rsid w:val="004D6ABB"/>
    <w:rsid w:val="004D7FAC"/>
    <w:rsid w:val="004E1816"/>
    <w:rsid w:val="004E2B05"/>
    <w:rsid w:val="004F0B1F"/>
    <w:rsid w:val="004F0E6B"/>
    <w:rsid w:val="004F2B2E"/>
    <w:rsid w:val="005033DD"/>
    <w:rsid w:val="00511D26"/>
    <w:rsid w:val="00517041"/>
    <w:rsid w:val="005177D8"/>
    <w:rsid w:val="00522422"/>
    <w:rsid w:val="005237A4"/>
    <w:rsid w:val="0052621F"/>
    <w:rsid w:val="00526FA4"/>
    <w:rsid w:val="00534579"/>
    <w:rsid w:val="00540545"/>
    <w:rsid w:val="00547032"/>
    <w:rsid w:val="0054724A"/>
    <w:rsid w:val="00550110"/>
    <w:rsid w:val="00551A7A"/>
    <w:rsid w:val="00551C95"/>
    <w:rsid w:val="00554BD1"/>
    <w:rsid w:val="00555B41"/>
    <w:rsid w:val="00556716"/>
    <w:rsid w:val="0055731E"/>
    <w:rsid w:val="005575EF"/>
    <w:rsid w:val="00560986"/>
    <w:rsid w:val="00561DEC"/>
    <w:rsid w:val="005643F8"/>
    <w:rsid w:val="00564639"/>
    <w:rsid w:val="005700D0"/>
    <w:rsid w:val="005726D0"/>
    <w:rsid w:val="00573818"/>
    <w:rsid w:val="00574C5C"/>
    <w:rsid w:val="00574F56"/>
    <w:rsid w:val="005754AB"/>
    <w:rsid w:val="00583E4B"/>
    <w:rsid w:val="00585BC0"/>
    <w:rsid w:val="00585BF6"/>
    <w:rsid w:val="00595F80"/>
    <w:rsid w:val="00597351"/>
    <w:rsid w:val="005A714C"/>
    <w:rsid w:val="005C130C"/>
    <w:rsid w:val="005C2068"/>
    <w:rsid w:val="005C523A"/>
    <w:rsid w:val="005C6775"/>
    <w:rsid w:val="005D0A5E"/>
    <w:rsid w:val="005D5D99"/>
    <w:rsid w:val="005D68CC"/>
    <w:rsid w:val="005D6B8E"/>
    <w:rsid w:val="005E2043"/>
    <w:rsid w:val="005E3B17"/>
    <w:rsid w:val="005E4DA8"/>
    <w:rsid w:val="005E5247"/>
    <w:rsid w:val="005E64C3"/>
    <w:rsid w:val="005F0A74"/>
    <w:rsid w:val="005F1AFF"/>
    <w:rsid w:val="005F1EB3"/>
    <w:rsid w:val="006013A3"/>
    <w:rsid w:val="00604669"/>
    <w:rsid w:val="0060588E"/>
    <w:rsid w:val="00606A52"/>
    <w:rsid w:val="00606BB9"/>
    <w:rsid w:val="0060719F"/>
    <w:rsid w:val="006100FC"/>
    <w:rsid w:val="006113FF"/>
    <w:rsid w:val="006257D8"/>
    <w:rsid w:val="00627373"/>
    <w:rsid w:val="00632D6E"/>
    <w:rsid w:val="00640291"/>
    <w:rsid w:val="00640356"/>
    <w:rsid w:val="006413E4"/>
    <w:rsid w:val="00642954"/>
    <w:rsid w:val="006431BF"/>
    <w:rsid w:val="00643A79"/>
    <w:rsid w:val="0065516E"/>
    <w:rsid w:val="00656054"/>
    <w:rsid w:val="00660E90"/>
    <w:rsid w:val="0066123F"/>
    <w:rsid w:val="00662465"/>
    <w:rsid w:val="0066372F"/>
    <w:rsid w:val="00665E85"/>
    <w:rsid w:val="00667E07"/>
    <w:rsid w:val="00670836"/>
    <w:rsid w:val="00671855"/>
    <w:rsid w:val="00676482"/>
    <w:rsid w:val="00682875"/>
    <w:rsid w:val="00686D8B"/>
    <w:rsid w:val="00697F57"/>
    <w:rsid w:val="006A0147"/>
    <w:rsid w:val="006A296A"/>
    <w:rsid w:val="006A2A28"/>
    <w:rsid w:val="006A32E9"/>
    <w:rsid w:val="006A368C"/>
    <w:rsid w:val="006A3CF4"/>
    <w:rsid w:val="006A50A1"/>
    <w:rsid w:val="006B0E3B"/>
    <w:rsid w:val="006B59BA"/>
    <w:rsid w:val="006C0F0D"/>
    <w:rsid w:val="006C278B"/>
    <w:rsid w:val="006C2C9F"/>
    <w:rsid w:val="006C4384"/>
    <w:rsid w:val="006C6172"/>
    <w:rsid w:val="006D172C"/>
    <w:rsid w:val="006D19EC"/>
    <w:rsid w:val="006D1A74"/>
    <w:rsid w:val="006D580B"/>
    <w:rsid w:val="006E077F"/>
    <w:rsid w:val="006E138C"/>
    <w:rsid w:val="006E1E91"/>
    <w:rsid w:val="006E3D33"/>
    <w:rsid w:val="006E5C5F"/>
    <w:rsid w:val="006E6EB3"/>
    <w:rsid w:val="006E7D4E"/>
    <w:rsid w:val="006F1FF2"/>
    <w:rsid w:val="006F3AC8"/>
    <w:rsid w:val="007009E9"/>
    <w:rsid w:val="00707793"/>
    <w:rsid w:val="00711F4E"/>
    <w:rsid w:val="00712720"/>
    <w:rsid w:val="00715819"/>
    <w:rsid w:val="007165DF"/>
    <w:rsid w:val="00716B4D"/>
    <w:rsid w:val="00722530"/>
    <w:rsid w:val="00722A6B"/>
    <w:rsid w:val="007249B4"/>
    <w:rsid w:val="00727A55"/>
    <w:rsid w:val="00731CCA"/>
    <w:rsid w:val="00732CCC"/>
    <w:rsid w:val="00732EC1"/>
    <w:rsid w:val="007339A6"/>
    <w:rsid w:val="00733A9B"/>
    <w:rsid w:val="00735E78"/>
    <w:rsid w:val="0073622F"/>
    <w:rsid w:val="0074435D"/>
    <w:rsid w:val="00746874"/>
    <w:rsid w:val="007468E3"/>
    <w:rsid w:val="00747534"/>
    <w:rsid w:val="007568FF"/>
    <w:rsid w:val="007658F4"/>
    <w:rsid w:val="00765C9F"/>
    <w:rsid w:val="00777782"/>
    <w:rsid w:val="007825A9"/>
    <w:rsid w:val="00784F44"/>
    <w:rsid w:val="007872B1"/>
    <w:rsid w:val="00791768"/>
    <w:rsid w:val="007964FC"/>
    <w:rsid w:val="007A07D3"/>
    <w:rsid w:val="007A37DF"/>
    <w:rsid w:val="007A3AAF"/>
    <w:rsid w:val="007A3DBB"/>
    <w:rsid w:val="007A6138"/>
    <w:rsid w:val="007A7FB8"/>
    <w:rsid w:val="007B0AB9"/>
    <w:rsid w:val="007B1CA0"/>
    <w:rsid w:val="007B3B7A"/>
    <w:rsid w:val="007B4E3B"/>
    <w:rsid w:val="007B7C69"/>
    <w:rsid w:val="007C137B"/>
    <w:rsid w:val="007C1B9D"/>
    <w:rsid w:val="007C41D8"/>
    <w:rsid w:val="007C4FB8"/>
    <w:rsid w:val="007C5922"/>
    <w:rsid w:val="007C75FC"/>
    <w:rsid w:val="007C7DE8"/>
    <w:rsid w:val="007D0FE8"/>
    <w:rsid w:val="007D3432"/>
    <w:rsid w:val="007D7FAE"/>
    <w:rsid w:val="007E3856"/>
    <w:rsid w:val="007E39A7"/>
    <w:rsid w:val="007E3D72"/>
    <w:rsid w:val="007E468D"/>
    <w:rsid w:val="007E7111"/>
    <w:rsid w:val="007F2EFC"/>
    <w:rsid w:val="007F6209"/>
    <w:rsid w:val="007F686C"/>
    <w:rsid w:val="007F6ED8"/>
    <w:rsid w:val="0080272E"/>
    <w:rsid w:val="008042ED"/>
    <w:rsid w:val="00804833"/>
    <w:rsid w:val="008070C1"/>
    <w:rsid w:val="00810129"/>
    <w:rsid w:val="00811959"/>
    <w:rsid w:val="00813B40"/>
    <w:rsid w:val="00815D5D"/>
    <w:rsid w:val="0081694C"/>
    <w:rsid w:val="00817C7F"/>
    <w:rsid w:val="00820CE7"/>
    <w:rsid w:val="00823094"/>
    <w:rsid w:val="00823595"/>
    <w:rsid w:val="00823D28"/>
    <w:rsid w:val="00823E8E"/>
    <w:rsid w:val="00831357"/>
    <w:rsid w:val="00837420"/>
    <w:rsid w:val="00840DC6"/>
    <w:rsid w:val="008426FF"/>
    <w:rsid w:val="00844345"/>
    <w:rsid w:val="0084732D"/>
    <w:rsid w:val="00847A7D"/>
    <w:rsid w:val="00850DC3"/>
    <w:rsid w:val="00855956"/>
    <w:rsid w:val="008657DF"/>
    <w:rsid w:val="008679AB"/>
    <w:rsid w:val="00867B2C"/>
    <w:rsid w:val="00871FA6"/>
    <w:rsid w:val="0087215A"/>
    <w:rsid w:val="008732EB"/>
    <w:rsid w:val="00880D68"/>
    <w:rsid w:val="00884245"/>
    <w:rsid w:val="00885D67"/>
    <w:rsid w:val="00891AEC"/>
    <w:rsid w:val="008939F5"/>
    <w:rsid w:val="00894BE3"/>
    <w:rsid w:val="008957BA"/>
    <w:rsid w:val="00897C58"/>
    <w:rsid w:val="008A5D6E"/>
    <w:rsid w:val="008B02DF"/>
    <w:rsid w:val="008B0BEF"/>
    <w:rsid w:val="008B1555"/>
    <w:rsid w:val="008B383C"/>
    <w:rsid w:val="008B4080"/>
    <w:rsid w:val="008B6B6B"/>
    <w:rsid w:val="008C09D4"/>
    <w:rsid w:val="008C382A"/>
    <w:rsid w:val="008C6D13"/>
    <w:rsid w:val="008D59C6"/>
    <w:rsid w:val="008D5BA8"/>
    <w:rsid w:val="008E579C"/>
    <w:rsid w:val="008E66CD"/>
    <w:rsid w:val="008F2C47"/>
    <w:rsid w:val="00900A6A"/>
    <w:rsid w:val="00900E51"/>
    <w:rsid w:val="00901E81"/>
    <w:rsid w:val="0090321F"/>
    <w:rsid w:val="0090326C"/>
    <w:rsid w:val="009141CF"/>
    <w:rsid w:val="009141ED"/>
    <w:rsid w:val="00915BAA"/>
    <w:rsid w:val="009206CC"/>
    <w:rsid w:val="00925EBC"/>
    <w:rsid w:val="00932A6E"/>
    <w:rsid w:val="009373B1"/>
    <w:rsid w:val="00940AB9"/>
    <w:rsid w:val="00940CED"/>
    <w:rsid w:val="009434D1"/>
    <w:rsid w:val="00944AB5"/>
    <w:rsid w:val="0094750E"/>
    <w:rsid w:val="0094756A"/>
    <w:rsid w:val="009527C0"/>
    <w:rsid w:val="00956E3F"/>
    <w:rsid w:val="00960665"/>
    <w:rsid w:val="0096139E"/>
    <w:rsid w:val="00961552"/>
    <w:rsid w:val="00966247"/>
    <w:rsid w:val="00970716"/>
    <w:rsid w:val="00971B72"/>
    <w:rsid w:val="009739D2"/>
    <w:rsid w:val="00977AD9"/>
    <w:rsid w:val="00980355"/>
    <w:rsid w:val="00982466"/>
    <w:rsid w:val="009845CC"/>
    <w:rsid w:val="00987581"/>
    <w:rsid w:val="0099564C"/>
    <w:rsid w:val="00997957"/>
    <w:rsid w:val="009A565A"/>
    <w:rsid w:val="009A7433"/>
    <w:rsid w:val="009B02FC"/>
    <w:rsid w:val="009B087F"/>
    <w:rsid w:val="009B0B41"/>
    <w:rsid w:val="009B428A"/>
    <w:rsid w:val="009C0650"/>
    <w:rsid w:val="009C108C"/>
    <w:rsid w:val="009C1E4A"/>
    <w:rsid w:val="009D1A95"/>
    <w:rsid w:val="009D78AE"/>
    <w:rsid w:val="009E05D6"/>
    <w:rsid w:val="009F41A2"/>
    <w:rsid w:val="00A00646"/>
    <w:rsid w:val="00A01B2E"/>
    <w:rsid w:val="00A0395D"/>
    <w:rsid w:val="00A0599E"/>
    <w:rsid w:val="00A0725A"/>
    <w:rsid w:val="00A106B9"/>
    <w:rsid w:val="00A10E7C"/>
    <w:rsid w:val="00A10EE0"/>
    <w:rsid w:val="00A12EDD"/>
    <w:rsid w:val="00A143A1"/>
    <w:rsid w:val="00A15C58"/>
    <w:rsid w:val="00A176A1"/>
    <w:rsid w:val="00A23A61"/>
    <w:rsid w:val="00A24786"/>
    <w:rsid w:val="00A25D8C"/>
    <w:rsid w:val="00A276BF"/>
    <w:rsid w:val="00A33D21"/>
    <w:rsid w:val="00A353CE"/>
    <w:rsid w:val="00A40D4E"/>
    <w:rsid w:val="00A41A55"/>
    <w:rsid w:val="00A52C02"/>
    <w:rsid w:val="00A54A6B"/>
    <w:rsid w:val="00A54EBE"/>
    <w:rsid w:val="00A6240F"/>
    <w:rsid w:val="00A70D65"/>
    <w:rsid w:val="00A71707"/>
    <w:rsid w:val="00A7387B"/>
    <w:rsid w:val="00A76C55"/>
    <w:rsid w:val="00A83B7E"/>
    <w:rsid w:val="00A86A37"/>
    <w:rsid w:val="00A86F18"/>
    <w:rsid w:val="00A875EC"/>
    <w:rsid w:val="00A9104C"/>
    <w:rsid w:val="00A96477"/>
    <w:rsid w:val="00A96B41"/>
    <w:rsid w:val="00AA1526"/>
    <w:rsid w:val="00AA1EC3"/>
    <w:rsid w:val="00AA1F2A"/>
    <w:rsid w:val="00AA4245"/>
    <w:rsid w:val="00AA494F"/>
    <w:rsid w:val="00AB178E"/>
    <w:rsid w:val="00AB28E7"/>
    <w:rsid w:val="00AB2BA9"/>
    <w:rsid w:val="00AB3975"/>
    <w:rsid w:val="00AB4D5B"/>
    <w:rsid w:val="00AB64EC"/>
    <w:rsid w:val="00AB67F6"/>
    <w:rsid w:val="00AC168F"/>
    <w:rsid w:val="00AC3F24"/>
    <w:rsid w:val="00AC6CBE"/>
    <w:rsid w:val="00AC7E40"/>
    <w:rsid w:val="00AC7EF8"/>
    <w:rsid w:val="00AD2942"/>
    <w:rsid w:val="00AD40B0"/>
    <w:rsid w:val="00AD50A0"/>
    <w:rsid w:val="00AD66EE"/>
    <w:rsid w:val="00AE1D92"/>
    <w:rsid w:val="00AE3910"/>
    <w:rsid w:val="00AE5B33"/>
    <w:rsid w:val="00AE7046"/>
    <w:rsid w:val="00AF1A57"/>
    <w:rsid w:val="00AF637A"/>
    <w:rsid w:val="00AF7A3F"/>
    <w:rsid w:val="00B0464B"/>
    <w:rsid w:val="00B054A7"/>
    <w:rsid w:val="00B065A2"/>
    <w:rsid w:val="00B077AB"/>
    <w:rsid w:val="00B1207B"/>
    <w:rsid w:val="00B12516"/>
    <w:rsid w:val="00B134DF"/>
    <w:rsid w:val="00B13998"/>
    <w:rsid w:val="00B17E9F"/>
    <w:rsid w:val="00B21D04"/>
    <w:rsid w:val="00B26B3C"/>
    <w:rsid w:val="00B30B63"/>
    <w:rsid w:val="00B35B31"/>
    <w:rsid w:val="00B36710"/>
    <w:rsid w:val="00B40DC4"/>
    <w:rsid w:val="00B533EA"/>
    <w:rsid w:val="00B608D3"/>
    <w:rsid w:val="00B60D0F"/>
    <w:rsid w:val="00B60FAB"/>
    <w:rsid w:val="00B63633"/>
    <w:rsid w:val="00B70810"/>
    <w:rsid w:val="00B70A94"/>
    <w:rsid w:val="00B72AC3"/>
    <w:rsid w:val="00B74F5D"/>
    <w:rsid w:val="00B76DCA"/>
    <w:rsid w:val="00B77D00"/>
    <w:rsid w:val="00B8125D"/>
    <w:rsid w:val="00B84D44"/>
    <w:rsid w:val="00B85B67"/>
    <w:rsid w:val="00B9071C"/>
    <w:rsid w:val="00B92914"/>
    <w:rsid w:val="00B93D3C"/>
    <w:rsid w:val="00B93F24"/>
    <w:rsid w:val="00BA1F90"/>
    <w:rsid w:val="00BA415F"/>
    <w:rsid w:val="00BA6E3F"/>
    <w:rsid w:val="00BA7393"/>
    <w:rsid w:val="00BB02B9"/>
    <w:rsid w:val="00BB2A95"/>
    <w:rsid w:val="00BB2B0C"/>
    <w:rsid w:val="00BC55A9"/>
    <w:rsid w:val="00BC7ECF"/>
    <w:rsid w:val="00BD12BC"/>
    <w:rsid w:val="00BD20DA"/>
    <w:rsid w:val="00BD710C"/>
    <w:rsid w:val="00BE111B"/>
    <w:rsid w:val="00BE1137"/>
    <w:rsid w:val="00BE13BD"/>
    <w:rsid w:val="00BE1AD5"/>
    <w:rsid w:val="00BE39B1"/>
    <w:rsid w:val="00BE4685"/>
    <w:rsid w:val="00BE6BB6"/>
    <w:rsid w:val="00BE7BBE"/>
    <w:rsid w:val="00BF5BBE"/>
    <w:rsid w:val="00C02A94"/>
    <w:rsid w:val="00C10A04"/>
    <w:rsid w:val="00C10A70"/>
    <w:rsid w:val="00C11DBC"/>
    <w:rsid w:val="00C12D41"/>
    <w:rsid w:val="00C13D0F"/>
    <w:rsid w:val="00C14F69"/>
    <w:rsid w:val="00C17603"/>
    <w:rsid w:val="00C212D2"/>
    <w:rsid w:val="00C2515F"/>
    <w:rsid w:val="00C27461"/>
    <w:rsid w:val="00C401F3"/>
    <w:rsid w:val="00C40740"/>
    <w:rsid w:val="00C40EB0"/>
    <w:rsid w:val="00C44D3D"/>
    <w:rsid w:val="00C45D0E"/>
    <w:rsid w:val="00C468D2"/>
    <w:rsid w:val="00C47922"/>
    <w:rsid w:val="00C51025"/>
    <w:rsid w:val="00C556CC"/>
    <w:rsid w:val="00C55C0C"/>
    <w:rsid w:val="00C57DFA"/>
    <w:rsid w:val="00C600ED"/>
    <w:rsid w:val="00C604C9"/>
    <w:rsid w:val="00C60919"/>
    <w:rsid w:val="00C619FA"/>
    <w:rsid w:val="00C61AF2"/>
    <w:rsid w:val="00C61C99"/>
    <w:rsid w:val="00C62890"/>
    <w:rsid w:val="00C70512"/>
    <w:rsid w:val="00C721AF"/>
    <w:rsid w:val="00C73EB0"/>
    <w:rsid w:val="00C742DA"/>
    <w:rsid w:val="00C755AE"/>
    <w:rsid w:val="00C7704F"/>
    <w:rsid w:val="00C81177"/>
    <w:rsid w:val="00C83EEE"/>
    <w:rsid w:val="00C868FE"/>
    <w:rsid w:val="00C87D42"/>
    <w:rsid w:val="00C9235B"/>
    <w:rsid w:val="00C9477B"/>
    <w:rsid w:val="00C9596A"/>
    <w:rsid w:val="00C96E3A"/>
    <w:rsid w:val="00CA45A1"/>
    <w:rsid w:val="00CA7088"/>
    <w:rsid w:val="00CA7ED0"/>
    <w:rsid w:val="00CB2057"/>
    <w:rsid w:val="00CC03BD"/>
    <w:rsid w:val="00CC4439"/>
    <w:rsid w:val="00CC5DD1"/>
    <w:rsid w:val="00CC61F1"/>
    <w:rsid w:val="00CD075D"/>
    <w:rsid w:val="00CD6266"/>
    <w:rsid w:val="00CD74F4"/>
    <w:rsid w:val="00CE0C5E"/>
    <w:rsid w:val="00CE18C1"/>
    <w:rsid w:val="00CE3385"/>
    <w:rsid w:val="00CE59F6"/>
    <w:rsid w:val="00CE77E7"/>
    <w:rsid w:val="00CF1395"/>
    <w:rsid w:val="00CF3D99"/>
    <w:rsid w:val="00D02DF4"/>
    <w:rsid w:val="00D04D31"/>
    <w:rsid w:val="00D05944"/>
    <w:rsid w:val="00D11018"/>
    <w:rsid w:val="00D11DFA"/>
    <w:rsid w:val="00D136FD"/>
    <w:rsid w:val="00D17DFF"/>
    <w:rsid w:val="00D211F3"/>
    <w:rsid w:val="00D3278F"/>
    <w:rsid w:val="00D33634"/>
    <w:rsid w:val="00D33ECE"/>
    <w:rsid w:val="00D362E6"/>
    <w:rsid w:val="00D36E07"/>
    <w:rsid w:val="00D40D83"/>
    <w:rsid w:val="00D45DF4"/>
    <w:rsid w:val="00D47989"/>
    <w:rsid w:val="00D55124"/>
    <w:rsid w:val="00D57AFB"/>
    <w:rsid w:val="00D60FFA"/>
    <w:rsid w:val="00D619AD"/>
    <w:rsid w:val="00D62500"/>
    <w:rsid w:val="00D64836"/>
    <w:rsid w:val="00D64EB3"/>
    <w:rsid w:val="00D65EFE"/>
    <w:rsid w:val="00D74420"/>
    <w:rsid w:val="00D80EE5"/>
    <w:rsid w:val="00D8403E"/>
    <w:rsid w:val="00D84CAB"/>
    <w:rsid w:val="00D85301"/>
    <w:rsid w:val="00D86E44"/>
    <w:rsid w:val="00D87421"/>
    <w:rsid w:val="00D91C16"/>
    <w:rsid w:val="00D93E25"/>
    <w:rsid w:val="00D93F38"/>
    <w:rsid w:val="00D94CD2"/>
    <w:rsid w:val="00D94E2B"/>
    <w:rsid w:val="00D94ECA"/>
    <w:rsid w:val="00DA5790"/>
    <w:rsid w:val="00DA7655"/>
    <w:rsid w:val="00DB02D1"/>
    <w:rsid w:val="00DB089C"/>
    <w:rsid w:val="00DB0FDC"/>
    <w:rsid w:val="00DB7CD9"/>
    <w:rsid w:val="00DB7E0B"/>
    <w:rsid w:val="00DB7E0F"/>
    <w:rsid w:val="00DC4186"/>
    <w:rsid w:val="00DC4B79"/>
    <w:rsid w:val="00DC5D82"/>
    <w:rsid w:val="00DC613D"/>
    <w:rsid w:val="00DD4C78"/>
    <w:rsid w:val="00DD5502"/>
    <w:rsid w:val="00DD666E"/>
    <w:rsid w:val="00DE0376"/>
    <w:rsid w:val="00DE6282"/>
    <w:rsid w:val="00DE6514"/>
    <w:rsid w:val="00DE7578"/>
    <w:rsid w:val="00DF2DCE"/>
    <w:rsid w:val="00DF4471"/>
    <w:rsid w:val="00DF5720"/>
    <w:rsid w:val="00E01094"/>
    <w:rsid w:val="00E0432D"/>
    <w:rsid w:val="00E11552"/>
    <w:rsid w:val="00E1155C"/>
    <w:rsid w:val="00E130BE"/>
    <w:rsid w:val="00E132DD"/>
    <w:rsid w:val="00E15A80"/>
    <w:rsid w:val="00E21247"/>
    <w:rsid w:val="00E236CF"/>
    <w:rsid w:val="00E31251"/>
    <w:rsid w:val="00E331C2"/>
    <w:rsid w:val="00E33282"/>
    <w:rsid w:val="00E33529"/>
    <w:rsid w:val="00E3373F"/>
    <w:rsid w:val="00E3387B"/>
    <w:rsid w:val="00E40E1F"/>
    <w:rsid w:val="00E417A6"/>
    <w:rsid w:val="00E42C54"/>
    <w:rsid w:val="00E42EB7"/>
    <w:rsid w:val="00E47A05"/>
    <w:rsid w:val="00E515BE"/>
    <w:rsid w:val="00E54EAE"/>
    <w:rsid w:val="00E56B78"/>
    <w:rsid w:val="00E61804"/>
    <w:rsid w:val="00E671DE"/>
    <w:rsid w:val="00E703A6"/>
    <w:rsid w:val="00E704B3"/>
    <w:rsid w:val="00E710C4"/>
    <w:rsid w:val="00E72E89"/>
    <w:rsid w:val="00E751A7"/>
    <w:rsid w:val="00E76CE1"/>
    <w:rsid w:val="00E854E9"/>
    <w:rsid w:val="00E869C4"/>
    <w:rsid w:val="00E86B71"/>
    <w:rsid w:val="00E90BB3"/>
    <w:rsid w:val="00E91F5B"/>
    <w:rsid w:val="00E93845"/>
    <w:rsid w:val="00E94BF4"/>
    <w:rsid w:val="00E955A8"/>
    <w:rsid w:val="00E95635"/>
    <w:rsid w:val="00EA406A"/>
    <w:rsid w:val="00EA6AA1"/>
    <w:rsid w:val="00EB00A4"/>
    <w:rsid w:val="00EB68F4"/>
    <w:rsid w:val="00EB6F7F"/>
    <w:rsid w:val="00EC04FB"/>
    <w:rsid w:val="00EC14E3"/>
    <w:rsid w:val="00EC5B39"/>
    <w:rsid w:val="00ED07DD"/>
    <w:rsid w:val="00ED0E21"/>
    <w:rsid w:val="00ED45FC"/>
    <w:rsid w:val="00ED6958"/>
    <w:rsid w:val="00EE4644"/>
    <w:rsid w:val="00EE4ADE"/>
    <w:rsid w:val="00EE56EC"/>
    <w:rsid w:val="00EE70C2"/>
    <w:rsid w:val="00EF755E"/>
    <w:rsid w:val="00F032CC"/>
    <w:rsid w:val="00F05F86"/>
    <w:rsid w:val="00F06074"/>
    <w:rsid w:val="00F061FA"/>
    <w:rsid w:val="00F11911"/>
    <w:rsid w:val="00F120D8"/>
    <w:rsid w:val="00F12870"/>
    <w:rsid w:val="00F248F6"/>
    <w:rsid w:val="00F26215"/>
    <w:rsid w:val="00F27763"/>
    <w:rsid w:val="00F30828"/>
    <w:rsid w:val="00F439C2"/>
    <w:rsid w:val="00F45565"/>
    <w:rsid w:val="00F54757"/>
    <w:rsid w:val="00F56C8A"/>
    <w:rsid w:val="00F629AB"/>
    <w:rsid w:val="00F63531"/>
    <w:rsid w:val="00F636BC"/>
    <w:rsid w:val="00F66265"/>
    <w:rsid w:val="00F676FD"/>
    <w:rsid w:val="00F7021C"/>
    <w:rsid w:val="00F729A0"/>
    <w:rsid w:val="00F733FC"/>
    <w:rsid w:val="00F76F0D"/>
    <w:rsid w:val="00F817BC"/>
    <w:rsid w:val="00F82155"/>
    <w:rsid w:val="00F91696"/>
    <w:rsid w:val="00F936CF"/>
    <w:rsid w:val="00F93FBD"/>
    <w:rsid w:val="00F96151"/>
    <w:rsid w:val="00FA1848"/>
    <w:rsid w:val="00FB1DB0"/>
    <w:rsid w:val="00FC0073"/>
    <w:rsid w:val="00FC00A6"/>
    <w:rsid w:val="00FC5754"/>
    <w:rsid w:val="00FD13F5"/>
    <w:rsid w:val="00FD6D32"/>
    <w:rsid w:val="00FD6F92"/>
    <w:rsid w:val="00FE10AA"/>
    <w:rsid w:val="00FE31CC"/>
    <w:rsid w:val="00FE4B54"/>
    <w:rsid w:val="00FE70BE"/>
    <w:rsid w:val="00FF70CC"/>
    <w:rsid w:val="010F1980"/>
    <w:rsid w:val="013733AE"/>
    <w:rsid w:val="02237E21"/>
    <w:rsid w:val="038966F5"/>
    <w:rsid w:val="054652CB"/>
    <w:rsid w:val="05537176"/>
    <w:rsid w:val="062736E9"/>
    <w:rsid w:val="062D74B5"/>
    <w:rsid w:val="06CC0420"/>
    <w:rsid w:val="0720642B"/>
    <w:rsid w:val="075C5E72"/>
    <w:rsid w:val="0775444C"/>
    <w:rsid w:val="07C76832"/>
    <w:rsid w:val="08C903B5"/>
    <w:rsid w:val="08F71C95"/>
    <w:rsid w:val="09E77765"/>
    <w:rsid w:val="0A864E4C"/>
    <w:rsid w:val="0A9C7AA6"/>
    <w:rsid w:val="0BA32B38"/>
    <w:rsid w:val="0C37736B"/>
    <w:rsid w:val="0C5C0D94"/>
    <w:rsid w:val="0D7F6689"/>
    <w:rsid w:val="0D946E04"/>
    <w:rsid w:val="0DAF6252"/>
    <w:rsid w:val="0E6E071E"/>
    <w:rsid w:val="0ECE6AD4"/>
    <w:rsid w:val="10953CFE"/>
    <w:rsid w:val="10D00793"/>
    <w:rsid w:val="11B5691A"/>
    <w:rsid w:val="11BD52F6"/>
    <w:rsid w:val="11DE14B7"/>
    <w:rsid w:val="12B2628F"/>
    <w:rsid w:val="12EE3FBB"/>
    <w:rsid w:val="132D2BBD"/>
    <w:rsid w:val="13362A75"/>
    <w:rsid w:val="14694B67"/>
    <w:rsid w:val="15115034"/>
    <w:rsid w:val="1512791D"/>
    <w:rsid w:val="166C2693"/>
    <w:rsid w:val="17237001"/>
    <w:rsid w:val="176522C3"/>
    <w:rsid w:val="17D5749C"/>
    <w:rsid w:val="17EA1B80"/>
    <w:rsid w:val="18A75541"/>
    <w:rsid w:val="193E4FEB"/>
    <w:rsid w:val="194C3D8E"/>
    <w:rsid w:val="1B0557A1"/>
    <w:rsid w:val="1B620370"/>
    <w:rsid w:val="1BCB46BE"/>
    <w:rsid w:val="1BD776B6"/>
    <w:rsid w:val="1C362692"/>
    <w:rsid w:val="1CC66B3D"/>
    <w:rsid w:val="1CC9113B"/>
    <w:rsid w:val="1CD128A7"/>
    <w:rsid w:val="1D323847"/>
    <w:rsid w:val="1D41295C"/>
    <w:rsid w:val="1D5B2D40"/>
    <w:rsid w:val="1D5F5CC3"/>
    <w:rsid w:val="1DAD7A8D"/>
    <w:rsid w:val="1E8F504F"/>
    <w:rsid w:val="1ED7579E"/>
    <w:rsid w:val="1F555FE1"/>
    <w:rsid w:val="1F7663F2"/>
    <w:rsid w:val="1F9C2D82"/>
    <w:rsid w:val="1F9F27CA"/>
    <w:rsid w:val="1FA327E6"/>
    <w:rsid w:val="1FBB472C"/>
    <w:rsid w:val="1FF24910"/>
    <w:rsid w:val="204239DC"/>
    <w:rsid w:val="204752C1"/>
    <w:rsid w:val="205D65FB"/>
    <w:rsid w:val="21403628"/>
    <w:rsid w:val="21675E82"/>
    <w:rsid w:val="21D85598"/>
    <w:rsid w:val="22313382"/>
    <w:rsid w:val="22626342"/>
    <w:rsid w:val="22B3406F"/>
    <w:rsid w:val="231A59C0"/>
    <w:rsid w:val="240900E1"/>
    <w:rsid w:val="24A35BAC"/>
    <w:rsid w:val="24A86E33"/>
    <w:rsid w:val="25484708"/>
    <w:rsid w:val="261F5191"/>
    <w:rsid w:val="27057987"/>
    <w:rsid w:val="28017C32"/>
    <w:rsid w:val="28457BFE"/>
    <w:rsid w:val="28591587"/>
    <w:rsid w:val="285C7C56"/>
    <w:rsid w:val="289A3674"/>
    <w:rsid w:val="289D3F9C"/>
    <w:rsid w:val="28B01704"/>
    <w:rsid w:val="29820C35"/>
    <w:rsid w:val="29860CDC"/>
    <w:rsid w:val="298A75E4"/>
    <w:rsid w:val="29A32A3F"/>
    <w:rsid w:val="29A400AD"/>
    <w:rsid w:val="29C25A4F"/>
    <w:rsid w:val="2A266388"/>
    <w:rsid w:val="2A6C2F54"/>
    <w:rsid w:val="2A8D2A49"/>
    <w:rsid w:val="2AF80762"/>
    <w:rsid w:val="2B0100FD"/>
    <w:rsid w:val="2B011F53"/>
    <w:rsid w:val="2B732DEF"/>
    <w:rsid w:val="2C101322"/>
    <w:rsid w:val="2C1759E0"/>
    <w:rsid w:val="2C471682"/>
    <w:rsid w:val="2CA61530"/>
    <w:rsid w:val="2CFF2060"/>
    <w:rsid w:val="2DE01121"/>
    <w:rsid w:val="2F005113"/>
    <w:rsid w:val="30860BD0"/>
    <w:rsid w:val="30AD010A"/>
    <w:rsid w:val="312476B7"/>
    <w:rsid w:val="31B12793"/>
    <w:rsid w:val="31D75936"/>
    <w:rsid w:val="329D02EA"/>
    <w:rsid w:val="330E181F"/>
    <w:rsid w:val="331A4072"/>
    <w:rsid w:val="344D6C77"/>
    <w:rsid w:val="347F324E"/>
    <w:rsid w:val="355F2E4D"/>
    <w:rsid w:val="359E5C59"/>
    <w:rsid w:val="3721258E"/>
    <w:rsid w:val="37490CCE"/>
    <w:rsid w:val="37AD37BC"/>
    <w:rsid w:val="38D22FB8"/>
    <w:rsid w:val="38DA1531"/>
    <w:rsid w:val="39540B0D"/>
    <w:rsid w:val="39551C3C"/>
    <w:rsid w:val="398340CC"/>
    <w:rsid w:val="39CC70E1"/>
    <w:rsid w:val="39FB1851"/>
    <w:rsid w:val="3A731ABE"/>
    <w:rsid w:val="3B634F87"/>
    <w:rsid w:val="3BAD60C9"/>
    <w:rsid w:val="3C000380"/>
    <w:rsid w:val="3C266F06"/>
    <w:rsid w:val="3C2D237B"/>
    <w:rsid w:val="3C5E1B21"/>
    <w:rsid w:val="3C7555CB"/>
    <w:rsid w:val="3D131B16"/>
    <w:rsid w:val="3D5A4B91"/>
    <w:rsid w:val="3DE62EF8"/>
    <w:rsid w:val="3E5A2CB7"/>
    <w:rsid w:val="3F63614A"/>
    <w:rsid w:val="402A48FF"/>
    <w:rsid w:val="40513AFB"/>
    <w:rsid w:val="40B126B6"/>
    <w:rsid w:val="40B81646"/>
    <w:rsid w:val="40E95628"/>
    <w:rsid w:val="42C87A3A"/>
    <w:rsid w:val="42E142C5"/>
    <w:rsid w:val="44181861"/>
    <w:rsid w:val="45366CEE"/>
    <w:rsid w:val="46492B98"/>
    <w:rsid w:val="46590F50"/>
    <w:rsid w:val="4712708C"/>
    <w:rsid w:val="48AB5A66"/>
    <w:rsid w:val="48E57ADB"/>
    <w:rsid w:val="4A110B5E"/>
    <w:rsid w:val="4A6C0C5C"/>
    <w:rsid w:val="4AA45C4F"/>
    <w:rsid w:val="4B2B2E3A"/>
    <w:rsid w:val="4B784AA2"/>
    <w:rsid w:val="4BCB08CE"/>
    <w:rsid w:val="4C0A7582"/>
    <w:rsid w:val="4C6475B4"/>
    <w:rsid w:val="4CD0344F"/>
    <w:rsid w:val="4CE17374"/>
    <w:rsid w:val="4D003392"/>
    <w:rsid w:val="4D3D778B"/>
    <w:rsid w:val="4D404D8B"/>
    <w:rsid w:val="4DDC1C72"/>
    <w:rsid w:val="4EEC6E09"/>
    <w:rsid w:val="4F8D0ED2"/>
    <w:rsid w:val="50DE3105"/>
    <w:rsid w:val="50EB2435"/>
    <w:rsid w:val="51845BFF"/>
    <w:rsid w:val="51FF0643"/>
    <w:rsid w:val="527B5C6C"/>
    <w:rsid w:val="52D24A41"/>
    <w:rsid w:val="52F21F55"/>
    <w:rsid w:val="53772BA8"/>
    <w:rsid w:val="53C172E7"/>
    <w:rsid w:val="53EA367C"/>
    <w:rsid w:val="55284BFA"/>
    <w:rsid w:val="55466211"/>
    <w:rsid w:val="556E0F6B"/>
    <w:rsid w:val="557B64FB"/>
    <w:rsid w:val="573A53AA"/>
    <w:rsid w:val="57437E61"/>
    <w:rsid w:val="57D479E5"/>
    <w:rsid w:val="58C14D6D"/>
    <w:rsid w:val="596C7A0E"/>
    <w:rsid w:val="59FA16AA"/>
    <w:rsid w:val="5A2A6F19"/>
    <w:rsid w:val="5A43048F"/>
    <w:rsid w:val="5A8E6596"/>
    <w:rsid w:val="5B4D2475"/>
    <w:rsid w:val="5BE70AA3"/>
    <w:rsid w:val="5C754EFD"/>
    <w:rsid w:val="5CDE7781"/>
    <w:rsid w:val="5D2D60F5"/>
    <w:rsid w:val="5DBA5DFA"/>
    <w:rsid w:val="5E1049C8"/>
    <w:rsid w:val="5E546DD1"/>
    <w:rsid w:val="5F132654"/>
    <w:rsid w:val="5F2F2A7C"/>
    <w:rsid w:val="6019604E"/>
    <w:rsid w:val="602A63BF"/>
    <w:rsid w:val="6039247C"/>
    <w:rsid w:val="60B66E13"/>
    <w:rsid w:val="61216802"/>
    <w:rsid w:val="61253794"/>
    <w:rsid w:val="6170537A"/>
    <w:rsid w:val="619A6E81"/>
    <w:rsid w:val="61D340F0"/>
    <w:rsid w:val="620241F5"/>
    <w:rsid w:val="635A3A15"/>
    <w:rsid w:val="63733F5D"/>
    <w:rsid w:val="63B009B9"/>
    <w:rsid w:val="6458542D"/>
    <w:rsid w:val="64592B49"/>
    <w:rsid w:val="646353A8"/>
    <w:rsid w:val="64AE4BF8"/>
    <w:rsid w:val="6550258C"/>
    <w:rsid w:val="655C12FA"/>
    <w:rsid w:val="6591046F"/>
    <w:rsid w:val="6645444F"/>
    <w:rsid w:val="66A82B57"/>
    <w:rsid w:val="66FC2A1B"/>
    <w:rsid w:val="67EE20FF"/>
    <w:rsid w:val="6864501D"/>
    <w:rsid w:val="695056E6"/>
    <w:rsid w:val="69F95566"/>
    <w:rsid w:val="6A0139AB"/>
    <w:rsid w:val="6AA61B6E"/>
    <w:rsid w:val="6AB000C8"/>
    <w:rsid w:val="6B7606F5"/>
    <w:rsid w:val="6BA93FFD"/>
    <w:rsid w:val="6CDC560A"/>
    <w:rsid w:val="6CE94F4D"/>
    <w:rsid w:val="6CEF5E1A"/>
    <w:rsid w:val="6E045A9F"/>
    <w:rsid w:val="6E623998"/>
    <w:rsid w:val="6E937AE3"/>
    <w:rsid w:val="6EAB4348"/>
    <w:rsid w:val="6EAE0177"/>
    <w:rsid w:val="6F6A7B7A"/>
    <w:rsid w:val="701D01D2"/>
    <w:rsid w:val="70303D6B"/>
    <w:rsid w:val="7062091F"/>
    <w:rsid w:val="70A470B8"/>
    <w:rsid w:val="70AB7D02"/>
    <w:rsid w:val="70DB66CF"/>
    <w:rsid w:val="71EE29A9"/>
    <w:rsid w:val="72280C07"/>
    <w:rsid w:val="72A16E04"/>
    <w:rsid w:val="72B728C2"/>
    <w:rsid w:val="72EE141E"/>
    <w:rsid w:val="72EF4903"/>
    <w:rsid w:val="72FF523C"/>
    <w:rsid w:val="74180169"/>
    <w:rsid w:val="74182B4D"/>
    <w:rsid w:val="745F6CB7"/>
    <w:rsid w:val="74B219CD"/>
    <w:rsid w:val="74B36D92"/>
    <w:rsid w:val="74D830C1"/>
    <w:rsid w:val="75290D5B"/>
    <w:rsid w:val="759E3B4B"/>
    <w:rsid w:val="75B96A7F"/>
    <w:rsid w:val="75CC5045"/>
    <w:rsid w:val="75E97A51"/>
    <w:rsid w:val="75EE6599"/>
    <w:rsid w:val="76C00FFB"/>
    <w:rsid w:val="76C9757D"/>
    <w:rsid w:val="77170388"/>
    <w:rsid w:val="77D30219"/>
    <w:rsid w:val="79071693"/>
    <w:rsid w:val="79217ACA"/>
    <w:rsid w:val="796E2AE8"/>
    <w:rsid w:val="798A2B88"/>
    <w:rsid w:val="7A273710"/>
    <w:rsid w:val="7A9A3AFB"/>
    <w:rsid w:val="7AB10CBD"/>
    <w:rsid w:val="7AC91129"/>
    <w:rsid w:val="7B535250"/>
    <w:rsid w:val="7C67553E"/>
    <w:rsid w:val="7C86235A"/>
    <w:rsid w:val="7D13307F"/>
    <w:rsid w:val="7DD76804"/>
    <w:rsid w:val="7E5A4941"/>
    <w:rsid w:val="7E9D3351"/>
    <w:rsid w:val="7E9F430D"/>
    <w:rsid w:val="7F1A5094"/>
    <w:rsid w:val="7FAE6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4">
    <w:name w:val="heading 1"/>
    <w:basedOn w:val="1"/>
    <w:next w:val="1"/>
    <w:qFormat/>
    <w:uiPriority w:val="0"/>
    <w:pPr>
      <w:keepNext/>
      <w:keepLines/>
      <w:numPr>
        <w:ilvl w:val="0"/>
        <w:numId w:val="1"/>
      </w:numPr>
      <w:spacing w:before="60" w:after="60" w:line="240" w:lineRule="auto"/>
      <w:outlineLvl w:val="0"/>
    </w:pPr>
    <w:rPr>
      <w:b/>
      <w:kern w:val="44"/>
      <w:sz w:val="30"/>
    </w:rPr>
  </w:style>
  <w:style w:type="paragraph" w:styleId="5">
    <w:name w:val="heading 2"/>
    <w:basedOn w:val="1"/>
    <w:next w:val="1"/>
    <w:link w:val="49"/>
    <w:qFormat/>
    <w:uiPriority w:val="0"/>
    <w:pPr>
      <w:numPr>
        <w:ilvl w:val="1"/>
        <w:numId w:val="1"/>
      </w:numPr>
      <w:tabs>
        <w:tab w:val="left" w:pos="432"/>
      </w:tabs>
      <w:snapToGrid w:val="0"/>
      <w:spacing w:before="120" w:beforeLines="50" w:after="120" w:afterLines="50" w:line="360" w:lineRule="auto"/>
      <w:jc w:val="both"/>
      <w:outlineLvl w:val="1"/>
    </w:pPr>
    <w:rPr>
      <w:b/>
      <w:szCs w:val="24"/>
    </w:rPr>
  </w:style>
  <w:style w:type="paragraph" w:styleId="6">
    <w:name w:val="heading 3"/>
    <w:basedOn w:val="1"/>
    <w:next w:val="1"/>
    <w:qFormat/>
    <w:uiPriority w:val="0"/>
    <w:pPr>
      <w:numPr>
        <w:ilvl w:val="2"/>
        <w:numId w:val="1"/>
      </w:numPr>
      <w:tabs>
        <w:tab w:val="left" w:pos="432"/>
      </w:tabs>
      <w:spacing w:before="120" w:line="360" w:lineRule="auto"/>
      <w:outlineLvl w:val="2"/>
    </w:pPr>
    <w:rPr>
      <w:b/>
      <w:bCs/>
    </w:rPr>
  </w:style>
  <w:style w:type="paragraph" w:styleId="7">
    <w:name w:val="heading 4"/>
    <w:basedOn w:val="1"/>
    <w:next w:val="1"/>
    <w:qFormat/>
    <w:uiPriority w:val="0"/>
    <w:pPr>
      <w:numPr>
        <w:ilvl w:val="3"/>
        <w:numId w:val="1"/>
      </w:numPr>
      <w:tabs>
        <w:tab w:val="left" w:pos="432"/>
      </w:tabs>
      <w:spacing w:line="360" w:lineRule="auto"/>
      <w:jc w:val="both"/>
      <w:outlineLvl w:val="3"/>
    </w:pPr>
    <w:rPr>
      <w:bCs/>
    </w:rPr>
  </w:style>
  <w:style w:type="paragraph" w:styleId="8">
    <w:name w:val="heading 5"/>
    <w:basedOn w:val="1"/>
    <w:next w:val="1"/>
    <w:qFormat/>
    <w:uiPriority w:val="0"/>
    <w:pPr>
      <w:keepNext/>
      <w:keepLines/>
      <w:numPr>
        <w:ilvl w:val="4"/>
        <w:numId w:val="1"/>
      </w:numPr>
      <w:tabs>
        <w:tab w:val="left" w:pos="432"/>
      </w:tabs>
      <w:spacing w:before="280" w:after="290" w:line="376" w:lineRule="atLeast"/>
      <w:outlineLvl w:val="4"/>
    </w:pPr>
    <w:rPr>
      <w:b/>
      <w:sz w:val="28"/>
    </w:rPr>
  </w:style>
  <w:style w:type="paragraph" w:styleId="9">
    <w:name w:val="heading 6"/>
    <w:basedOn w:val="1"/>
    <w:next w:val="1"/>
    <w:qFormat/>
    <w:uiPriority w:val="0"/>
    <w:pPr>
      <w:keepNext/>
      <w:keepLines/>
      <w:numPr>
        <w:ilvl w:val="5"/>
        <w:numId w:val="1"/>
      </w:numPr>
      <w:tabs>
        <w:tab w:val="left" w:pos="432"/>
      </w:tabs>
      <w:spacing w:before="240" w:after="64" w:line="320" w:lineRule="atLeast"/>
      <w:outlineLvl w:val="5"/>
    </w:pPr>
    <w:rPr>
      <w:rFonts w:ascii="Arial" w:hAnsi="Arial" w:eastAsia="黑体"/>
      <w:b/>
    </w:rPr>
  </w:style>
  <w:style w:type="paragraph" w:styleId="10">
    <w:name w:val="heading 7"/>
    <w:basedOn w:val="1"/>
    <w:next w:val="1"/>
    <w:qFormat/>
    <w:uiPriority w:val="0"/>
    <w:pPr>
      <w:keepNext/>
      <w:keepLines/>
      <w:numPr>
        <w:ilvl w:val="6"/>
        <w:numId w:val="1"/>
      </w:numPr>
      <w:tabs>
        <w:tab w:val="left" w:pos="432"/>
      </w:tabs>
      <w:spacing w:before="240" w:after="64" w:line="320" w:lineRule="atLeast"/>
      <w:outlineLvl w:val="6"/>
    </w:pPr>
    <w:rPr>
      <w:b/>
    </w:rPr>
  </w:style>
  <w:style w:type="paragraph" w:styleId="11">
    <w:name w:val="heading 8"/>
    <w:basedOn w:val="1"/>
    <w:next w:val="1"/>
    <w:qFormat/>
    <w:uiPriority w:val="0"/>
    <w:pPr>
      <w:keepNext/>
      <w:keepLines/>
      <w:numPr>
        <w:ilvl w:val="7"/>
        <w:numId w:val="1"/>
      </w:numPr>
      <w:tabs>
        <w:tab w:val="left" w:pos="432"/>
      </w:tabs>
      <w:spacing w:before="240" w:after="64" w:line="320" w:lineRule="atLeast"/>
      <w:outlineLvl w:val="7"/>
    </w:pPr>
    <w:rPr>
      <w:rFonts w:ascii="Arial" w:hAnsi="Arial" w:eastAsia="黑体"/>
    </w:rPr>
  </w:style>
  <w:style w:type="paragraph" w:styleId="12">
    <w:name w:val="heading 9"/>
    <w:basedOn w:val="1"/>
    <w:next w:val="1"/>
    <w:qFormat/>
    <w:uiPriority w:val="0"/>
    <w:pPr>
      <w:keepNext/>
      <w:keepLines/>
      <w:numPr>
        <w:ilvl w:val="8"/>
        <w:numId w:val="1"/>
      </w:numPr>
      <w:tabs>
        <w:tab w:val="left" w:pos="432"/>
      </w:tabs>
      <w:spacing w:before="240" w:after="64" w:line="320" w:lineRule="atLeast"/>
      <w:outlineLvl w:val="8"/>
    </w:pPr>
    <w:rPr>
      <w:rFonts w:ascii="Arial" w:hAnsi="Arial" w:eastAsia="黑体"/>
      <w:sz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45"/>
    <w:qFormat/>
    <w:uiPriority w:val="0"/>
    <w:pPr>
      <w:spacing w:after="120"/>
    </w:pPr>
  </w:style>
  <w:style w:type="paragraph" w:styleId="3">
    <w:name w:val="Title"/>
    <w:basedOn w:val="1"/>
    <w:next w:val="1"/>
    <w:qFormat/>
    <w:uiPriority w:val="99"/>
    <w:pPr>
      <w:spacing w:before="240" w:after="60"/>
      <w:jc w:val="center"/>
      <w:outlineLvl w:val="0"/>
    </w:pPr>
    <w:rPr>
      <w:rFonts w:ascii="Cambria" w:hAnsi="Cambria"/>
      <w:b/>
      <w:bCs/>
      <w:sz w:val="32"/>
      <w:szCs w:val="32"/>
    </w:rPr>
  </w:style>
  <w:style w:type="paragraph" w:styleId="13">
    <w:name w:val="table of authorities"/>
    <w:basedOn w:val="1"/>
    <w:next w:val="1"/>
    <w:qFormat/>
    <w:uiPriority w:val="99"/>
    <w:pPr>
      <w:ind w:left="420" w:leftChars="200"/>
    </w:pPr>
    <w:rPr>
      <w:rFonts w:ascii="Calibri" w:hAnsi="Calibri"/>
    </w:rPr>
  </w:style>
  <w:style w:type="paragraph" w:styleId="14">
    <w:name w:val="Normal Indent"/>
    <w:basedOn w:val="1"/>
    <w:unhideWhenUsed/>
    <w:qFormat/>
    <w:uiPriority w:val="99"/>
    <w:pPr>
      <w:adjustRightInd/>
      <w:spacing w:line="360" w:lineRule="auto"/>
      <w:ind w:firstLine="420" w:firstLineChars="200"/>
      <w:jc w:val="both"/>
      <w:textAlignment w:val="auto"/>
    </w:pPr>
    <w:rPr>
      <w:spacing w:val="6"/>
      <w:kern w:val="20"/>
      <w:szCs w:val="24"/>
    </w:rPr>
  </w:style>
  <w:style w:type="paragraph" w:styleId="15">
    <w:name w:val="caption"/>
    <w:basedOn w:val="1"/>
    <w:next w:val="1"/>
    <w:qFormat/>
    <w:uiPriority w:val="0"/>
    <w:pPr>
      <w:spacing w:before="152" w:after="160"/>
    </w:pPr>
    <w:rPr>
      <w:rFonts w:ascii="Arial" w:hAnsi="Arial" w:eastAsia="黑体" w:cs="Arial"/>
      <w:sz w:val="20"/>
    </w:rPr>
  </w:style>
  <w:style w:type="paragraph" w:styleId="16">
    <w:name w:val="Document Map"/>
    <w:basedOn w:val="1"/>
    <w:link w:val="52"/>
    <w:qFormat/>
    <w:uiPriority w:val="0"/>
    <w:rPr>
      <w:rFonts w:ascii="宋体"/>
      <w:sz w:val="18"/>
      <w:szCs w:val="18"/>
    </w:rPr>
  </w:style>
  <w:style w:type="paragraph" w:styleId="17">
    <w:name w:val="toa heading"/>
    <w:basedOn w:val="1"/>
    <w:next w:val="1"/>
    <w:qFormat/>
    <w:uiPriority w:val="0"/>
    <w:pPr>
      <w:tabs>
        <w:tab w:val="left" w:pos="0"/>
        <w:tab w:val="left" w:pos="60"/>
      </w:tabs>
      <w:spacing w:before="120"/>
    </w:pPr>
    <w:rPr>
      <w:rFonts w:ascii="Arial" w:hAnsi="Arial"/>
    </w:rPr>
  </w:style>
  <w:style w:type="paragraph" w:styleId="18">
    <w:name w:val="annotation text"/>
    <w:basedOn w:val="1"/>
    <w:link w:val="46"/>
    <w:qFormat/>
    <w:uiPriority w:val="0"/>
  </w:style>
  <w:style w:type="paragraph" w:styleId="19">
    <w:name w:val="Body Text Indent"/>
    <w:basedOn w:val="1"/>
    <w:link w:val="48"/>
    <w:qFormat/>
    <w:uiPriority w:val="0"/>
    <w:pPr>
      <w:spacing w:after="120"/>
      <w:ind w:left="420" w:leftChars="200"/>
    </w:pPr>
  </w:style>
  <w:style w:type="paragraph" w:styleId="20">
    <w:name w:val="Plain Text"/>
    <w:basedOn w:val="1"/>
    <w:link w:val="50"/>
    <w:qFormat/>
    <w:uiPriority w:val="0"/>
    <w:pPr>
      <w:adjustRightInd/>
      <w:spacing w:line="240" w:lineRule="auto"/>
      <w:jc w:val="both"/>
      <w:textAlignment w:val="auto"/>
    </w:pPr>
    <w:rPr>
      <w:rFonts w:ascii="宋体" w:hAnsi="Courier New"/>
      <w:kern w:val="2"/>
      <w:sz w:val="21"/>
    </w:rPr>
  </w:style>
  <w:style w:type="paragraph" w:styleId="21">
    <w:name w:val="Date"/>
    <w:basedOn w:val="1"/>
    <w:next w:val="1"/>
    <w:link w:val="53"/>
    <w:qFormat/>
    <w:uiPriority w:val="99"/>
    <w:pPr>
      <w:ind w:left="100" w:leftChars="2500"/>
    </w:pPr>
  </w:style>
  <w:style w:type="paragraph" w:styleId="22">
    <w:name w:val="Balloon Text"/>
    <w:basedOn w:val="1"/>
    <w:link w:val="54"/>
    <w:qFormat/>
    <w:uiPriority w:val="0"/>
    <w:pPr>
      <w:spacing w:line="240" w:lineRule="auto"/>
    </w:pPr>
    <w:rPr>
      <w:sz w:val="18"/>
      <w:szCs w:val="18"/>
    </w:rPr>
  </w:style>
  <w:style w:type="paragraph" w:styleId="23">
    <w:name w:val="footer"/>
    <w:basedOn w:val="1"/>
    <w:qFormat/>
    <w:uiPriority w:val="0"/>
    <w:pPr>
      <w:tabs>
        <w:tab w:val="center" w:pos="4153"/>
        <w:tab w:val="right" w:pos="8306"/>
      </w:tabs>
      <w:spacing w:line="240" w:lineRule="atLeast"/>
    </w:pPr>
    <w:rPr>
      <w:sz w:val="18"/>
    </w:rPr>
  </w:style>
  <w:style w:type="paragraph" w:styleId="24">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5">
    <w:name w:val="toc 1"/>
    <w:basedOn w:val="1"/>
    <w:next w:val="1"/>
    <w:qFormat/>
    <w:uiPriority w:val="39"/>
    <w:pPr>
      <w:tabs>
        <w:tab w:val="left" w:pos="600"/>
        <w:tab w:val="right" w:leader="dot" w:pos="9345"/>
      </w:tabs>
      <w:spacing w:before="100" w:beforeAutospacing="1" w:after="100" w:afterAutospacing="1" w:line="240" w:lineRule="auto"/>
      <w:jc w:val="both"/>
    </w:pPr>
    <w:rPr>
      <w:b/>
      <w:szCs w:val="24"/>
    </w:rPr>
  </w:style>
  <w:style w:type="paragraph" w:styleId="26">
    <w:name w:val="table of figures"/>
    <w:basedOn w:val="1"/>
    <w:next w:val="1"/>
    <w:semiHidden/>
    <w:qFormat/>
    <w:uiPriority w:val="0"/>
    <w:pPr>
      <w:ind w:left="480" w:hanging="480"/>
    </w:pPr>
    <w:rPr>
      <w:b/>
      <w:bCs/>
      <w:sz w:val="20"/>
    </w:rPr>
  </w:style>
  <w:style w:type="paragraph" w:styleId="27">
    <w:name w:val="toc 2"/>
    <w:basedOn w:val="1"/>
    <w:next w:val="1"/>
    <w:qFormat/>
    <w:uiPriority w:val="39"/>
    <w:pPr>
      <w:tabs>
        <w:tab w:val="left" w:pos="840"/>
        <w:tab w:val="right" w:leader="dot" w:pos="9360"/>
      </w:tabs>
      <w:spacing w:before="100" w:after="100" w:line="240" w:lineRule="auto"/>
    </w:pPr>
    <w:rPr>
      <w:szCs w:val="28"/>
    </w:rPr>
  </w:style>
  <w:style w:type="paragraph" w:styleId="28">
    <w:name w:val="annotation subject"/>
    <w:basedOn w:val="18"/>
    <w:next w:val="18"/>
    <w:link w:val="56"/>
    <w:qFormat/>
    <w:uiPriority w:val="0"/>
    <w:rPr>
      <w:b/>
      <w:bCs/>
    </w:rPr>
  </w:style>
  <w:style w:type="paragraph" w:styleId="29">
    <w:name w:val="Body Text First Indent"/>
    <w:basedOn w:val="2"/>
    <w:link w:val="51"/>
    <w:qFormat/>
    <w:uiPriority w:val="0"/>
    <w:pPr>
      <w:adjustRightInd/>
      <w:spacing w:line="240" w:lineRule="auto"/>
      <w:ind w:firstLine="420" w:firstLineChars="100"/>
      <w:jc w:val="both"/>
      <w:textAlignment w:val="auto"/>
    </w:pPr>
    <w:rPr>
      <w:kern w:val="2"/>
      <w:sz w:val="21"/>
      <w:szCs w:val="24"/>
    </w:rPr>
  </w:style>
  <w:style w:type="table" w:styleId="31">
    <w:name w:val="Table Grid"/>
    <w:basedOn w:val="3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b/>
      <w:bCs/>
    </w:rPr>
  </w:style>
  <w:style w:type="character" w:styleId="34">
    <w:name w:val="page number"/>
    <w:basedOn w:val="32"/>
    <w:qFormat/>
    <w:uiPriority w:val="0"/>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paragraph" w:customStyle="1" w:styleId="37">
    <w:name w:val="样式 正文内容 + 首行缩进:  2 字符"/>
    <w:basedOn w:val="1"/>
    <w:qFormat/>
    <w:uiPriority w:val="0"/>
    <w:pPr>
      <w:snapToGrid w:val="0"/>
      <w:spacing w:line="240" w:lineRule="auto"/>
      <w:ind w:firstLine="480" w:firstLineChars="200"/>
      <w:jc w:val="both"/>
      <w:textAlignment w:val="auto"/>
    </w:pPr>
    <w:rPr>
      <w:rFonts w:ascii="仿宋_GB2312" w:eastAsia="仿宋_GB2312" w:cs="宋体"/>
      <w:kern w:val="2"/>
    </w:rPr>
  </w:style>
  <w:style w:type="paragraph" w:customStyle="1" w:styleId="38">
    <w:name w:val="_Style 34"/>
    <w:basedOn w:val="1"/>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39">
    <w:name w:val="列出段落1"/>
    <w:basedOn w:val="1"/>
    <w:qFormat/>
    <w:uiPriority w:val="0"/>
    <w:pPr>
      <w:ind w:firstLine="420" w:firstLineChars="200"/>
      <w:textAlignment w:val="auto"/>
    </w:pPr>
    <w:rPr>
      <w:szCs w:val="24"/>
    </w:rPr>
  </w:style>
  <w:style w:type="paragraph" w:customStyle="1" w:styleId="40">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
    <w:name w:val="jl 正文 Char Char"/>
    <w:basedOn w:val="1"/>
    <w:link w:val="47"/>
    <w:qFormat/>
    <w:uiPriority w:val="0"/>
    <w:pPr>
      <w:autoSpaceDE w:val="0"/>
      <w:autoSpaceDN w:val="0"/>
      <w:spacing w:line="240" w:lineRule="auto"/>
      <w:ind w:firstLine="200" w:firstLineChars="200"/>
    </w:pPr>
    <w:rPr>
      <w:rFonts w:ascii="宋体"/>
      <w:kern w:val="2"/>
      <w:szCs w:val="24"/>
    </w:rPr>
  </w:style>
  <w:style w:type="paragraph" w:customStyle="1" w:styleId="42">
    <w:name w:val="样式 正文首行缩进 + 段前: 0.5 行 段后: 0.5 行"/>
    <w:basedOn w:val="29"/>
    <w:link w:val="55"/>
    <w:qFormat/>
    <w:uiPriority w:val="0"/>
    <w:pPr>
      <w:widowControl/>
      <w:spacing w:beforeLines="50" w:after="200" w:afterLines="50" w:line="480" w:lineRule="exact"/>
      <w:ind w:firstLine="0" w:firstLineChars="0"/>
    </w:pPr>
    <w:rPr>
      <w:rFonts w:ascii="Calibri" w:hAnsi="Calibri" w:cs="宋体"/>
      <w:iCs/>
      <w:sz w:val="24"/>
      <w:szCs w:val="22"/>
      <w:lang w:eastAsia="en-US" w:bidi="en-US"/>
    </w:rPr>
  </w:style>
  <w:style w:type="paragraph" w:customStyle="1" w:styleId="43">
    <w:name w:val="列出段落2"/>
    <w:basedOn w:val="1"/>
    <w:qFormat/>
    <w:uiPriority w:val="0"/>
    <w:pPr>
      <w:ind w:firstLine="420" w:firstLineChars="200"/>
      <w:textAlignment w:val="auto"/>
    </w:pPr>
    <w:rPr>
      <w:szCs w:val="24"/>
    </w:rPr>
  </w:style>
  <w:style w:type="character" w:customStyle="1" w:styleId="44">
    <w:name w:val="日期 Char1"/>
    <w:basedOn w:val="32"/>
    <w:semiHidden/>
    <w:qFormat/>
    <w:uiPriority w:val="99"/>
  </w:style>
  <w:style w:type="character" w:customStyle="1" w:styleId="45">
    <w:name w:val="正文文本 字符"/>
    <w:link w:val="2"/>
    <w:qFormat/>
    <w:uiPriority w:val="0"/>
    <w:rPr>
      <w:sz w:val="24"/>
    </w:rPr>
  </w:style>
  <w:style w:type="character" w:customStyle="1" w:styleId="46">
    <w:name w:val="批注文字 字符"/>
    <w:link w:val="18"/>
    <w:qFormat/>
    <w:uiPriority w:val="0"/>
    <w:rPr>
      <w:sz w:val="24"/>
    </w:rPr>
  </w:style>
  <w:style w:type="character" w:customStyle="1" w:styleId="47">
    <w:name w:val="jl 正文 Char Char Char"/>
    <w:link w:val="41"/>
    <w:qFormat/>
    <w:uiPriority w:val="0"/>
    <w:rPr>
      <w:rFonts w:ascii="宋体"/>
      <w:kern w:val="2"/>
      <w:sz w:val="24"/>
      <w:szCs w:val="24"/>
    </w:rPr>
  </w:style>
  <w:style w:type="character" w:customStyle="1" w:styleId="48">
    <w:name w:val="正文文本缩进 字符"/>
    <w:link w:val="19"/>
    <w:qFormat/>
    <w:uiPriority w:val="0"/>
    <w:rPr>
      <w:sz w:val="24"/>
    </w:rPr>
  </w:style>
  <w:style w:type="character" w:customStyle="1" w:styleId="49">
    <w:name w:val="标题 2 字符"/>
    <w:link w:val="5"/>
    <w:qFormat/>
    <w:uiPriority w:val="0"/>
    <w:rPr>
      <w:b/>
      <w:sz w:val="24"/>
      <w:szCs w:val="24"/>
    </w:rPr>
  </w:style>
  <w:style w:type="character" w:customStyle="1" w:styleId="50">
    <w:name w:val="纯文本 字符"/>
    <w:link w:val="20"/>
    <w:qFormat/>
    <w:uiPriority w:val="0"/>
    <w:rPr>
      <w:rFonts w:ascii="宋体" w:hAnsi="Courier New"/>
      <w:kern w:val="2"/>
      <w:sz w:val="21"/>
    </w:rPr>
  </w:style>
  <w:style w:type="character" w:customStyle="1" w:styleId="51">
    <w:name w:val="正文文本首行缩进 字符"/>
    <w:link w:val="29"/>
    <w:qFormat/>
    <w:uiPriority w:val="0"/>
    <w:rPr>
      <w:kern w:val="2"/>
      <w:sz w:val="21"/>
      <w:szCs w:val="24"/>
    </w:rPr>
  </w:style>
  <w:style w:type="character" w:customStyle="1" w:styleId="52">
    <w:name w:val="文档结构图 字符"/>
    <w:link w:val="16"/>
    <w:qFormat/>
    <w:uiPriority w:val="0"/>
    <w:rPr>
      <w:rFonts w:ascii="宋体"/>
      <w:sz w:val="18"/>
      <w:szCs w:val="18"/>
    </w:rPr>
  </w:style>
  <w:style w:type="character" w:customStyle="1" w:styleId="53">
    <w:name w:val="日期 字符"/>
    <w:link w:val="21"/>
    <w:qFormat/>
    <w:uiPriority w:val="99"/>
    <w:rPr>
      <w:sz w:val="24"/>
    </w:rPr>
  </w:style>
  <w:style w:type="character" w:customStyle="1" w:styleId="54">
    <w:name w:val="批注框文本 字符"/>
    <w:link w:val="22"/>
    <w:qFormat/>
    <w:uiPriority w:val="0"/>
    <w:rPr>
      <w:sz w:val="18"/>
      <w:szCs w:val="18"/>
    </w:rPr>
  </w:style>
  <w:style w:type="character" w:customStyle="1" w:styleId="55">
    <w:name w:val="样式 正文首行缩进 + 段前: 0.5 行 段后: 0.5 行 Char"/>
    <w:link w:val="42"/>
    <w:qFormat/>
    <w:uiPriority w:val="0"/>
    <w:rPr>
      <w:rFonts w:ascii="Calibri" w:hAnsi="Calibri" w:cs="宋体"/>
      <w:b/>
      <w:iCs/>
      <w:kern w:val="2"/>
      <w:sz w:val="24"/>
      <w:szCs w:val="22"/>
      <w:lang w:eastAsia="en-US" w:bidi="en-US"/>
    </w:rPr>
  </w:style>
  <w:style w:type="character" w:customStyle="1" w:styleId="56">
    <w:name w:val="批注主题 字符"/>
    <w:link w:val="28"/>
    <w:qFormat/>
    <w:uiPriority w:val="0"/>
    <w:rPr>
      <w:b/>
      <w:bCs/>
      <w:sz w:val="24"/>
    </w:rPr>
  </w:style>
  <w:style w:type="character" w:customStyle="1" w:styleId="57">
    <w:name w:val="纯文本 Char"/>
    <w:qFormat/>
    <w:uiPriority w:val="0"/>
    <w:rPr>
      <w:rFonts w:ascii="宋体" w:hAnsi="Courier New" w:cs="Courier New"/>
      <w:sz w:val="21"/>
      <w:szCs w:val="21"/>
    </w:rPr>
  </w:style>
  <w:style w:type="paragraph" w:customStyle="1" w:styleId="58">
    <w:name w:val="_Style 2"/>
    <w:basedOn w:val="1"/>
    <w:qFormat/>
    <w:uiPriority w:val="34"/>
    <w:pPr>
      <w:ind w:firstLine="420" w:firstLineChars="200"/>
    </w:pPr>
  </w:style>
  <w:style w:type="paragraph" w:styleId="59">
    <w:name w:val="List Paragraph"/>
    <w:basedOn w:val="1"/>
    <w:unhideWhenUsed/>
    <w:qFormat/>
    <w:uiPriority w:val="99"/>
    <w:pPr>
      <w:ind w:firstLine="420" w:firstLineChars="200"/>
    </w:pPr>
  </w:style>
  <w:style w:type="paragraph" w:customStyle="1" w:styleId="60">
    <w:name w:val="Revision"/>
    <w:hidden/>
    <w:unhideWhenUsed/>
    <w:qFormat/>
    <w:uiPriority w:val="99"/>
    <w:rPr>
      <w:rFonts w:ascii="Times New Roman"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5828</Words>
  <Characters>6054</Characters>
  <Lines>50</Lines>
  <Paragraphs>14</Paragraphs>
  <TotalTime>28</TotalTime>
  <ScaleCrop>false</ScaleCrop>
  <LinksUpToDate>false</LinksUpToDate>
  <CharactersWithSpaces>6106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2016-08-22T03:34:00Z</dcterms:created>
  <dc:creator>GZSYY</dc:creator>
  <cp:keywords>策划项目招标技术规范【1】</cp:keywords>
  <cp:lastModifiedBy>曾瑛</cp:lastModifiedBy>
  <cp:lastPrinted>2020-11-09T02:02:00Z</cp:lastPrinted>
  <dcterms:modified xsi:type="dcterms:W3CDTF">2026-05-09T09:59:04Z</dcterms:modified>
  <dc:title>策划项目招标技术规范【1】</dc:title>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1A071DA9DE1C4860AC9BCC53F1BC7292_13</vt:lpwstr>
  </property>
  <property fmtid="{D5CDD505-2E9C-101B-9397-08002B2CF9AE}" pid="4" name="KSOTemplateDocerSaveRecord">
    <vt:lpwstr>eyJoZGlkIjoiOGRiNzVhZTlhMjQzZDQzNmUwMDc1MjI4NWYzNGE3NWEiLCJ1c2VySWQiOiIxMTQ2MDkxODUzIn0=</vt:lpwstr>
  </property>
</Properties>
</file>