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4A0FB">
      <w:pPr>
        <w:jc w:val="center"/>
        <w:rPr>
          <w:rFonts w:hint="eastAsia" w:ascii="宋体" w:hAnsi="宋体"/>
          <w:b/>
          <w:bCs/>
          <w:sz w:val="44"/>
        </w:rPr>
      </w:pPr>
    </w:p>
    <w:p w14:paraId="0D50A6B0">
      <w:pPr>
        <w:jc w:val="center"/>
        <w:rPr>
          <w:rFonts w:hint="eastAsia" w:ascii="宋体" w:hAnsi="宋体"/>
          <w:b/>
          <w:bCs/>
          <w:sz w:val="44"/>
        </w:rPr>
      </w:pPr>
    </w:p>
    <w:p w14:paraId="6A1757D2">
      <w:pPr>
        <w:pStyle w:val="2"/>
        <w:rPr>
          <w:rFonts w:ascii="Times New Roman" w:hAnsi="Times New Roman" w:eastAsia="黑体"/>
          <w:bCs w:val="0"/>
          <w:sz w:val="44"/>
        </w:rPr>
      </w:pPr>
    </w:p>
    <w:p w14:paraId="201EC1B0">
      <w:pPr>
        <w:pStyle w:val="2"/>
        <w:jc w:val="center"/>
        <w:rPr>
          <w:rFonts w:hint="eastAsia" w:ascii="Times New Roman" w:hAnsi="Times New Roman" w:eastAsia="黑体"/>
          <w:sz w:val="52"/>
          <w:szCs w:val="52"/>
        </w:rPr>
      </w:pPr>
      <w:bookmarkStart w:id="5" w:name="_GoBack"/>
      <w:r>
        <w:rPr>
          <w:rFonts w:hint="eastAsia" w:ascii="Times New Roman" w:hAnsi="Times New Roman" w:eastAsia="黑体"/>
          <w:sz w:val="52"/>
          <w:szCs w:val="52"/>
        </w:rPr>
        <w:t>云南储能公司宝池储能电站运行数据E文件上送软件升级采购</w:t>
      </w:r>
    </w:p>
    <w:bookmarkEnd w:id="5"/>
    <w:p w14:paraId="1C9101BC">
      <w:pPr>
        <w:pStyle w:val="2"/>
        <w:jc w:val="center"/>
        <w:rPr>
          <w:rFonts w:ascii="Times New Roman" w:hAnsi="Times New Roman" w:eastAsia="黑体"/>
          <w:sz w:val="52"/>
          <w:szCs w:val="52"/>
        </w:rPr>
      </w:pPr>
      <w:r>
        <w:rPr>
          <w:rFonts w:hint="eastAsia" w:ascii="Times New Roman" w:hAnsi="Times New Roman" w:eastAsia="黑体"/>
          <w:sz w:val="52"/>
          <w:szCs w:val="52"/>
        </w:rPr>
        <w:t>技术规范</w:t>
      </w:r>
    </w:p>
    <w:p w14:paraId="01FC591A">
      <w:pPr>
        <w:ind w:firstLine="2400" w:firstLineChars="800"/>
        <w:rPr>
          <w:rFonts w:hint="eastAsia" w:ascii="宋体" w:hAnsi="宋体"/>
          <w:sz w:val="30"/>
        </w:rPr>
      </w:pPr>
    </w:p>
    <w:p w14:paraId="48F2D8B7">
      <w:pPr>
        <w:ind w:firstLine="2400" w:firstLineChars="800"/>
        <w:rPr>
          <w:rFonts w:hint="eastAsia" w:ascii="宋体" w:hAnsi="宋体"/>
          <w:sz w:val="30"/>
        </w:rPr>
      </w:pPr>
    </w:p>
    <w:p w14:paraId="2770CD02">
      <w:pPr>
        <w:ind w:firstLine="2400" w:firstLineChars="800"/>
        <w:rPr>
          <w:rFonts w:hint="eastAsia" w:ascii="宋体" w:hAnsi="宋体"/>
          <w:sz w:val="30"/>
        </w:rPr>
      </w:pPr>
    </w:p>
    <w:p w14:paraId="2D759F1E">
      <w:pPr>
        <w:rPr>
          <w:rFonts w:hint="eastAsia" w:ascii="宋体" w:hAnsi="宋体"/>
          <w:sz w:val="30"/>
        </w:rPr>
      </w:pPr>
    </w:p>
    <w:p w14:paraId="14661020">
      <w:pPr>
        <w:spacing w:line="360" w:lineRule="auto"/>
        <w:rPr>
          <w:rFonts w:eastAsia="黑体"/>
          <w:b/>
          <w:sz w:val="32"/>
        </w:rPr>
      </w:pPr>
    </w:p>
    <w:p w14:paraId="2A856761">
      <w:pPr>
        <w:spacing w:line="360" w:lineRule="auto"/>
        <w:rPr>
          <w:rFonts w:eastAsia="黑体"/>
          <w:b/>
          <w:sz w:val="32"/>
        </w:rPr>
      </w:pPr>
    </w:p>
    <w:p w14:paraId="5ADBC037">
      <w:pPr>
        <w:spacing w:line="360" w:lineRule="auto"/>
        <w:rPr>
          <w:rFonts w:eastAsia="黑体"/>
          <w:b/>
          <w:sz w:val="32"/>
        </w:rPr>
      </w:pPr>
    </w:p>
    <w:p w14:paraId="3B69DEDD">
      <w:pPr>
        <w:spacing w:line="360" w:lineRule="auto"/>
        <w:rPr>
          <w:rFonts w:eastAsia="黑体"/>
          <w:b/>
          <w:sz w:val="32"/>
        </w:rPr>
      </w:pPr>
    </w:p>
    <w:p w14:paraId="679798CD">
      <w:pPr>
        <w:spacing w:line="360" w:lineRule="auto"/>
        <w:rPr>
          <w:rFonts w:eastAsia="黑体"/>
          <w:b/>
          <w:sz w:val="32"/>
        </w:rPr>
      </w:pPr>
    </w:p>
    <w:p w14:paraId="3DCDEC7B">
      <w:pPr>
        <w:spacing w:line="360" w:lineRule="auto"/>
        <w:rPr>
          <w:rFonts w:eastAsia="黑体"/>
          <w:b/>
          <w:sz w:val="32"/>
        </w:rPr>
      </w:pPr>
    </w:p>
    <w:p w14:paraId="1FF5F5C4">
      <w:pPr>
        <w:spacing w:line="360" w:lineRule="auto"/>
        <w:rPr>
          <w:rFonts w:eastAsia="黑体"/>
          <w:b/>
          <w:sz w:val="32"/>
        </w:rPr>
      </w:pPr>
    </w:p>
    <w:p w14:paraId="39E213D4">
      <w:pPr>
        <w:spacing w:line="360" w:lineRule="auto"/>
        <w:rPr>
          <w:rFonts w:eastAsia="黑体"/>
          <w:b/>
          <w:sz w:val="32"/>
        </w:rPr>
      </w:pPr>
    </w:p>
    <w:p w14:paraId="311F8BA0">
      <w:pPr>
        <w:spacing w:line="360" w:lineRule="auto"/>
        <w:rPr>
          <w:rFonts w:eastAsia="黑体"/>
          <w:b/>
          <w:sz w:val="32"/>
        </w:rPr>
      </w:pPr>
    </w:p>
    <w:p w14:paraId="223C4A46">
      <w:pPr>
        <w:spacing w:line="360" w:lineRule="auto"/>
        <w:rPr>
          <w:rFonts w:eastAsia="黑体"/>
          <w:b/>
          <w:sz w:val="32"/>
        </w:rPr>
      </w:pPr>
    </w:p>
    <w:p w14:paraId="7DFA2E67">
      <w:pPr>
        <w:spacing w:line="360" w:lineRule="auto"/>
        <w:rPr>
          <w:rFonts w:eastAsia="黑体"/>
          <w:b/>
          <w:sz w:val="32"/>
        </w:rPr>
      </w:pPr>
    </w:p>
    <w:p w14:paraId="01D3107F">
      <w:pPr>
        <w:spacing w:line="360" w:lineRule="auto"/>
        <w:rPr>
          <w:rFonts w:eastAsia="黑体"/>
          <w:b/>
          <w:sz w:val="32"/>
        </w:rPr>
      </w:pPr>
    </w:p>
    <w:p w14:paraId="5A76B46B">
      <w:pPr>
        <w:snapToGrid w:val="0"/>
        <w:spacing w:before="240" w:line="360" w:lineRule="auto"/>
        <w:rPr>
          <w:rFonts w:ascii="宋体"/>
          <w:b/>
          <w:sz w:val="28"/>
          <w:szCs w:val="28"/>
        </w:rPr>
      </w:pPr>
    </w:p>
    <w:p w14:paraId="16F4576C">
      <w:pPr>
        <w:snapToGrid w:val="0"/>
        <w:spacing w:before="240" w:line="360" w:lineRule="auto"/>
        <w:rPr>
          <w:rFonts w:ascii="宋体"/>
          <w:b/>
          <w:sz w:val="28"/>
          <w:szCs w:val="28"/>
        </w:rPr>
      </w:pPr>
      <w:r>
        <w:rPr>
          <w:rFonts w:hint="eastAsia" w:ascii="宋体"/>
          <w:b/>
          <w:sz w:val="28"/>
          <w:szCs w:val="28"/>
        </w:rPr>
        <w:t>一、工程概况</w:t>
      </w:r>
    </w:p>
    <w:p w14:paraId="36CA88F3">
      <w:pPr>
        <w:tabs>
          <w:tab w:val="left" w:pos="426"/>
        </w:tabs>
        <w:spacing w:line="360" w:lineRule="auto"/>
        <w:ind w:firstLine="480" w:firstLineChars="200"/>
        <w:jc w:val="left"/>
        <w:rPr>
          <w:rFonts w:hint="eastAsia" w:ascii="宋体" w:hAnsi="宋体"/>
          <w:sz w:val="24"/>
        </w:rPr>
      </w:pPr>
      <w:bookmarkStart w:id="0" w:name="OLE_LINK14"/>
      <w:bookmarkStart w:id="1" w:name="OLE_LINK15"/>
      <w:bookmarkStart w:id="2" w:name="OLE_LINK53"/>
      <w:bookmarkStart w:id="3" w:name="OLE_LINK13"/>
      <w:r>
        <w:rPr>
          <w:rFonts w:hint="eastAsia" w:ascii="宋体" w:hAnsi="宋体"/>
          <w:sz w:val="24"/>
        </w:rPr>
        <w:t>根据《关于印发&lt;南方区域集中式储能电站运行数据接入调度主站技术方案（试行）&gt;的通知》（总调自〔2025〕49 号）、《关于印发&lt;南方区域新型储能电站数据合格率统计指引（2026年版）&gt;的通知》（总调水新〔2026〕9号）要求南方区域集中式储能电站非实时E文件数据分级上送至调度主站系统，</w:t>
      </w:r>
      <w:r>
        <w:rPr>
          <w:rFonts w:hint="eastAsia" w:ascii="宋体" w:hAnsi="宋体"/>
          <w:sz w:val="24"/>
          <w:lang w:eastAsia="zh-CN"/>
        </w:rPr>
        <w:t>宝池储能电站</w:t>
      </w:r>
      <w:r>
        <w:rPr>
          <w:rFonts w:hint="eastAsia" w:ascii="宋体" w:hAnsi="宋体"/>
          <w:sz w:val="24"/>
          <w:lang w:val="en-US" w:eastAsia="zh-CN"/>
        </w:rPr>
        <w:t>智能远动机等设备软件</w:t>
      </w:r>
      <w:r>
        <w:rPr>
          <w:rFonts w:hint="eastAsia" w:ascii="宋体" w:hAnsi="宋体"/>
          <w:sz w:val="24"/>
        </w:rPr>
        <w:t>目前不具备E文件上送调度条件，需</w:t>
      </w:r>
      <w:r>
        <w:rPr>
          <w:rFonts w:hint="eastAsia" w:ascii="宋体" w:hAnsi="宋体"/>
          <w:sz w:val="24"/>
          <w:lang w:val="en-US" w:eastAsia="zh-CN"/>
        </w:rPr>
        <w:t>升级相关程序，以满足总调要求</w:t>
      </w:r>
      <w:r>
        <w:rPr>
          <w:rFonts w:hint="eastAsia" w:ascii="宋体" w:hAnsi="宋体"/>
          <w:sz w:val="24"/>
          <w:lang w:val="en-US" w:eastAsia="zh-CN"/>
        </w:rPr>
        <w:t>。</w:t>
      </w:r>
    </w:p>
    <w:p w14:paraId="12F4AD65">
      <w:pPr>
        <w:tabs>
          <w:tab w:val="left" w:pos="426"/>
        </w:tabs>
        <w:spacing w:line="360" w:lineRule="auto"/>
        <w:ind w:firstLine="480" w:firstLineChars="200"/>
        <w:jc w:val="left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eastAsia="zh-CN"/>
        </w:rPr>
        <w:t>宝池储能电站</w:t>
      </w:r>
      <w:r>
        <w:rPr>
          <w:rFonts w:hint="eastAsia" w:ascii="宋体" w:hAnsi="宋体"/>
          <w:sz w:val="24"/>
        </w:rPr>
        <w:t>已经安装数据网关、交换机、防火墙等设备，针对南网总调发布的最新要求，需要</w:t>
      </w:r>
      <w:r>
        <w:rPr>
          <w:rFonts w:hint="eastAsia" w:ascii="宋体" w:hAnsi="宋体"/>
          <w:sz w:val="24"/>
          <w:lang w:val="en-US" w:eastAsia="zh-CN"/>
        </w:rPr>
        <w:t>对智能远动机等设备</w:t>
      </w:r>
      <w:r>
        <w:rPr>
          <w:rFonts w:hint="eastAsia" w:ascii="宋体" w:hAnsi="宋体"/>
          <w:sz w:val="24"/>
        </w:rPr>
        <w:t>进行相应的程序开发、升级等</w:t>
      </w:r>
      <w:r>
        <w:rPr>
          <w:rFonts w:hint="eastAsia" w:ascii="宋体" w:hAnsi="宋体"/>
          <w:sz w:val="24"/>
          <w:lang w:eastAsia="zh-CN"/>
        </w:rPr>
        <w:t>，</w:t>
      </w:r>
      <w:r>
        <w:rPr>
          <w:rFonts w:hint="eastAsia" w:ascii="宋体" w:hAnsi="宋体"/>
          <w:sz w:val="24"/>
        </w:rPr>
        <w:t>更好支撑新型电力系统大背景下集中式储能电站的运行，监视及调度控制，提升运行监视效率。</w:t>
      </w:r>
      <w:r>
        <w:rPr>
          <w:rFonts w:hint="eastAsia" w:ascii="宋体" w:hAnsi="宋体"/>
          <w:sz w:val="24"/>
          <w:lang w:val="en-US" w:eastAsia="zh-CN"/>
        </w:rPr>
        <w:t>智能远动机见下图：</w:t>
      </w:r>
    </w:p>
    <w:p w14:paraId="5CF0C394">
      <w:pPr>
        <w:tabs>
          <w:tab w:val="left" w:pos="426"/>
        </w:tabs>
        <w:spacing w:line="360" w:lineRule="auto"/>
        <w:jc w:val="both"/>
        <w:rPr>
          <w:rFonts w:hint="default" w:ascii="宋体" w:hAnsi="宋体"/>
          <w:sz w:val="24"/>
          <w:lang w:val="en-US" w:eastAsia="zh-CN"/>
        </w:rPr>
      </w:pPr>
      <w:r>
        <w:drawing>
          <wp:inline distT="0" distB="0" distL="114300" distR="114300">
            <wp:extent cx="6484620" cy="4872990"/>
            <wp:effectExtent l="0" t="0" r="1143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4620" cy="487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bookmarkEnd w:id="1"/>
    <w:bookmarkEnd w:id="2"/>
    <w:bookmarkEnd w:id="3"/>
    <w:p w14:paraId="2E10DE92">
      <w:pPr>
        <w:snapToGrid w:val="0"/>
        <w:spacing w:before="240" w:line="360" w:lineRule="auto"/>
        <w:rPr>
          <w:rFonts w:eastAsia="黑体"/>
          <w:b/>
          <w:sz w:val="28"/>
          <w:szCs w:val="28"/>
        </w:rPr>
      </w:pPr>
      <w:r>
        <w:rPr>
          <w:rFonts w:hint="eastAsia" w:ascii="宋体" w:cs="宋体"/>
          <w:b/>
          <w:sz w:val="28"/>
          <w:szCs w:val="28"/>
          <w:lang w:bidi="ar"/>
        </w:rPr>
        <w:t>二、工程内容</w:t>
      </w:r>
    </w:p>
    <w:p w14:paraId="58375BA2">
      <w:pPr>
        <w:numPr>
          <w:ilvl w:val="0"/>
          <w:numId w:val="2"/>
        </w:numPr>
        <w:spacing w:line="360" w:lineRule="auto"/>
        <w:rPr>
          <w:rFonts w:ascii="宋体" w:cs="宋体"/>
          <w:b/>
          <w:sz w:val="24"/>
        </w:rPr>
      </w:pPr>
      <w:r>
        <w:rPr>
          <w:rFonts w:hint="eastAsia" w:ascii="宋体" w:cs="宋体"/>
          <w:b/>
          <w:sz w:val="24"/>
          <w:lang w:bidi="ar"/>
        </w:rPr>
        <w:t>项目工作区域</w:t>
      </w:r>
    </w:p>
    <w:p w14:paraId="5EC33276">
      <w:pPr>
        <w:spacing w:line="360" w:lineRule="auto"/>
        <w:ind w:firstLine="480" w:firstLineChars="200"/>
        <w:rPr>
          <w:sz w:val="24"/>
        </w:rPr>
      </w:pPr>
      <w:r>
        <w:rPr>
          <w:rFonts w:hint="eastAsia" w:ascii="宋体" w:hAnsi="宋体"/>
          <w:sz w:val="24"/>
          <w:lang w:eastAsia="zh-CN"/>
        </w:rPr>
        <w:t>宝池储能电站</w:t>
      </w:r>
      <w:r>
        <w:rPr>
          <w:rFonts w:hint="eastAsia"/>
          <w:sz w:val="24"/>
        </w:rPr>
        <w:t>。</w:t>
      </w:r>
    </w:p>
    <w:p w14:paraId="0173C631">
      <w:pPr>
        <w:numPr>
          <w:ilvl w:val="0"/>
          <w:numId w:val="2"/>
        </w:numPr>
        <w:spacing w:line="360" w:lineRule="auto"/>
        <w:rPr>
          <w:rFonts w:ascii="宋体" w:cs="宋体"/>
          <w:b/>
          <w:sz w:val="24"/>
        </w:rPr>
      </w:pPr>
      <w:r>
        <w:rPr>
          <w:rFonts w:hint="eastAsia" w:ascii="宋体" w:cs="宋体"/>
          <w:b/>
          <w:sz w:val="24"/>
          <w:lang w:bidi="ar"/>
        </w:rPr>
        <w:t>工程实施采用的技术规范</w:t>
      </w:r>
    </w:p>
    <w:p w14:paraId="5186F9CD">
      <w:pPr>
        <w:pStyle w:val="17"/>
        <w:spacing w:before="156" w:after="156"/>
        <w:ind w:left="432" w:firstLine="0" w:firstLineChars="0"/>
        <w:rPr>
          <w:sz w:val="24"/>
        </w:rPr>
      </w:pPr>
      <w:r>
        <w:rPr>
          <w:rFonts w:hint="eastAsia"/>
          <w:sz w:val="24"/>
        </w:rPr>
        <w:t>1)</w:t>
      </w:r>
      <w:bookmarkStart w:id="4" w:name="OLE_LINK10"/>
      <w:r>
        <w:rPr>
          <w:rFonts w:hint="eastAsia"/>
          <w:sz w:val="24"/>
        </w:rPr>
        <w:t>GB/T 42726-2023 电化学储能电站监控系统技术规范</w:t>
      </w:r>
      <w:bookmarkEnd w:id="4"/>
    </w:p>
    <w:p w14:paraId="422A0990">
      <w:pPr>
        <w:pStyle w:val="17"/>
        <w:spacing w:before="156" w:after="156"/>
        <w:ind w:left="432" w:firstLine="0" w:firstLineChars="0"/>
        <w:rPr>
          <w:sz w:val="24"/>
        </w:rPr>
      </w:pPr>
      <w:r>
        <w:rPr>
          <w:rFonts w:hint="eastAsia"/>
          <w:sz w:val="24"/>
        </w:rPr>
        <w:t>2)DL 5002-2018 地区电网调度自动化设计技术规程</w:t>
      </w:r>
    </w:p>
    <w:p w14:paraId="61BDA151">
      <w:pPr>
        <w:pStyle w:val="17"/>
        <w:spacing w:before="156" w:after="156"/>
        <w:ind w:left="432" w:firstLine="0" w:firstLineChars="0"/>
        <w:rPr>
          <w:sz w:val="24"/>
        </w:rPr>
      </w:pPr>
      <w:r>
        <w:rPr>
          <w:rFonts w:hint="eastAsia"/>
          <w:sz w:val="24"/>
        </w:rPr>
        <w:t>3)DL 5003-2017 电力系统调度自动化设计技术规程</w:t>
      </w:r>
    </w:p>
    <w:p w14:paraId="08AC8F85">
      <w:pPr>
        <w:pStyle w:val="17"/>
        <w:spacing w:before="156" w:after="156"/>
        <w:ind w:left="432" w:firstLine="0" w:firstLineChars="0"/>
        <w:rPr>
          <w:sz w:val="24"/>
        </w:rPr>
      </w:pPr>
      <w:r>
        <w:rPr>
          <w:rFonts w:hint="eastAsia"/>
          <w:sz w:val="24"/>
        </w:rPr>
        <w:t>4)GB/T 13730-2002 地区电网调度自动化系统</w:t>
      </w:r>
    </w:p>
    <w:p w14:paraId="12E1924C">
      <w:pPr>
        <w:numPr>
          <w:ilvl w:val="0"/>
          <w:numId w:val="2"/>
        </w:numPr>
        <w:spacing w:line="360" w:lineRule="auto"/>
        <w:rPr>
          <w:rFonts w:ascii="宋体" w:cs="宋体"/>
          <w:b/>
          <w:sz w:val="24"/>
        </w:rPr>
      </w:pPr>
      <w:r>
        <w:rPr>
          <w:rFonts w:hint="eastAsia" w:ascii="宋体" w:cs="宋体"/>
          <w:b/>
          <w:sz w:val="24"/>
          <w:lang w:bidi="ar"/>
        </w:rPr>
        <w:t>项目招标内容</w:t>
      </w:r>
    </w:p>
    <w:p w14:paraId="72B624E7">
      <w:pPr>
        <w:numPr>
          <w:ilvl w:val="0"/>
          <w:numId w:val="3"/>
        </w:numPr>
        <w:spacing w:line="40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服务采购</w:t>
      </w:r>
    </w:p>
    <w:p w14:paraId="50B2B411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对</w:t>
      </w:r>
      <w:r>
        <w:rPr>
          <w:rFonts w:hint="eastAsia" w:ascii="宋体" w:hAnsi="宋体"/>
          <w:sz w:val="24"/>
          <w:lang w:eastAsia="zh-CN"/>
        </w:rPr>
        <w:t>宝池储能电站</w:t>
      </w:r>
      <w:r>
        <w:rPr>
          <w:rFonts w:hint="eastAsia" w:ascii="宋体" w:hAnsi="宋体"/>
          <w:sz w:val="24"/>
        </w:rPr>
        <w:t>E文件上送网关机程序开发，现场程序升级等服务</w:t>
      </w:r>
      <w:r>
        <w:rPr>
          <w:rFonts w:hint="eastAsia"/>
          <w:sz w:val="24"/>
        </w:rPr>
        <w:t>进行招标采购。</w:t>
      </w:r>
    </w:p>
    <w:p w14:paraId="72B2DDA5">
      <w:pPr>
        <w:spacing w:line="40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2）现场勘测及调试</w:t>
      </w:r>
    </w:p>
    <w:p w14:paraId="0C667D5F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投标方需对</w:t>
      </w:r>
      <w:r>
        <w:rPr>
          <w:rFonts w:hint="eastAsia" w:ascii="宋体" w:hAnsi="宋体"/>
          <w:sz w:val="24"/>
          <w:lang w:eastAsia="zh-CN"/>
        </w:rPr>
        <w:t>宝池储能电站</w:t>
      </w:r>
      <w:r>
        <w:rPr>
          <w:rFonts w:hint="eastAsia"/>
          <w:sz w:val="24"/>
        </w:rPr>
        <w:t>进行现场勘测，进行站点</w:t>
      </w:r>
      <w:r>
        <w:rPr>
          <w:rFonts w:hint="eastAsia" w:ascii="宋体" w:hAnsi="宋体"/>
          <w:sz w:val="24"/>
        </w:rPr>
        <w:t>运行数据E文件</w:t>
      </w:r>
      <w:r>
        <w:rPr>
          <w:rFonts w:hint="eastAsia" w:ascii="宋体" w:hAnsi="宋体" w:cs="宋体"/>
          <w:sz w:val="24"/>
        </w:rPr>
        <w:t>（包含储能EMS、协调控制系统、AGC/AVC、计划曲线等调度要求上送的数据）</w:t>
      </w:r>
      <w:r>
        <w:rPr>
          <w:rFonts w:hint="eastAsia" w:ascii="宋体" w:hAnsi="宋体"/>
          <w:sz w:val="24"/>
        </w:rPr>
        <w:t>上送调度</w:t>
      </w:r>
      <w:r>
        <w:rPr>
          <w:rFonts w:hint="eastAsia"/>
          <w:sz w:val="24"/>
        </w:rPr>
        <w:t>调试。</w:t>
      </w:r>
    </w:p>
    <w:p w14:paraId="52E462CD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完成上述站点</w:t>
      </w:r>
      <w:r>
        <w:rPr>
          <w:rFonts w:hint="eastAsia" w:ascii="宋体" w:hAnsi="宋体"/>
          <w:sz w:val="24"/>
        </w:rPr>
        <w:t>运行数据E文件</w:t>
      </w:r>
      <w:r>
        <w:rPr>
          <w:rFonts w:hint="eastAsia" w:ascii="宋体" w:hAnsi="宋体" w:cs="宋体"/>
          <w:sz w:val="24"/>
        </w:rPr>
        <w:t>（包含储能EMS、协调控制系统、AGC/AVC、计划曲线等调度要求上送的数据）</w:t>
      </w:r>
      <w:r>
        <w:rPr>
          <w:rFonts w:hint="eastAsia" w:ascii="宋体" w:hAnsi="宋体"/>
          <w:sz w:val="24"/>
        </w:rPr>
        <w:t>上送调度</w:t>
      </w:r>
      <w:r>
        <w:rPr>
          <w:rFonts w:hint="eastAsia"/>
          <w:sz w:val="24"/>
        </w:rPr>
        <w:t>调试，将储能站点运行数据E文件上送调度，上送数据需满足</w:t>
      </w:r>
      <w:r>
        <w:rPr>
          <w:rFonts w:hint="eastAsia" w:ascii="宋体" w:hAnsi="宋体"/>
          <w:sz w:val="24"/>
        </w:rPr>
        <w:t>《关于印发&lt;南方区域集中式储能电站运行数据接入调度主站技术方案（试行）&gt;的通知》（总调自〔2025〕49 号）相关要求</w:t>
      </w:r>
      <w:r>
        <w:rPr>
          <w:rFonts w:hint="eastAsia"/>
          <w:sz w:val="24"/>
        </w:rPr>
        <w:t>。</w:t>
      </w:r>
    </w:p>
    <w:p w14:paraId="1EAF42A5">
      <w:pPr>
        <w:spacing w:line="40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3</w:t>
      </w:r>
      <w:r>
        <w:rPr>
          <w:sz w:val="24"/>
        </w:rPr>
        <w:t>）</w:t>
      </w:r>
      <w:r>
        <w:rPr>
          <w:rFonts w:hint="eastAsia"/>
          <w:sz w:val="24"/>
        </w:rPr>
        <w:t>成果验收</w:t>
      </w:r>
    </w:p>
    <w:p w14:paraId="449C6432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对改造结果进行测试及验收，需要满足</w:t>
      </w:r>
      <w:r>
        <w:rPr>
          <w:rFonts w:hint="eastAsia" w:ascii="宋体" w:hAnsi="宋体"/>
          <w:sz w:val="24"/>
        </w:rPr>
        <w:t>《关于印发&lt;南方区域集中式储能电站运行数据接入调度主站技术方案（试行）&gt;的通知》（总调自〔2025〕49 号）、《关于印发&lt;南方区域新型储能电站数据合格率统计指引（2026年版）&gt;的通知》（总调水新〔2026〕9号）相关要求</w:t>
      </w:r>
      <w:r>
        <w:rPr>
          <w:rFonts w:hint="eastAsia"/>
          <w:sz w:val="24"/>
        </w:rPr>
        <w:t>，同时编制验收报告。</w:t>
      </w:r>
    </w:p>
    <w:p w14:paraId="3EBCAB1B">
      <w:pPr>
        <w:spacing w:line="360" w:lineRule="auto"/>
        <w:rPr>
          <w:kern w:val="0"/>
          <w:sz w:val="24"/>
          <w:lang w:bidi="ar"/>
        </w:rPr>
      </w:pPr>
      <w:r>
        <w:rPr>
          <w:rFonts w:hint="eastAsia" w:ascii="宋体" w:hAnsi="宋体" w:cs="宋体"/>
          <w:b/>
          <w:sz w:val="28"/>
          <w:szCs w:val="28"/>
          <w:lang w:bidi="ar"/>
        </w:rPr>
        <w:t>三、技术要求</w:t>
      </w:r>
    </w:p>
    <w:p w14:paraId="56D4652E">
      <w:pPr>
        <w:adjustRightInd w:val="0"/>
        <w:snapToGrid w:val="0"/>
        <w:spacing w:line="480" w:lineRule="atLeast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3.1 运行数据E文件上送要求</w:t>
      </w:r>
    </w:p>
    <w:p w14:paraId="2D3A7193">
      <w:pPr>
        <w:adjustRightInd w:val="0"/>
        <w:snapToGrid w:val="0"/>
        <w:spacing w:line="480" w:lineRule="atLeast"/>
        <w:ind w:left="420" w:leftChars="200"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集、整合站点运行数据（包含储能EMS、协调控制系统、AGC/AVC、计划曲线等），并通过102扩展规约上送至调度主站储能电站E文件信息如下表，具体格式定义参见下文。其中，ESPStaticParam、ESPDayInfo、ESPDayPlant上送周期为每天一次，ESPAGC、ESPAVC、ESPRTInfo上送周期为5分钟一次。</w:t>
      </w:r>
    </w:p>
    <w:p w14:paraId="3623E267">
      <w:pPr>
        <w:pStyle w:val="6"/>
        <w:spacing w:before="156" w:beforeLines="50" w:after="0" w:line="240" w:lineRule="exact"/>
        <w:jc w:val="center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表1、储能电站E文件信息</w:t>
      </w:r>
    </w:p>
    <w:tbl>
      <w:tblPr>
        <w:tblStyle w:val="1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4318"/>
        <w:gridCol w:w="4193"/>
      </w:tblGrid>
      <w:tr w14:paraId="67FFD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pct"/>
            <w:shd w:val="clear" w:color="auto" w:fill="D7D7D7" w:themeFill="background1" w:themeFillShade="D8"/>
          </w:tcPr>
          <w:p w14:paraId="19B166A2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序号</w:t>
            </w:r>
          </w:p>
        </w:tc>
        <w:tc>
          <w:tcPr>
            <w:tcW w:w="2191" w:type="pct"/>
            <w:shd w:val="clear" w:color="auto" w:fill="D7D7D7" w:themeFill="background1" w:themeFillShade="D8"/>
          </w:tcPr>
          <w:p w14:paraId="45BB06D4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文件名称</w:t>
            </w:r>
          </w:p>
        </w:tc>
        <w:tc>
          <w:tcPr>
            <w:tcW w:w="2127" w:type="pct"/>
            <w:shd w:val="clear" w:color="auto" w:fill="D7D7D7" w:themeFill="background1" w:themeFillShade="D8"/>
          </w:tcPr>
          <w:p w14:paraId="3301D2C6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上送数据</w:t>
            </w:r>
          </w:p>
        </w:tc>
      </w:tr>
      <w:tr w14:paraId="17E01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pct"/>
          </w:tcPr>
          <w:p w14:paraId="5C9BC12F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2191" w:type="pct"/>
          </w:tcPr>
          <w:p w14:paraId="5E4F13E5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E文件-ESPStaticParam</w:t>
            </w:r>
          </w:p>
        </w:tc>
        <w:tc>
          <w:tcPr>
            <w:tcW w:w="2127" w:type="pct"/>
          </w:tcPr>
          <w:p w14:paraId="1ABB20A5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储能电站静态参数</w:t>
            </w:r>
          </w:p>
        </w:tc>
      </w:tr>
      <w:tr w14:paraId="6D1E7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pct"/>
          </w:tcPr>
          <w:p w14:paraId="0AA045D7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2191" w:type="pct"/>
          </w:tcPr>
          <w:p w14:paraId="41A3ED4C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E文件-ESPDayInfo</w:t>
            </w:r>
          </w:p>
        </w:tc>
        <w:tc>
          <w:tcPr>
            <w:tcW w:w="2127" w:type="pct"/>
          </w:tcPr>
          <w:p w14:paraId="48D34C2F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储能电站日运行信息</w:t>
            </w:r>
          </w:p>
        </w:tc>
      </w:tr>
      <w:tr w14:paraId="32EFA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0" w:type="pct"/>
          </w:tcPr>
          <w:p w14:paraId="45B4A925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2191" w:type="pct"/>
          </w:tcPr>
          <w:p w14:paraId="3EC9D811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E文件-ESPRTInfo</w:t>
            </w:r>
          </w:p>
        </w:tc>
        <w:tc>
          <w:tcPr>
            <w:tcW w:w="2127" w:type="pct"/>
          </w:tcPr>
          <w:p w14:paraId="6072E608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储能电站实时信息</w:t>
            </w:r>
          </w:p>
        </w:tc>
      </w:tr>
      <w:tr w14:paraId="30346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pct"/>
          </w:tcPr>
          <w:p w14:paraId="2E581451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2191" w:type="pct"/>
          </w:tcPr>
          <w:p w14:paraId="04103761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E文件-ESPAGC</w:t>
            </w:r>
          </w:p>
        </w:tc>
        <w:tc>
          <w:tcPr>
            <w:tcW w:w="2127" w:type="pct"/>
          </w:tcPr>
          <w:p w14:paraId="7D293071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储能电站AGC运行信息</w:t>
            </w:r>
          </w:p>
        </w:tc>
      </w:tr>
      <w:tr w14:paraId="6B5DE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pct"/>
            <w:shd w:val="clear" w:color="auto" w:fill="auto"/>
          </w:tcPr>
          <w:p w14:paraId="652E473C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</w:t>
            </w:r>
          </w:p>
        </w:tc>
        <w:tc>
          <w:tcPr>
            <w:tcW w:w="2191" w:type="pct"/>
            <w:shd w:val="clear" w:color="auto" w:fill="auto"/>
          </w:tcPr>
          <w:p w14:paraId="3B6FC661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E文件-ESPAVC</w:t>
            </w:r>
          </w:p>
        </w:tc>
        <w:tc>
          <w:tcPr>
            <w:tcW w:w="2127" w:type="pct"/>
            <w:shd w:val="clear" w:color="auto" w:fill="auto"/>
          </w:tcPr>
          <w:p w14:paraId="4A1A3B33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储能电站AVC运行信息</w:t>
            </w:r>
          </w:p>
        </w:tc>
      </w:tr>
      <w:tr w14:paraId="547DC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pct"/>
          </w:tcPr>
          <w:p w14:paraId="0BF53182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6</w:t>
            </w:r>
          </w:p>
        </w:tc>
        <w:tc>
          <w:tcPr>
            <w:tcW w:w="2191" w:type="pct"/>
          </w:tcPr>
          <w:p w14:paraId="5878F5DB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E文件-ESPDayPlant</w:t>
            </w:r>
          </w:p>
        </w:tc>
        <w:tc>
          <w:tcPr>
            <w:tcW w:w="2127" w:type="pct"/>
          </w:tcPr>
          <w:p w14:paraId="337CC427">
            <w:pPr>
              <w:spacing w:line="3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储能电站发电计划信息</w:t>
            </w:r>
          </w:p>
        </w:tc>
      </w:tr>
    </w:tbl>
    <w:p w14:paraId="794A564C">
      <w:pPr>
        <w:adjustRightInd w:val="0"/>
        <w:snapToGrid w:val="0"/>
        <w:spacing w:line="480" w:lineRule="atLeast"/>
        <w:ind w:left="420" w:leftChars="200"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各级调度主站间的E传送应按省区/市区整体打包上送，打包格式为：.tar.gz，打包文件命名规则为：省/市区_ESP_时间_序号.tar.gz，时间格式为：yyyymmddhhmm。包内文件无约定数目，可按省区整体打包上送。若分包处理，则在序号中体现，序号从1开始累积并按步长为1递增。</w:t>
      </w:r>
    </w:p>
    <w:p w14:paraId="33DD99DF">
      <w:pPr>
        <w:adjustRightInd w:val="0"/>
        <w:snapToGrid w:val="0"/>
        <w:spacing w:line="480" w:lineRule="atLeast"/>
        <w:ind w:left="420" w:leftChars="200"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扩展102规约采用DL/T 719-2000协议中第5章所规定的非平衡传输规则，即传输过程的启动仅限于某一固定点，在本规约中调度为主站端，作为启动端，而储能电站作为子站，始终为从动站。系统的基本问答过程是采用带有功能码11的请求2级用户数据的请求响应服务，1级数据用请求访问位（ACD bit）来表示。</w:t>
      </w:r>
    </w:p>
    <w:p w14:paraId="5764C804">
      <w:pPr>
        <w:adjustRightInd w:val="0"/>
        <w:snapToGrid w:val="0"/>
        <w:spacing w:line="480" w:lineRule="atLeast"/>
        <w:ind w:left="420" w:leftChars="200"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内容详见《关于印发&lt;南方区域集中式储能电站运行数据接入调度主站技术方案（试行）&gt;的通知》（总调自〔2025〕49 号）、《关于印发&lt;南方区域新型储能电站数据合格率统计指引（2026年版）&gt;的通知》（总调水新〔2026〕9号）。</w:t>
      </w:r>
    </w:p>
    <w:p w14:paraId="145AB174">
      <w:pPr>
        <w:adjustRightInd w:val="0"/>
        <w:snapToGrid w:val="0"/>
        <w:spacing w:line="480" w:lineRule="atLeast"/>
        <w:ind w:left="420" w:leftChars="200" w:firstLine="480" w:firstLineChars="200"/>
        <w:rPr>
          <w:rFonts w:hint="eastAsia" w:ascii="宋体" w:hAnsi="宋体" w:cs="宋体"/>
          <w:sz w:val="24"/>
        </w:rPr>
      </w:pPr>
    </w:p>
    <w:p w14:paraId="505A30A5">
      <w:pPr>
        <w:numPr>
          <w:ilvl w:val="0"/>
          <w:numId w:val="4"/>
        </w:numPr>
        <w:spacing w:line="360" w:lineRule="auto"/>
        <w:rPr>
          <w:rFonts w:hint="eastAsia" w:ascii="宋体" w:hAnsi="宋体" w:cs="宋体"/>
          <w:b/>
          <w:sz w:val="28"/>
          <w:szCs w:val="28"/>
          <w:lang w:bidi="ar"/>
        </w:rPr>
      </w:pPr>
      <w:r>
        <w:rPr>
          <w:rFonts w:hint="eastAsia" w:ascii="宋体" w:hAnsi="宋体" w:cs="宋体"/>
          <w:b/>
          <w:sz w:val="28"/>
          <w:szCs w:val="28"/>
          <w:lang w:bidi="ar"/>
        </w:rPr>
        <w:t>服务要求：</w:t>
      </w:r>
    </w:p>
    <w:p w14:paraId="2F091910">
      <w:pPr>
        <w:adjustRightInd w:val="0"/>
        <w:snapToGrid w:val="0"/>
        <w:spacing w:line="480" w:lineRule="atLeast"/>
        <w:rPr>
          <w:rFonts w:hint="eastAsia" w:ascii="宋体" w:hAnsi="宋体" w:cs="宋体"/>
          <w:b/>
          <w:sz w:val="28"/>
          <w:szCs w:val="28"/>
          <w:lang w:bidi="ar"/>
        </w:rPr>
      </w:pPr>
      <w:r>
        <w:rPr>
          <w:rFonts w:hint="eastAsia"/>
          <w:b/>
          <w:bCs/>
          <w:sz w:val="24"/>
        </w:rPr>
        <w:t>4.1 技术服务：</w:t>
      </w:r>
    </w:p>
    <w:p w14:paraId="0B133C9A">
      <w:pPr>
        <w:pStyle w:val="25"/>
        <w:numPr>
          <w:ilvl w:val="0"/>
          <w:numId w:val="5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投标方</w:t>
      </w:r>
      <w:r>
        <w:rPr>
          <w:rFonts w:ascii="宋体" w:hAnsi="宋体"/>
          <w:sz w:val="24"/>
        </w:rPr>
        <w:t>应指定项目负责人并安排技术人员</w:t>
      </w:r>
      <w:r>
        <w:rPr>
          <w:rFonts w:hint="eastAsia" w:ascii="宋体" w:hAnsi="宋体"/>
          <w:sz w:val="24"/>
        </w:rPr>
        <w:t>对设备进行现场升级、调试（包含主站）、试验，并承担全部技术责任，确保设备满足南方电网相关规范；</w:t>
      </w:r>
    </w:p>
    <w:p w14:paraId="7C08A5DA">
      <w:pPr>
        <w:pStyle w:val="25"/>
        <w:numPr>
          <w:ilvl w:val="0"/>
          <w:numId w:val="5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投标方</w:t>
      </w:r>
      <w:r>
        <w:rPr>
          <w:rFonts w:ascii="宋体" w:hAnsi="宋体"/>
          <w:sz w:val="24"/>
        </w:rPr>
        <w:t>项目负责人</w:t>
      </w:r>
      <w:r>
        <w:rPr>
          <w:rFonts w:hint="eastAsia" w:ascii="宋体" w:hAnsi="宋体"/>
          <w:sz w:val="24"/>
        </w:rPr>
        <w:t>负责沟通协商改造所涉及设备厂家的配合工作，必要时可由招标方出面协调；</w:t>
      </w:r>
    </w:p>
    <w:p w14:paraId="72CF8817">
      <w:pPr>
        <w:pStyle w:val="25"/>
        <w:numPr>
          <w:ilvl w:val="0"/>
          <w:numId w:val="5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现场人员配置应满足项目进度需求，确保改造按期保质保量完成；</w:t>
      </w:r>
    </w:p>
    <w:p w14:paraId="1EA4C9C7">
      <w:pPr>
        <w:pStyle w:val="25"/>
        <w:numPr>
          <w:ilvl w:val="0"/>
          <w:numId w:val="5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所选设备型号、工程实施与验收满足南方电网相关技术规范要求。改造后的系统应达到预期的数据上送要求和稳定性要求。所选设备应与现有系统兼容，确保改造过程不影响现有系统的正常运行。按照预定的时间表完成所有改造工作，减少对正常运营的影响；</w:t>
      </w:r>
    </w:p>
    <w:p w14:paraId="48F91BE5">
      <w:pPr>
        <w:pStyle w:val="25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leftChars="0" w:firstLine="482" w:firstLineChars="0"/>
        <w:jc w:val="left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工期：2026年5月30日前完成</w:t>
      </w:r>
    </w:p>
    <w:p w14:paraId="32DD8EAB">
      <w:pPr>
        <w:pStyle w:val="25"/>
        <w:autoSpaceDE w:val="0"/>
        <w:autoSpaceDN w:val="0"/>
        <w:adjustRightInd w:val="0"/>
        <w:spacing w:before="135"/>
        <w:ind w:firstLine="0" w:firstLineChars="0"/>
        <w:jc w:val="left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4.2 售后服务</w:t>
      </w:r>
    </w:p>
    <w:p w14:paraId="78B6F283">
      <w:pPr>
        <w:pStyle w:val="25"/>
        <w:numPr>
          <w:ilvl w:val="0"/>
          <w:numId w:val="6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投标方</w:t>
      </w:r>
      <w:r>
        <w:rPr>
          <w:rFonts w:ascii="宋体" w:hAnsi="宋体"/>
          <w:sz w:val="24"/>
        </w:rPr>
        <w:t>项目负责人</w:t>
      </w:r>
      <w:r>
        <w:rPr>
          <w:rFonts w:hint="eastAsia" w:ascii="宋体" w:hAnsi="宋体"/>
          <w:sz w:val="24"/>
        </w:rPr>
        <w:t>负责对招标方技术人员及运行、维护人员的现场培训，内容包括系统结构、设计原理、调试、维护、故障诊断等；</w:t>
      </w:r>
    </w:p>
    <w:p w14:paraId="30CA2411">
      <w:pPr>
        <w:pStyle w:val="25"/>
        <w:numPr>
          <w:ilvl w:val="0"/>
          <w:numId w:val="6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投标方应负责自现场验收合格之日起三年的免费质保；</w:t>
      </w:r>
    </w:p>
    <w:p w14:paraId="55D67B96">
      <w:pPr>
        <w:pStyle w:val="25"/>
        <w:numPr>
          <w:ilvl w:val="0"/>
          <w:numId w:val="6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投标方应提供7×24小时的技术支持服务，制定相对固定的</w:t>
      </w:r>
      <w:r>
        <w:rPr>
          <w:rFonts w:ascii="宋体" w:hAnsi="宋体"/>
          <w:sz w:val="24"/>
        </w:rPr>
        <w:t>项目</w:t>
      </w:r>
      <w:r>
        <w:rPr>
          <w:rFonts w:hint="eastAsia" w:ascii="宋体" w:hAnsi="宋体"/>
          <w:sz w:val="24"/>
        </w:rPr>
        <w:t>负责人及联络电话、传真号码、e-mail地址等；</w:t>
      </w:r>
    </w:p>
    <w:p w14:paraId="193F51F0">
      <w:pPr>
        <w:pStyle w:val="25"/>
        <w:numPr>
          <w:ilvl w:val="0"/>
          <w:numId w:val="6"/>
        </w:numPr>
        <w:autoSpaceDE w:val="0"/>
        <w:autoSpaceDN w:val="0"/>
        <w:adjustRightInd w:val="0"/>
        <w:spacing w:line="360" w:lineRule="auto"/>
        <w:ind w:firstLineChars="0"/>
        <w:jc w:val="left"/>
        <w:rPr>
          <w:sz w:val="24"/>
        </w:rPr>
      </w:pPr>
      <w:r>
        <w:rPr>
          <w:rFonts w:hint="eastAsia" w:ascii="宋体" w:hAnsi="宋体"/>
          <w:sz w:val="24"/>
        </w:rPr>
        <w:t>对于用户提出的软件性能提高、功能增加等改进要求，如属“招标书”或“合同”的范畴，投标方应在2周内予以解决；如属“招标书”或“合同”以外的功能开发，也应提供优惠服务；</w:t>
      </w:r>
    </w:p>
    <w:p w14:paraId="15E0F077">
      <w:pPr>
        <w:pStyle w:val="25"/>
        <w:autoSpaceDE w:val="0"/>
        <w:autoSpaceDN w:val="0"/>
        <w:adjustRightInd w:val="0"/>
        <w:spacing w:line="360" w:lineRule="auto"/>
        <w:ind w:left="482" w:firstLine="0" w:firstLineChars="0"/>
        <w:jc w:val="left"/>
        <w:rPr>
          <w:sz w:val="24"/>
        </w:rPr>
      </w:pPr>
    </w:p>
    <w:p w14:paraId="0D63017F">
      <w:pPr>
        <w:keepNext/>
        <w:keepLines/>
        <w:spacing w:line="400" w:lineRule="exact"/>
        <w:rPr>
          <w:rFonts w:ascii="宋体" w:cs="宋体"/>
          <w:b/>
          <w:sz w:val="28"/>
          <w:lang w:bidi="ar"/>
        </w:rPr>
      </w:pPr>
      <w:r>
        <w:rPr>
          <w:rFonts w:hint="eastAsia" w:ascii="宋体" w:cs="宋体"/>
          <w:b/>
          <w:sz w:val="28"/>
          <w:lang w:bidi="ar"/>
        </w:rPr>
        <w:t>五、招标范围</w:t>
      </w:r>
    </w:p>
    <w:p w14:paraId="2A3D1B29">
      <w:pPr>
        <w:tabs>
          <w:tab w:val="left" w:pos="1440"/>
          <w:tab w:val="left" w:pos="3960"/>
        </w:tabs>
        <w:adjustRightInd w:val="0"/>
        <w:snapToGrid w:val="0"/>
        <w:spacing w:line="480" w:lineRule="atLeast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投标方应确保</w:t>
      </w:r>
      <w:r>
        <w:rPr>
          <w:rFonts w:hint="eastAsia" w:ascii="宋体" w:hAnsi="宋体"/>
          <w:sz w:val="24"/>
          <w:lang w:val="en-US" w:eastAsia="zh-CN"/>
        </w:rPr>
        <w:t>采购</w:t>
      </w:r>
      <w:r>
        <w:rPr>
          <w:rFonts w:ascii="宋体" w:hAnsi="宋体"/>
          <w:sz w:val="24"/>
        </w:rPr>
        <w:t>范围完整，以能满足用户安装、运行要求为原则，在技术规范中涉及的供货要求也作为本供货范围的补充，若在安装、调试、运行中发现缺项（属投标方供货范围）由投标方补充。</w:t>
      </w:r>
    </w:p>
    <w:p w14:paraId="0547CC50">
      <w:pPr>
        <w:tabs>
          <w:tab w:val="left" w:pos="1440"/>
          <w:tab w:val="left" w:pos="3960"/>
        </w:tabs>
        <w:adjustRightInd w:val="0"/>
        <w:snapToGrid w:val="0"/>
        <w:spacing w:line="480" w:lineRule="atLeast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本招标技术文件</w:t>
      </w:r>
      <w:r>
        <w:rPr>
          <w:rFonts w:hint="eastAsia" w:ascii="宋体" w:hAnsi="宋体"/>
          <w:sz w:val="24"/>
        </w:rPr>
        <w:t>所采购的物资包括：</w:t>
      </w:r>
    </w:p>
    <w:p w14:paraId="2E75D96D">
      <w:pPr>
        <w:spacing w:line="360" w:lineRule="auto"/>
        <w:jc w:val="center"/>
        <w:rPr>
          <w:rFonts w:eastAsia="黑体"/>
          <w:szCs w:val="21"/>
        </w:rPr>
      </w:pPr>
      <w:r>
        <w:rPr>
          <w:rFonts w:hint="eastAsia" w:eastAsia="黑体"/>
          <w:szCs w:val="21"/>
          <w:lang w:val="en-US" w:eastAsia="zh-CN"/>
        </w:rPr>
        <w:t>采购</w:t>
      </w:r>
      <w:r>
        <w:rPr>
          <w:rFonts w:eastAsia="黑体"/>
          <w:szCs w:val="21"/>
        </w:rPr>
        <w:t>清单</w:t>
      </w:r>
    </w:p>
    <w:tbl>
      <w:tblPr>
        <w:tblStyle w:val="23"/>
        <w:tblW w:w="907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76"/>
        <w:gridCol w:w="1633"/>
        <w:gridCol w:w="2022"/>
        <w:gridCol w:w="732"/>
        <w:gridCol w:w="720"/>
        <w:gridCol w:w="2794"/>
      </w:tblGrid>
      <w:tr w14:paraId="57E190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1176" w:type="dxa"/>
          </w:tcPr>
          <w:p w14:paraId="7A23058F">
            <w:pPr>
              <w:widowControl/>
              <w:spacing w:line="360" w:lineRule="auto"/>
              <w:jc w:val="center"/>
              <w:rPr>
                <w:b/>
                <w:bCs/>
                <w:kern w:val="0"/>
                <w:szCs w:val="21"/>
                <w:lang w:eastAsia="en-US"/>
              </w:rPr>
            </w:pPr>
            <w:r>
              <w:rPr>
                <w:b/>
                <w:bCs/>
                <w:kern w:val="0"/>
                <w:szCs w:val="21"/>
                <w:lang w:eastAsia="en-US"/>
              </w:rPr>
              <w:t>序号</w:t>
            </w:r>
          </w:p>
        </w:tc>
        <w:tc>
          <w:tcPr>
            <w:tcW w:w="1633" w:type="dxa"/>
          </w:tcPr>
          <w:p w14:paraId="2C992C6C">
            <w:pPr>
              <w:widowControl/>
              <w:spacing w:line="360" w:lineRule="auto"/>
              <w:jc w:val="center"/>
              <w:rPr>
                <w:b/>
                <w:bCs/>
                <w:kern w:val="0"/>
                <w:szCs w:val="21"/>
                <w:lang w:eastAsia="en-US"/>
              </w:rPr>
            </w:pPr>
            <w:r>
              <w:rPr>
                <w:b/>
                <w:bCs/>
                <w:kern w:val="0"/>
                <w:szCs w:val="21"/>
                <w:lang w:eastAsia="en-US"/>
              </w:rPr>
              <w:t>名称</w:t>
            </w:r>
          </w:p>
        </w:tc>
        <w:tc>
          <w:tcPr>
            <w:tcW w:w="2022" w:type="dxa"/>
          </w:tcPr>
          <w:p w14:paraId="0B49ED40">
            <w:pPr>
              <w:widowControl/>
              <w:spacing w:line="360" w:lineRule="auto"/>
              <w:jc w:val="center"/>
              <w:rPr>
                <w:b/>
                <w:bCs/>
                <w:kern w:val="0"/>
                <w:szCs w:val="21"/>
                <w:lang w:eastAsia="en-US"/>
              </w:rPr>
            </w:pPr>
            <w:r>
              <w:rPr>
                <w:b/>
                <w:bCs/>
                <w:kern w:val="0"/>
                <w:szCs w:val="21"/>
                <w:lang w:eastAsia="en-US"/>
              </w:rPr>
              <w:t>规格</w:t>
            </w:r>
          </w:p>
        </w:tc>
        <w:tc>
          <w:tcPr>
            <w:tcW w:w="732" w:type="dxa"/>
          </w:tcPr>
          <w:p w14:paraId="2E1F64B4">
            <w:pPr>
              <w:widowControl/>
              <w:spacing w:line="360" w:lineRule="auto"/>
              <w:jc w:val="center"/>
              <w:rPr>
                <w:b/>
                <w:bCs/>
                <w:kern w:val="0"/>
                <w:szCs w:val="21"/>
                <w:lang w:eastAsia="en-US"/>
              </w:rPr>
            </w:pPr>
            <w:r>
              <w:rPr>
                <w:b/>
                <w:bCs/>
                <w:kern w:val="0"/>
                <w:szCs w:val="21"/>
                <w:lang w:eastAsia="en-US"/>
              </w:rPr>
              <w:t>数量</w:t>
            </w:r>
          </w:p>
        </w:tc>
        <w:tc>
          <w:tcPr>
            <w:tcW w:w="720" w:type="dxa"/>
          </w:tcPr>
          <w:p w14:paraId="05670691">
            <w:pPr>
              <w:widowControl/>
              <w:spacing w:line="360" w:lineRule="auto"/>
              <w:jc w:val="center"/>
              <w:rPr>
                <w:b/>
                <w:bCs/>
                <w:kern w:val="0"/>
                <w:szCs w:val="21"/>
                <w:lang w:eastAsia="en-US"/>
              </w:rPr>
            </w:pPr>
            <w:r>
              <w:rPr>
                <w:b/>
                <w:bCs/>
                <w:kern w:val="0"/>
                <w:szCs w:val="21"/>
                <w:lang w:eastAsia="en-US"/>
              </w:rPr>
              <w:t>单位</w:t>
            </w:r>
          </w:p>
        </w:tc>
        <w:tc>
          <w:tcPr>
            <w:tcW w:w="2794" w:type="dxa"/>
          </w:tcPr>
          <w:p w14:paraId="5C738C7D">
            <w:pPr>
              <w:widowControl/>
              <w:spacing w:line="360" w:lineRule="auto"/>
              <w:jc w:val="center"/>
              <w:rPr>
                <w:b/>
                <w:bCs/>
                <w:kern w:val="0"/>
                <w:szCs w:val="21"/>
                <w:lang w:eastAsia="en-US"/>
              </w:rPr>
            </w:pPr>
            <w:r>
              <w:rPr>
                <w:b/>
                <w:bCs/>
                <w:kern w:val="0"/>
                <w:szCs w:val="21"/>
                <w:lang w:eastAsia="en-US"/>
              </w:rPr>
              <w:t>备注</w:t>
            </w:r>
          </w:p>
        </w:tc>
      </w:tr>
      <w:tr w14:paraId="2B7EAF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1176" w:type="dxa"/>
            <w:vAlign w:val="center"/>
          </w:tcPr>
          <w:p w14:paraId="037F7F5A">
            <w:pPr>
              <w:widowControl/>
              <w:spacing w:line="360" w:lineRule="auto"/>
              <w:jc w:val="center"/>
              <w:rPr>
                <w:kern w:val="0"/>
                <w:szCs w:val="21"/>
                <w:lang w:eastAsia="en-US"/>
              </w:rPr>
            </w:pPr>
            <w:r>
              <w:rPr>
                <w:rFonts w:hint="eastAsia"/>
                <w:kern w:val="0"/>
                <w:szCs w:val="21"/>
                <w:lang w:eastAsia="en-US"/>
              </w:rPr>
              <w:t>1</w:t>
            </w:r>
          </w:p>
        </w:tc>
        <w:tc>
          <w:tcPr>
            <w:tcW w:w="1633" w:type="dxa"/>
            <w:vAlign w:val="center"/>
          </w:tcPr>
          <w:p w14:paraId="4D4545FC">
            <w:pPr>
              <w:widowControl/>
              <w:spacing w:line="360" w:lineRule="auto"/>
              <w:jc w:val="center"/>
              <w:rPr>
                <w:kern w:val="0"/>
                <w:szCs w:val="21"/>
                <w:lang w:eastAsia="zh-CN"/>
              </w:rPr>
            </w:pPr>
            <w:r>
              <w:rPr>
                <w:rFonts w:hint="eastAsia"/>
                <w:kern w:val="0"/>
                <w:szCs w:val="21"/>
                <w:lang w:eastAsia="zh-CN"/>
              </w:rPr>
              <w:t>E文件上送程序</w:t>
            </w:r>
          </w:p>
        </w:tc>
        <w:tc>
          <w:tcPr>
            <w:tcW w:w="2022" w:type="dxa"/>
            <w:vAlign w:val="center"/>
          </w:tcPr>
          <w:p w14:paraId="3E961F1F">
            <w:pPr>
              <w:widowControl/>
              <w:spacing w:line="360" w:lineRule="auto"/>
              <w:jc w:val="center"/>
              <w:rPr>
                <w:rFonts w:hint="default"/>
                <w:kern w:val="0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Cs w:val="21"/>
                <w:lang w:eastAsia="zh-CN"/>
              </w:rPr>
              <w:t>E文件上送程序</w:t>
            </w:r>
            <w:r>
              <w:rPr>
                <w:rFonts w:hint="eastAsia"/>
                <w:kern w:val="0"/>
                <w:szCs w:val="21"/>
                <w:lang w:val="en-US" w:eastAsia="zh-CN"/>
              </w:rPr>
              <w:t>开发：</w:t>
            </w:r>
          </w:p>
          <w:p w14:paraId="3F3A166F">
            <w:pPr>
              <w:widowControl/>
              <w:spacing w:line="360" w:lineRule="auto"/>
              <w:jc w:val="center"/>
              <w:rPr>
                <w:kern w:val="0"/>
                <w:szCs w:val="21"/>
                <w:lang w:eastAsia="zh-CN"/>
              </w:rPr>
            </w:pPr>
            <w:r>
              <w:rPr>
                <w:rFonts w:hint="eastAsia"/>
                <w:kern w:val="0"/>
                <w:szCs w:val="21"/>
                <w:lang w:eastAsia="zh-CN"/>
              </w:rPr>
              <w:t>支持采集、整合站点运行数据（包含储能EMS、协调控制系统、AGC/AVC、计划曲线等），并通过102扩展规约上送至调度主站，运行数据需满足调度规定的E文件格式</w:t>
            </w:r>
          </w:p>
        </w:tc>
        <w:tc>
          <w:tcPr>
            <w:tcW w:w="732" w:type="dxa"/>
            <w:vAlign w:val="center"/>
          </w:tcPr>
          <w:p w14:paraId="491589AA">
            <w:pPr>
              <w:widowControl/>
              <w:spacing w:line="360" w:lineRule="auto"/>
              <w:jc w:val="center"/>
              <w:rPr>
                <w:kern w:val="0"/>
                <w:szCs w:val="21"/>
                <w:lang w:eastAsia="zh-CN"/>
              </w:rPr>
            </w:pPr>
            <w:r>
              <w:rPr>
                <w:rFonts w:hint="eastAsia"/>
                <w:kern w:val="0"/>
                <w:szCs w:val="21"/>
                <w:lang w:eastAsia="zh-CN"/>
              </w:rPr>
              <w:t>1</w:t>
            </w:r>
          </w:p>
        </w:tc>
        <w:tc>
          <w:tcPr>
            <w:tcW w:w="720" w:type="dxa"/>
            <w:vAlign w:val="center"/>
          </w:tcPr>
          <w:p w14:paraId="5A4F17D9">
            <w:pPr>
              <w:widowControl/>
              <w:spacing w:line="360" w:lineRule="auto"/>
              <w:jc w:val="center"/>
              <w:rPr>
                <w:kern w:val="0"/>
                <w:szCs w:val="21"/>
                <w:lang w:eastAsia="en-US"/>
              </w:rPr>
            </w:pPr>
            <w:r>
              <w:rPr>
                <w:rFonts w:hint="eastAsia"/>
                <w:kern w:val="0"/>
                <w:szCs w:val="21"/>
                <w:lang w:eastAsia="zh-CN"/>
              </w:rPr>
              <w:t>项</w:t>
            </w:r>
          </w:p>
        </w:tc>
        <w:tc>
          <w:tcPr>
            <w:tcW w:w="2794" w:type="dxa"/>
            <w:vAlign w:val="center"/>
          </w:tcPr>
          <w:p w14:paraId="2752B88D">
            <w:pPr>
              <w:widowControl/>
              <w:spacing w:line="360" w:lineRule="auto"/>
              <w:jc w:val="center"/>
              <w:rPr>
                <w:kern w:val="0"/>
                <w:szCs w:val="21"/>
                <w:lang w:eastAsia="zh-CN"/>
              </w:rPr>
            </w:pPr>
          </w:p>
        </w:tc>
      </w:tr>
      <w:tr w14:paraId="24D00D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1176" w:type="dxa"/>
            <w:vAlign w:val="center"/>
          </w:tcPr>
          <w:p w14:paraId="3E534959">
            <w:pPr>
              <w:widowControl/>
              <w:spacing w:line="360" w:lineRule="auto"/>
              <w:jc w:val="center"/>
              <w:rPr>
                <w:rFonts w:hint="eastAsia"/>
                <w:kern w:val="0"/>
                <w:szCs w:val="21"/>
                <w:lang w:eastAsia="zh-CN"/>
              </w:rPr>
            </w:pPr>
            <w:r>
              <w:rPr>
                <w:rFonts w:hint="eastAsia"/>
                <w:kern w:val="0"/>
                <w:szCs w:val="21"/>
                <w:lang w:eastAsia="zh-CN"/>
              </w:rPr>
              <w:t>2</w:t>
            </w:r>
          </w:p>
        </w:tc>
        <w:tc>
          <w:tcPr>
            <w:tcW w:w="1633" w:type="dxa"/>
            <w:vAlign w:val="center"/>
          </w:tcPr>
          <w:p w14:paraId="1C31AA02">
            <w:pPr>
              <w:widowControl/>
              <w:spacing w:line="360" w:lineRule="auto"/>
              <w:jc w:val="center"/>
              <w:rPr>
                <w:rFonts w:hint="eastAsia"/>
                <w:kern w:val="0"/>
                <w:szCs w:val="21"/>
                <w:lang w:eastAsia="en-US"/>
              </w:rPr>
            </w:pPr>
            <w:r>
              <w:rPr>
                <w:rFonts w:hint="eastAsia"/>
                <w:kern w:val="0"/>
                <w:szCs w:val="21"/>
                <w:lang w:eastAsia="zh-CN"/>
              </w:rPr>
              <w:t>现场程序升级、服务调试</w:t>
            </w:r>
          </w:p>
        </w:tc>
        <w:tc>
          <w:tcPr>
            <w:tcW w:w="2022" w:type="dxa"/>
            <w:vAlign w:val="center"/>
          </w:tcPr>
          <w:p w14:paraId="3853DDED">
            <w:pPr>
              <w:widowControl/>
              <w:spacing w:line="360" w:lineRule="auto"/>
              <w:jc w:val="center"/>
              <w:rPr>
                <w:rFonts w:hint="eastAsia"/>
                <w:kern w:val="0"/>
                <w:szCs w:val="21"/>
                <w:lang w:eastAsia="en-US"/>
              </w:rPr>
            </w:pPr>
          </w:p>
        </w:tc>
        <w:tc>
          <w:tcPr>
            <w:tcW w:w="732" w:type="dxa"/>
            <w:vAlign w:val="center"/>
          </w:tcPr>
          <w:p w14:paraId="0475A6B7">
            <w:pPr>
              <w:widowControl/>
              <w:spacing w:line="360" w:lineRule="auto"/>
              <w:jc w:val="center"/>
              <w:rPr>
                <w:rFonts w:hint="eastAsia"/>
                <w:kern w:val="0"/>
                <w:szCs w:val="21"/>
                <w:lang w:eastAsia="en-US"/>
              </w:rPr>
            </w:pPr>
            <w:r>
              <w:rPr>
                <w:rFonts w:hint="eastAsia"/>
                <w:kern w:val="0"/>
                <w:szCs w:val="21"/>
                <w:lang w:eastAsia="zh-CN"/>
              </w:rPr>
              <w:t>1</w:t>
            </w:r>
          </w:p>
        </w:tc>
        <w:tc>
          <w:tcPr>
            <w:tcW w:w="720" w:type="dxa"/>
            <w:vAlign w:val="center"/>
          </w:tcPr>
          <w:p w14:paraId="30897740">
            <w:pPr>
              <w:widowControl/>
              <w:spacing w:line="360" w:lineRule="auto"/>
              <w:jc w:val="center"/>
              <w:rPr>
                <w:rFonts w:hint="eastAsia"/>
                <w:kern w:val="0"/>
                <w:szCs w:val="21"/>
                <w:lang w:eastAsia="en-US"/>
              </w:rPr>
            </w:pPr>
            <w:r>
              <w:rPr>
                <w:rFonts w:hint="eastAsia"/>
                <w:kern w:val="0"/>
                <w:szCs w:val="21"/>
                <w:lang w:eastAsia="zh-CN"/>
              </w:rPr>
              <w:t>项</w:t>
            </w:r>
          </w:p>
        </w:tc>
        <w:tc>
          <w:tcPr>
            <w:tcW w:w="2794" w:type="dxa"/>
            <w:vAlign w:val="center"/>
          </w:tcPr>
          <w:p w14:paraId="24B091A4">
            <w:pPr>
              <w:widowControl/>
              <w:spacing w:line="360" w:lineRule="auto"/>
              <w:jc w:val="center"/>
              <w:rPr>
                <w:kern w:val="0"/>
                <w:szCs w:val="21"/>
                <w:lang w:eastAsia="en-US"/>
              </w:rPr>
            </w:pPr>
            <w:r>
              <w:rPr>
                <w:rFonts w:hint="eastAsia"/>
                <w:kern w:val="0"/>
                <w:szCs w:val="21"/>
                <w:lang w:eastAsia="zh-CN"/>
              </w:rPr>
              <w:t>含主站端调试</w:t>
            </w:r>
          </w:p>
        </w:tc>
      </w:tr>
    </w:tbl>
    <w:p w14:paraId="77187B8A">
      <w:pPr>
        <w:spacing w:line="360" w:lineRule="auto"/>
        <w:jc w:val="center"/>
        <w:rPr>
          <w:rFonts w:eastAsia="黑体"/>
          <w:szCs w:val="21"/>
        </w:rPr>
      </w:pPr>
    </w:p>
    <w:sectPr>
      <w:headerReference r:id="rId3" w:type="default"/>
      <w:pgSz w:w="11906" w:h="16838"/>
      <w:pgMar w:top="567" w:right="850" w:bottom="1361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FDCC1E">
    <w:pPr>
      <w:pStyle w:val="9"/>
      <w:jc w:val="both"/>
    </w:pPr>
  </w:p>
  <w:p w14:paraId="118C6634">
    <w:pPr>
      <w:pStyle w:val="9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030528"/>
    <w:multiLevelType w:val="singleLevel"/>
    <w:tmpl w:val="D603052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385B29"/>
    <w:multiLevelType w:val="multilevel"/>
    <w:tmpl w:val="F4385B29"/>
    <w:lvl w:ilvl="0" w:tentative="0">
      <w:start w:val="1"/>
      <w:numFmt w:val="lowerLetter"/>
      <w:suff w:val="space"/>
      <w:lvlText w:val="%1) "/>
      <w:lvlJc w:val="left"/>
      <w:pPr>
        <w:ind w:left="0" w:firstLine="482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 w:tentative="0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 w:tentative="0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2">
    <w:nsid w:val="1EC77BB0"/>
    <w:multiLevelType w:val="multilevel"/>
    <w:tmpl w:val="1EC77BB0"/>
    <w:lvl w:ilvl="0" w:tentative="0">
      <w:start w:val="1"/>
      <w:numFmt w:val="lowerLetter"/>
      <w:suff w:val="space"/>
      <w:lvlText w:val="%1) "/>
      <w:lvlJc w:val="left"/>
      <w:pPr>
        <w:ind w:left="0" w:firstLine="482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 w:tentative="0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 w:tentative="0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3">
    <w:nsid w:val="3909F8AB"/>
    <w:multiLevelType w:val="singleLevel"/>
    <w:tmpl w:val="3909F8AB"/>
    <w:lvl w:ilvl="0" w:tentative="0">
      <w:start w:val="1"/>
      <w:numFmt w:val="decimal"/>
      <w:suff w:val="nothing"/>
      <w:lvlText w:val="%1）"/>
      <w:lvlJc w:val="left"/>
    </w:lvl>
  </w:abstractNum>
  <w:abstractNum w:abstractNumId="4">
    <w:nsid w:val="5AAE6D50"/>
    <w:multiLevelType w:val="multilevel"/>
    <w:tmpl w:val="5AAE6D50"/>
    <w:lvl w:ilvl="0" w:tentative="0">
      <w:start w:val="1"/>
      <w:numFmt w:val="decimal"/>
      <w:lvlText w:val="%1."/>
      <w:lvlJc w:val="left"/>
      <w:pPr>
        <w:tabs>
          <w:tab w:val="left" w:pos="0"/>
        </w:tabs>
        <w:ind w:left="432" w:hanging="432"/>
      </w:pPr>
      <w:rPr>
        <w:b/>
      </w:rPr>
    </w:lvl>
    <w:lvl w:ilvl="1" w:tentative="0">
      <w:start w:val="4"/>
      <w:numFmt w:val="decimal"/>
      <w:isLgl/>
      <w:lvlText w:val="%1.%2"/>
      <w:lvlJc w:val="left"/>
      <w:pPr>
        <w:tabs>
          <w:tab w:val="left" w:pos="0"/>
        </w:tabs>
        <w:ind w:left="465" w:hanging="465"/>
      </w:pPr>
      <w:rPr>
        <w:rFonts w:cs="Times New Roman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0"/>
        </w:tabs>
        <w:ind w:left="720" w:hanging="720"/>
      </w:pPr>
      <w:rPr>
        <w:rFonts w:cs="Times New Roman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0"/>
        </w:tabs>
        <w:ind w:left="1080" w:hanging="1080"/>
      </w:pPr>
      <w:rPr>
        <w:rFonts w:cs="Times New Roman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1080" w:hanging="1080"/>
      </w:pPr>
      <w:rPr>
        <w:rFonts w:cs="Times New Roman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0"/>
        </w:tabs>
        <w:ind w:left="1440" w:hanging="1440"/>
      </w:pPr>
      <w:rPr>
        <w:rFonts w:cs="Times New Roman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0"/>
        </w:tabs>
        <w:ind w:left="1800" w:hanging="1800"/>
      </w:pPr>
      <w:rPr>
        <w:rFonts w:cs="Times New Roman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0"/>
        </w:tabs>
        <w:ind w:left="1800" w:hanging="1800"/>
      </w:pPr>
      <w:rPr>
        <w:rFonts w:cs="Times New Roman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0"/>
        </w:tabs>
        <w:ind w:left="2160" w:hanging="2160"/>
      </w:pPr>
      <w:rPr>
        <w:rFonts w:cs="Times New Roman"/>
      </w:rPr>
    </w:lvl>
  </w:abstractNum>
  <w:abstractNum w:abstractNumId="5">
    <w:nsid w:val="7236558E"/>
    <w:multiLevelType w:val="singleLevel"/>
    <w:tmpl w:val="7236558E"/>
    <w:lvl w:ilvl="0" w:tentative="0">
      <w:start w:val="1"/>
      <w:numFmt w:val="bullet"/>
      <w:pStyle w:val="19"/>
      <w:suff w:val="nothing"/>
      <w:lvlText w:val=""/>
      <w:lvlJc w:val="left"/>
      <w:pPr>
        <w:ind w:left="0" w:firstLine="420"/>
      </w:pPr>
      <w:rPr>
        <w:rFonts w:hint="default" w:ascii="Wingdings" w:hAnsi="Wingdings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hhYjA5YjI3ZGJiNTM3MGYzMDJhZTdkOGU4MmVkOWMifQ=="/>
  </w:docVars>
  <w:rsids>
    <w:rsidRoot w:val="0EAF6BB8"/>
    <w:rsid w:val="00016FB3"/>
    <w:rsid w:val="0009069C"/>
    <w:rsid w:val="000A31F8"/>
    <w:rsid w:val="0017044D"/>
    <w:rsid w:val="00186E91"/>
    <w:rsid w:val="002063C3"/>
    <w:rsid w:val="00607772"/>
    <w:rsid w:val="00740BBB"/>
    <w:rsid w:val="007C0415"/>
    <w:rsid w:val="00834367"/>
    <w:rsid w:val="00AD2E2B"/>
    <w:rsid w:val="00B04C72"/>
    <w:rsid w:val="00C05D61"/>
    <w:rsid w:val="00C70FB1"/>
    <w:rsid w:val="00CF67DF"/>
    <w:rsid w:val="00DC7695"/>
    <w:rsid w:val="00DD2F75"/>
    <w:rsid w:val="00E05333"/>
    <w:rsid w:val="00E8057E"/>
    <w:rsid w:val="00EF1FBD"/>
    <w:rsid w:val="00F603AB"/>
    <w:rsid w:val="00FB20A1"/>
    <w:rsid w:val="018B66ED"/>
    <w:rsid w:val="03094F18"/>
    <w:rsid w:val="067B0CC9"/>
    <w:rsid w:val="071A3D73"/>
    <w:rsid w:val="08F72B7B"/>
    <w:rsid w:val="09707DC8"/>
    <w:rsid w:val="09B10704"/>
    <w:rsid w:val="09D70720"/>
    <w:rsid w:val="0BAC2D18"/>
    <w:rsid w:val="0C02015D"/>
    <w:rsid w:val="0CB31E4C"/>
    <w:rsid w:val="0D195D6C"/>
    <w:rsid w:val="0DFA142D"/>
    <w:rsid w:val="0E80608C"/>
    <w:rsid w:val="0EAF6BB8"/>
    <w:rsid w:val="0F9C6C09"/>
    <w:rsid w:val="0FB90883"/>
    <w:rsid w:val="10AE5DA3"/>
    <w:rsid w:val="12AB0053"/>
    <w:rsid w:val="13457B7B"/>
    <w:rsid w:val="141839AF"/>
    <w:rsid w:val="149A15B3"/>
    <w:rsid w:val="16682597"/>
    <w:rsid w:val="170B670F"/>
    <w:rsid w:val="179F554E"/>
    <w:rsid w:val="19875C94"/>
    <w:rsid w:val="1A1231B3"/>
    <w:rsid w:val="1C7A1EEB"/>
    <w:rsid w:val="1E426EBA"/>
    <w:rsid w:val="1EBD4792"/>
    <w:rsid w:val="1FAC5B5C"/>
    <w:rsid w:val="2136082C"/>
    <w:rsid w:val="214D4670"/>
    <w:rsid w:val="2159300E"/>
    <w:rsid w:val="21C4340B"/>
    <w:rsid w:val="23080DAD"/>
    <w:rsid w:val="231D6433"/>
    <w:rsid w:val="250F386E"/>
    <w:rsid w:val="25A52B36"/>
    <w:rsid w:val="28102647"/>
    <w:rsid w:val="2A706B3E"/>
    <w:rsid w:val="2A7462D2"/>
    <w:rsid w:val="2EEA15D4"/>
    <w:rsid w:val="301E7DFF"/>
    <w:rsid w:val="308A51D5"/>
    <w:rsid w:val="30F4010B"/>
    <w:rsid w:val="32163A14"/>
    <w:rsid w:val="33D828DD"/>
    <w:rsid w:val="376831C7"/>
    <w:rsid w:val="37CD55EE"/>
    <w:rsid w:val="38671938"/>
    <w:rsid w:val="39A93BBC"/>
    <w:rsid w:val="3A1C7CA6"/>
    <w:rsid w:val="3B575D70"/>
    <w:rsid w:val="3C6A2883"/>
    <w:rsid w:val="3C9F0FAF"/>
    <w:rsid w:val="3DA85952"/>
    <w:rsid w:val="3F23780C"/>
    <w:rsid w:val="3F293DF9"/>
    <w:rsid w:val="3F922304"/>
    <w:rsid w:val="40EF43B4"/>
    <w:rsid w:val="41A41AB6"/>
    <w:rsid w:val="41C0180F"/>
    <w:rsid w:val="42D51E97"/>
    <w:rsid w:val="42DF035B"/>
    <w:rsid w:val="42E303BC"/>
    <w:rsid w:val="42EF4624"/>
    <w:rsid w:val="456C2FB7"/>
    <w:rsid w:val="48A203D1"/>
    <w:rsid w:val="495706D9"/>
    <w:rsid w:val="4AED7735"/>
    <w:rsid w:val="4B7E2354"/>
    <w:rsid w:val="4D14536E"/>
    <w:rsid w:val="4D591BEA"/>
    <w:rsid w:val="4D6D7331"/>
    <w:rsid w:val="4EAD7AD0"/>
    <w:rsid w:val="4F5F273F"/>
    <w:rsid w:val="4F996785"/>
    <w:rsid w:val="51D414AC"/>
    <w:rsid w:val="52155B0D"/>
    <w:rsid w:val="540D34EB"/>
    <w:rsid w:val="549B72DF"/>
    <w:rsid w:val="582F1556"/>
    <w:rsid w:val="58914532"/>
    <w:rsid w:val="5A371FCC"/>
    <w:rsid w:val="5A803081"/>
    <w:rsid w:val="5ABC3D7F"/>
    <w:rsid w:val="5B9A2738"/>
    <w:rsid w:val="5C0D7E00"/>
    <w:rsid w:val="5FDD57B0"/>
    <w:rsid w:val="60DA2DAA"/>
    <w:rsid w:val="60E07891"/>
    <w:rsid w:val="618853D7"/>
    <w:rsid w:val="61F71146"/>
    <w:rsid w:val="63A90B63"/>
    <w:rsid w:val="64E2785C"/>
    <w:rsid w:val="65262602"/>
    <w:rsid w:val="65442FA6"/>
    <w:rsid w:val="66976C44"/>
    <w:rsid w:val="6A884CED"/>
    <w:rsid w:val="6B4B7CF2"/>
    <w:rsid w:val="6C6B6BA9"/>
    <w:rsid w:val="6EBA37E8"/>
    <w:rsid w:val="702C4D39"/>
    <w:rsid w:val="70837771"/>
    <w:rsid w:val="70B34A1A"/>
    <w:rsid w:val="72131109"/>
    <w:rsid w:val="72C51AF4"/>
    <w:rsid w:val="73D74B8F"/>
    <w:rsid w:val="74081E69"/>
    <w:rsid w:val="745A5343"/>
    <w:rsid w:val="7519454F"/>
    <w:rsid w:val="75545DE2"/>
    <w:rsid w:val="75B94E29"/>
    <w:rsid w:val="7775281E"/>
    <w:rsid w:val="7A234D34"/>
    <w:rsid w:val="7ABD25E5"/>
    <w:rsid w:val="7B343243"/>
    <w:rsid w:val="7B542FC9"/>
    <w:rsid w:val="7C2925F7"/>
    <w:rsid w:val="7C557503"/>
    <w:rsid w:val="7DFB7526"/>
    <w:rsid w:val="7E417769"/>
    <w:rsid w:val="7EDB3915"/>
    <w:rsid w:val="7F0569E9"/>
    <w:rsid w:val="7F567F7A"/>
    <w:rsid w:val="B9F731A1"/>
    <w:rsid w:val="F5F39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outlineLvl w:val="0"/>
    </w:pPr>
    <w:rPr>
      <w:rFonts w:ascii="仿宋_GB2312" w:hAnsi="宋体" w:eastAsia="仿宋_GB2312"/>
      <w:b/>
      <w:bCs/>
      <w:sz w:val="2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tLeast"/>
      <w:outlineLvl w:val="1"/>
    </w:pPr>
    <w:rPr>
      <w:b/>
      <w:kern w:val="44"/>
      <w:sz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caption"/>
    <w:basedOn w:val="1"/>
    <w:next w:val="1"/>
    <w:qFormat/>
    <w:uiPriority w:val="0"/>
    <w:rPr>
      <w:rFonts w:ascii="宋体" w:hAnsi="Arial" w:cs="Arial"/>
      <w:sz w:val="28"/>
      <w:szCs w:val="20"/>
    </w:rPr>
  </w:style>
  <w:style w:type="paragraph" w:styleId="6">
    <w:name w:val="Body Text"/>
    <w:basedOn w:val="1"/>
    <w:qFormat/>
    <w:uiPriority w:val="0"/>
    <w:pPr>
      <w:spacing w:after="120"/>
    </w:pPr>
  </w:style>
  <w:style w:type="paragraph" w:styleId="7">
    <w:name w:val="Body Text Indent"/>
    <w:basedOn w:val="1"/>
    <w:qFormat/>
    <w:uiPriority w:val="0"/>
    <w:pPr>
      <w:spacing w:line="360" w:lineRule="auto"/>
      <w:ind w:firstLine="403"/>
    </w:pPr>
    <w:rPr>
      <w:rFonts w:hAnsi="宋体"/>
      <w:sz w:val="2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semiHidden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1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12">
    <w:name w:val="Body Text First Indent"/>
    <w:basedOn w:val="6"/>
    <w:qFormat/>
    <w:uiPriority w:val="0"/>
    <w:pPr>
      <w:ind w:firstLine="420" w:firstLineChars="100"/>
    </w:p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qFormat/>
    <w:uiPriority w:val="0"/>
    <w:rPr>
      <w:b/>
    </w:rPr>
  </w:style>
  <w:style w:type="paragraph" w:customStyle="1" w:styleId="17">
    <w:name w:val="列出段落2"/>
    <w:basedOn w:val="1"/>
    <w:qFormat/>
    <w:uiPriority w:val="34"/>
    <w:pPr>
      <w:spacing w:beforeLines="50" w:afterLines="50"/>
      <w:ind w:firstLine="420" w:firstLineChars="200"/>
    </w:pPr>
  </w:style>
  <w:style w:type="paragraph" w:customStyle="1" w:styleId="18">
    <w:name w:val="列出段落1"/>
    <w:basedOn w:val="1"/>
    <w:qFormat/>
    <w:uiPriority w:val="34"/>
    <w:pPr>
      <w:ind w:firstLine="420" w:firstLineChars="200"/>
    </w:pPr>
  </w:style>
  <w:style w:type="paragraph" w:customStyle="1" w:styleId="19">
    <w:name w:val="列表正文"/>
    <w:basedOn w:val="4"/>
    <w:qFormat/>
    <w:uiPriority w:val="0"/>
    <w:pPr>
      <w:numPr>
        <w:ilvl w:val="0"/>
        <w:numId w:val="1"/>
      </w:numPr>
      <w:tabs>
        <w:tab w:val="left" w:pos="2835"/>
      </w:tabs>
      <w:snapToGrid w:val="0"/>
      <w:spacing w:line="300" w:lineRule="auto"/>
      <w:ind w:firstLine="0" w:firstLineChars="0"/>
      <w:jc w:val="left"/>
    </w:pPr>
    <w:rPr>
      <w:sz w:val="28"/>
    </w:rPr>
  </w:style>
  <w:style w:type="paragraph" w:customStyle="1" w:styleId="20">
    <w:name w:val="正文1"/>
    <w:basedOn w:val="12"/>
    <w:qFormat/>
    <w:uiPriority w:val="0"/>
    <w:pPr>
      <w:snapToGrid w:val="0"/>
      <w:spacing w:after="0" w:line="360" w:lineRule="auto"/>
      <w:ind w:firstLine="561" w:firstLineChars="0"/>
    </w:pPr>
    <w:rPr>
      <w:sz w:val="28"/>
    </w:rPr>
  </w:style>
  <w:style w:type="paragraph" w:customStyle="1" w:styleId="21">
    <w:name w:val="标准"/>
    <w:basedOn w:val="1"/>
    <w:qFormat/>
    <w:uiPriority w:val="0"/>
    <w:pPr>
      <w:spacing w:line="360" w:lineRule="auto"/>
    </w:pPr>
    <w:rPr>
      <w:rFonts w:eastAsia="仿宋体"/>
      <w:sz w:val="28"/>
    </w:rPr>
  </w:style>
  <w:style w:type="paragraph" w:customStyle="1" w:styleId="22">
    <w:name w:val="样式 标题 2节标题 1.1h2l22nd levelTitre22Header 2b21.1标题2 + 左"/>
    <w:basedOn w:val="3"/>
    <w:qFormat/>
    <w:uiPriority w:val="0"/>
    <w:pPr>
      <w:keepNext w:val="0"/>
      <w:keepLines w:val="0"/>
      <w:spacing w:before="0" w:after="0" w:line="0" w:lineRule="atLeast"/>
      <w:jc w:val="left"/>
    </w:pPr>
    <w:rPr>
      <w:rFonts w:ascii="方正小标宋简体" w:hAnsi="宋体" w:cs="宋体"/>
      <w:bCs/>
      <w:color w:val="000000"/>
      <w:kern w:val="2"/>
      <w:sz w:val="28"/>
    </w:rPr>
  </w:style>
  <w:style w:type="table" w:customStyle="1" w:styleId="23">
    <w:name w:val="Table Normal"/>
    <w:semiHidden/>
    <w:unhideWhenUsed/>
    <w:qFormat/>
    <w:uiPriority w:val="2"/>
    <w:pPr>
      <w:widowControl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4">
    <w:name w:val="Table Text"/>
    <w:basedOn w:val="1"/>
    <w:semiHidden/>
    <w:qFormat/>
    <w:uiPriority w:val="0"/>
    <w:rPr>
      <w:rFonts w:ascii="宋体" w:hAnsi="宋体" w:cs="宋体"/>
      <w:sz w:val="31"/>
      <w:szCs w:val="31"/>
      <w:lang w:eastAsia="en-US"/>
    </w:rPr>
  </w:style>
  <w:style w:type="paragraph" w:styleId="2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384</Words>
  <Characters>2195</Characters>
  <Lines>18</Lines>
  <Paragraphs>5</Paragraphs>
  <TotalTime>0</TotalTime>
  <ScaleCrop>false</ScaleCrop>
  <LinksUpToDate>false</LinksUpToDate>
  <CharactersWithSpaces>2574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2026-05-07T08:10:00Z</dcterms:created>
  <dc:creator>WPS_1601796106</dc:creator>
  <cp:lastModifiedBy>邹兴德</cp:lastModifiedBy>
  <dcterms:modified xsi:type="dcterms:W3CDTF">2026-05-09T02:48:06Z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E145B68BDDA942A6BD368C84BD48B4D3_13</vt:lpwstr>
  </property>
  <property fmtid="{D5CDD505-2E9C-101B-9397-08002B2CF9AE}" pid="4" name="KSOTemplateDocerSaveRecord">
    <vt:lpwstr>eyJoZGlkIjoiNWYwNzMzN2JiZThhZTI0ZjYxNmY4ZDg3OTUwYWI5NzAiLCJ1c2VySWQiOiIzNjQxNTA3NjAifQ==</vt:lpwstr>
  </property>
</Properties>
</file>