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CC2CC">
      <w:pPr>
        <w:pStyle w:val="24"/>
        <w:ind w:left="480"/>
        <w:rPr>
          <w:rFonts w:hint="eastAsia"/>
          <w:color w:val="auto"/>
          <w:sz w:val="20"/>
          <w:szCs w:val="20"/>
        </w:rPr>
      </w:pPr>
      <w:bookmarkStart w:id="0" w:name="_Toc35965899"/>
      <w:bookmarkStart w:id="1" w:name="_Toc20132764"/>
      <w:bookmarkStart w:id="2" w:name="_Toc34142134"/>
      <w:bookmarkStart w:id="3" w:name="_Toc1721920"/>
      <w:bookmarkStart w:id="4" w:name="_Toc1721951"/>
      <w:bookmarkStart w:id="5" w:name="_Toc34142109"/>
      <w:r>
        <w:rPr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-1257300</wp:posOffset>
            </wp:positionH>
            <wp:positionV relativeFrom="paragraph">
              <wp:posOffset>-990600</wp:posOffset>
            </wp:positionV>
            <wp:extent cx="7581265" cy="2439670"/>
            <wp:effectExtent l="0" t="0" r="635" b="11430"/>
            <wp:wrapTight wrapText="bothSides">
              <wp:wrapPolygon>
                <wp:start x="0" y="0"/>
                <wp:lineTo x="0" y="21476"/>
                <wp:lineTo x="21566" y="21476"/>
                <wp:lineTo x="21566" y="0"/>
                <wp:lineTo x="0" y="0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81265" cy="243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bookmarkEnd w:id="1"/>
      <w:bookmarkEnd w:id="2"/>
      <w:bookmarkEnd w:id="3"/>
      <w:bookmarkEnd w:id="4"/>
      <w:bookmarkEnd w:id="5"/>
    </w:p>
    <w:p w14:paraId="407F3C17">
      <w:pPr>
        <w:spacing w:before="163" w:beforeLines="50" w:after="163" w:afterLines="50"/>
        <w:ind w:firstLine="0" w:firstLineChars="0"/>
        <w:jc w:val="center"/>
        <w:rPr>
          <w:rFonts w:hint="default" w:ascii="宋体" w:hAnsi="宋体"/>
          <w:b/>
          <w:color w:val="auto"/>
          <w:spacing w:val="30"/>
          <w:sz w:val="48"/>
          <w:szCs w:val="48"/>
          <w:lang w:val="en-US"/>
        </w:rPr>
      </w:pPr>
      <w:r>
        <w:rPr>
          <w:rFonts w:hint="eastAsia" w:hAnsi="宋体"/>
          <w:b/>
          <w:color w:val="auto"/>
          <w:spacing w:val="30"/>
          <w:sz w:val="48"/>
          <w:szCs w:val="48"/>
          <w:lang w:val="en-US" w:eastAsia="zh-CN"/>
        </w:rPr>
        <w:t>一种适用于招聘测试多功能辅助考务箱研制职工创新项目</w:t>
      </w:r>
      <w:bookmarkStart w:id="35" w:name="_GoBack"/>
      <w:bookmarkEnd w:id="35"/>
    </w:p>
    <w:p w14:paraId="446B17F6">
      <w:pPr>
        <w:spacing w:before="163" w:beforeLines="50" w:after="163" w:afterLines="50"/>
        <w:ind w:firstLine="0" w:firstLineChars="0"/>
        <w:jc w:val="center"/>
        <w:rPr>
          <w:rFonts w:hint="eastAsia" w:ascii="宋体" w:hAnsi="宋体"/>
          <w:b/>
          <w:color w:val="auto"/>
          <w:spacing w:val="30"/>
          <w:sz w:val="48"/>
          <w:szCs w:val="48"/>
        </w:rPr>
      </w:pPr>
      <w:r>
        <w:rPr>
          <w:rFonts w:hint="eastAsia" w:ascii="宋体" w:hAnsi="宋体"/>
          <w:b/>
          <w:color w:val="auto"/>
          <w:spacing w:val="30"/>
          <w:sz w:val="48"/>
          <w:szCs w:val="48"/>
        </w:rPr>
        <w:t>技术</w:t>
      </w:r>
      <w:r>
        <w:rPr>
          <w:rFonts w:hint="eastAsia" w:ascii="宋体" w:hAnsi="宋体"/>
          <w:b/>
          <w:color w:val="auto"/>
          <w:spacing w:val="30"/>
          <w:sz w:val="48"/>
          <w:szCs w:val="48"/>
          <w:lang w:val="en-US" w:eastAsia="zh-CN"/>
        </w:rPr>
        <w:t>规范</w:t>
      </w:r>
      <w:r>
        <w:rPr>
          <w:rFonts w:hint="eastAsia" w:ascii="宋体" w:hAnsi="宋体"/>
          <w:b/>
          <w:color w:val="auto"/>
          <w:spacing w:val="30"/>
          <w:sz w:val="48"/>
          <w:szCs w:val="48"/>
        </w:rPr>
        <w:t>书</w:t>
      </w:r>
    </w:p>
    <w:p w14:paraId="1990080C">
      <w:pPr>
        <w:spacing w:before="163" w:beforeLines="50" w:after="163" w:afterLines="50"/>
        <w:ind w:firstLine="1084"/>
        <w:jc w:val="center"/>
        <w:rPr>
          <w:rFonts w:hint="eastAsia" w:ascii="宋体" w:hAnsi="宋体"/>
          <w:b/>
          <w:color w:val="auto"/>
          <w:spacing w:val="30"/>
          <w:sz w:val="48"/>
          <w:szCs w:val="48"/>
        </w:rPr>
      </w:pPr>
    </w:p>
    <w:p w14:paraId="0C0A23D2">
      <w:pPr>
        <w:spacing w:before="163" w:beforeLines="50" w:after="163" w:afterLines="50"/>
        <w:ind w:firstLine="0" w:firstLineChars="0"/>
        <w:jc w:val="center"/>
        <w:rPr>
          <w:rFonts w:ascii="宋体" w:hAnsi="宋体"/>
          <w:b/>
          <w:color w:val="auto"/>
          <w:spacing w:val="30"/>
          <w:sz w:val="48"/>
          <w:szCs w:val="48"/>
        </w:rPr>
      </w:pPr>
    </w:p>
    <w:p w14:paraId="41786961">
      <w:pPr>
        <w:spacing w:before="163" w:beforeLines="50" w:after="163" w:afterLines="50"/>
        <w:ind w:firstLine="0" w:firstLineChars="0"/>
        <w:jc w:val="center"/>
        <w:rPr>
          <w:rFonts w:ascii="宋体" w:hAnsi="宋体"/>
          <w:color w:val="auto"/>
        </w:rPr>
      </w:pPr>
    </w:p>
    <w:p w14:paraId="0C8E635C">
      <w:pPr>
        <w:spacing w:before="163" w:beforeLines="50" w:after="163" w:afterLines="50"/>
        <w:ind w:firstLine="0" w:firstLineChars="0"/>
        <w:jc w:val="center"/>
        <w:rPr>
          <w:rFonts w:ascii="宋体" w:hAnsi="宋体"/>
          <w:color w:val="auto"/>
        </w:rPr>
      </w:pPr>
    </w:p>
    <w:p w14:paraId="21CD9D25">
      <w:pPr>
        <w:pStyle w:val="17"/>
        <w:tabs>
          <w:tab w:val="right" w:leader="dot" w:pos="8296"/>
        </w:tabs>
        <w:rPr>
          <w:color w:val="auto"/>
        </w:rPr>
      </w:pPr>
    </w:p>
    <w:p w14:paraId="3B1787DA">
      <w:pPr>
        <w:spacing w:before="163" w:beforeLines="50" w:after="163" w:afterLines="50"/>
        <w:ind w:firstLine="0" w:firstLineChars="0"/>
        <w:jc w:val="center"/>
        <w:rPr>
          <w:rFonts w:ascii="宋体" w:hAnsi="宋体"/>
          <w:color w:val="auto"/>
        </w:rPr>
      </w:pPr>
    </w:p>
    <w:p w14:paraId="2A497D1E">
      <w:pPr>
        <w:bidi w:val="0"/>
        <w:rPr>
          <w:color w:val="auto"/>
        </w:rPr>
      </w:pPr>
    </w:p>
    <w:p w14:paraId="7AB73522">
      <w:pPr>
        <w:jc w:val="center"/>
        <w:rPr>
          <w:rFonts w:hint="default" w:hAnsi="宋体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hAnsi="宋体"/>
          <w:b/>
          <w:bCs/>
          <w:color w:val="auto"/>
          <w:sz w:val="30"/>
          <w:szCs w:val="30"/>
          <w:lang w:val="en-US" w:eastAsia="zh-CN"/>
        </w:rPr>
        <w:t>南网共享公司</w:t>
      </w:r>
    </w:p>
    <w:p w14:paraId="78EFF46D">
      <w:pPr>
        <w:jc w:val="center"/>
        <w:rPr>
          <w:rFonts w:ascii="宋体" w:hAnsi="宋体" w:eastAsia="宋体"/>
          <w:bCs/>
          <w:color w:val="auto"/>
          <w:sz w:val="36"/>
          <w:szCs w:val="36"/>
        </w:rPr>
      </w:pPr>
      <w:r>
        <w:rPr>
          <w:rFonts w:hint="eastAsia" w:ascii="宋体" w:hAnsi="宋体"/>
          <w:b/>
          <w:bCs/>
          <w:color w:val="auto"/>
          <w:spacing w:val="20"/>
          <w:sz w:val="28"/>
        </w:rPr>
        <w:t>二○二</w:t>
      </w:r>
      <w:r>
        <w:rPr>
          <w:rFonts w:hint="eastAsia" w:hAnsi="宋体"/>
          <w:b/>
          <w:bCs/>
          <w:color w:val="auto"/>
          <w:spacing w:val="20"/>
          <w:sz w:val="28"/>
          <w:lang w:val="en-US" w:eastAsia="zh-CN"/>
        </w:rPr>
        <w:t>六</w:t>
      </w:r>
      <w:r>
        <w:rPr>
          <w:rFonts w:hint="eastAsia" w:ascii="宋体" w:hAnsi="宋体"/>
          <w:b/>
          <w:bCs/>
          <w:color w:val="auto"/>
          <w:spacing w:val="20"/>
          <w:sz w:val="28"/>
        </w:rPr>
        <w:t>年</w:t>
      </w:r>
      <w:r>
        <w:rPr>
          <w:rFonts w:hint="eastAsia" w:hAnsi="宋体"/>
          <w:b/>
          <w:bCs/>
          <w:color w:val="auto"/>
          <w:spacing w:val="20"/>
          <w:sz w:val="28"/>
          <w:lang w:val="en-US" w:eastAsia="zh-CN"/>
        </w:rPr>
        <w:t>五</w:t>
      </w:r>
      <w:r>
        <w:rPr>
          <w:rFonts w:hint="eastAsia" w:ascii="宋体" w:hAnsi="宋体"/>
          <w:b/>
          <w:bCs/>
          <w:color w:val="auto"/>
          <w:spacing w:val="20"/>
          <w:sz w:val="28"/>
        </w:rPr>
        <w:t>月</w:t>
      </w:r>
      <w:r>
        <w:rPr>
          <w:color w:val="auto"/>
        </w:rPr>
        <w:br w:type="page"/>
      </w:r>
      <w:r>
        <w:rPr>
          <w:rFonts w:hint="eastAsia" w:hAnsi="宋体"/>
          <w:bCs/>
          <w:color w:val="auto"/>
          <w:sz w:val="36"/>
          <w:szCs w:val="36"/>
        </w:rPr>
        <w:t>目 录</w:t>
      </w:r>
    </w:p>
    <w:p w14:paraId="4B293D4B">
      <w:pPr>
        <w:pStyle w:val="16"/>
        <w:tabs>
          <w:tab w:val="right" w:leader="dot" w:pos="8312"/>
        </w:tabs>
      </w:pPr>
      <w:r>
        <w:rPr>
          <w:b/>
          <w:bCs/>
          <w:color w:val="auto"/>
          <w:lang w:val="zh-CN"/>
        </w:rPr>
        <w:fldChar w:fldCharType="begin"/>
      </w:r>
      <w:r>
        <w:rPr>
          <w:b/>
          <w:bCs/>
          <w:color w:val="auto"/>
          <w:lang w:val="zh-CN"/>
        </w:rPr>
        <w:instrText xml:space="preserve"> TOC \o "1-3" \h \z \u </w:instrText>
      </w:r>
      <w:r>
        <w:rPr>
          <w:b/>
          <w:bCs/>
          <w:color w:val="auto"/>
          <w:lang w:val="zh-CN"/>
        </w:rPr>
        <w:fldChar w:fldCharType="separate"/>
      </w: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_Toc7000 </w:instrText>
      </w:r>
      <w:r>
        <w:rPr>
          <w:bCs/>
          <w:lang w:val="zh-CN"/>
        </w:rPr>
        <w:fldChar w:fldCharType="separate"/>
      </w:r>
      <w:r>
        <w:t xml:space="preserve">1 </w:t>
      </w:r>
      <w:r>
        <w:rPr>
          <w:rFonts w:hint="eastAsia"/>
        </w:rPr>
        <w:t>概述</w:t>
      </w:r>
      <w:r>
        <w:tab/>
      </w:r>
      <w:r>
        <w:fldChar w:fldCharType="begin"/>
      </w:r>
      <w:r>
        <w:instrText xml:space="preserve"> PAGEREF _Toc7000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762ED94">
      <w:pPr>
        <w:pStyle w:val="17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_Toc25915 </w:instrText>
      </w:r>
      <w:r>
        <w:rPr>
          <w:bCs/>
          <w:lang w:val="zh-CN"/>
        </w:rPr>
        <w:fldChar w:fldCharType="separate"/>
      </w:r>
      <w:r>
        <w:t xml:space="preserve">1.1 </w:t>
      </w:r>
      <w:r>
        <w:rPr>
          <w:rFonts w:hint="eastAsia"/>
        </w:rPr>
        <w:t>项目背景</w:t>
      </w:r>
      <w:r>
        <w:tab/>
      </w:r>
      <w:r>
        <w:fldChar w:fldCharType="begin"/>
      </w:r>
      <w:r>
        <w:instrText xml:space="preserve"> PAGEREF _Toc25915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F7C2853">
      <w:pPr>
        <w:pStyle w:val="17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_Toc22114 </w:instrText>
      </w:r>
      <w:r>
        <w:rPr>
          <w:bCs/>
          <w:lang w:val="zh-CN"/>
        </w:rPr>
        <w:fldChar w:fldCharType="separate"/>
      </w:r>
      <w:r>
        <w:t xml:space="preserve">1.2 </w:t>
      </w:r>
      <w:r>
        <w:rPr>
          <w:rFonts w:hint="eastAsia"/>
        </w:rPr>
        <w:t>项目目标</w:t>
      </w:r>
      <w:r>
        <w:tab/>
      </w:r>
      <w:r>
        <w:fldChar w:fldCharType="begin"/>
      </w:r>
      <w:r>
        <w:instrText xml:space="preserve"> PAGEREF _Toc22114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ADFEEF2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_Toc3433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2 工作内容</w:t>
      </w:r>
      <w:r>
        <w:tab/>
      </w:r>
      <w:r>
        <w:fldChar w:fldCharType="begin"/>
      </w:r>
      <w:r>
        <w:instrText xml:space="preserve"> PAGEREF _Toc3433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526C8242">
      <w:pPr>
        <w:pStyle w:val="17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_Toc9230 </w:instrText>
      </w:r>
      <w:r>
        <w:rPr>
          <w:bCs/>
          <w:lang w:val="zh-CN"/>
        </w:rPr>
        <w:fldChar w:fldCharType="separate"/>
      </w:r>
      <w:r>
        <w:rPr>
          <w:lang w:val="en-US"/>
        </w:rPr>
        <w:t xml:space="preserve">2.1 </w:t>
      </w:r>
      <w:r>
        <w:rPr>
          <w:rFonts w:hint="eastAsia"/>
          <w:lang w:val="en-US"/>
        </w:rPr>
        <w:t>建设内容</w:t>
      </w:r>
      <w:r>
        <w:tab/>
      </w:r>
      <w:r>
        <w:fldChar w:fldCharType="begin"/>
      </w:r>
      <w:r>
        <w:instrText xml:space="preserve"> PAGEREF _Toc9230 \h </w:instrText>
      </w:r>
      <w:r>
        <w:fldChar w:fldCharType="separate"/>
      </w:r>
      <w:r>
        <w:t>3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35BEC5B3">
      <w:pPr>
        <w:pStyle w:val="17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_Toc23395 </w:instrText>
      </w:r>
      <w:r>
        <w:rPr>
          <w:bCs/>
          <w:lang w:val="zh-CN"/>
        </w:rPr>
        <w:fldChar w:fldCharType="separate"/>
      </w:r>
      <w:r>
        <w:rPr>
          <w:lang w:val="en-US"/>
        </w:rPr>
        <w:t xml:space="preserve">2.2 </w:t>
      </w:r>
      <w:r>
        <w:rPr>
          <w:rFonts w:hint="eastAsia"/>
          <w:lang w:val="en-US" w:eastAsia="zh-CN"/>
        </w:rPr>
        <w:t>技术参数要求</w:t>
      </w:r>
      <w:r>
        <w:tab/>
      </w:r>
      <w:r>
        <w:fldChar w:fldCharType="begin"/>
      </w:r>
      <w:r>
        <w:instrText xml:space="preserve"> PAGEREF _Toc23395 \h </w:instrText>
      </w:r>
      <w:r>
        <w:fldChar w:fldCharType="separate"/>
      </w:r>
      <w:r>
        <w:t>4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E8E7C4C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_Toc30787 </w:instrText>
      </w:r>
      <w:r>
        <w:rPr>
          <w:bCs/>
          <w:lang w:val="zh-CN"/>
        </w:rPr>
        <w:fldChar w:fldCharType="separate"/>
      </w:r>
      <w:r>
        <w:t xml:space="preserve">3 </w:t>
      </w:r>
      <w:r>
        <w:rPr>
          <w:rFonts w:hint="eastAsia"/>
        </w:rPr>
        <w:t>进度保证</w:t>
      </w:r>
      <w:r>
        <w:tab/>
      </w:r>
      <w:r>
        <w:fldChar w:fldCharType="begin"/>
      </w:r>
      <w:r>
        <w:instrText xml:space="preserve"> PAGEREF _Toc30787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1F6150B3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_Toc31477 </w:instrText>
      </w:r>
      <w:r>
        <w:rPr>
          <w:bCs/>
          <w:lang w:val="zh-CN"/>
        </w:rPr>
        <w:fldChar w:fldCharType="separate"/>
      </w:r>
      <w:r>
        <w:t xml:space="preserve">4 </w:t>
      </w:r>
      <w:r>
        <w:rPr>
          <w:rFonts w:hint="eastAsia"/>
        </w:rPr>
        <w:t>质量保证</w:t>
      </w:r>
      <w:r>
        <w:tab/>
      </w:r>
      <w:r>
        <w:fldChar w:fldCharType="begin"/>
      </w:r>
      <w:r>
        <w:instrText xml:space="preserve"> PAGEREF _Toc31477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525B98D6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_Toc16669 </w:instrText>
      </w:r>
      <w:r>
        <w:rPr>
          <w:bCs/>
          <w:lang w:val="zh-CN"/>
        </w:rPr>
        <w:fldChar w:fldCharType="separate"/>
      </w:r>
      <w:r>
        <w:rPr>
          <w:w w:val="101"/>
        </w:rPr>
        <w:t xml:space="preserve">5 </w:t>
      </w:r>
      <w:r>
        <w:rPr>
          <w:rFonts w:hint="eastAsia"/>
          <w:w w:val="101"/>
          <w:lang w:val="en-US" w:eastAsia="zh-CN"/>
        </w:rPr>
        <w:t>货物交付</w:t>
      </w:r>
      <w:r>
        <w:tab/>
      </w:r>
      <w:r>
        <w:fldChar w:fldCharType="begin"/>
      </w:r>
      <w:r>
        <w:instrText xml:space="preserve"> PAGEREF _Toc16669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0494531">
      <w:pPr>
        <w:pStyle w:val="17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_Toc13660 </w:instrText>
      </w:r>
      <w:r>
        <w:rPr>
          <w:bCs/>
          <w:lang w:val="zh-CN"/>
        </w:rPr>
        <w:fldChar w:fldCharType="separate"/>
      </w:r>
      <w:r>
        <w:t>5.1 验收要求</w:t>
      </w:r>
      <w:r>
        <w:tab/>
      </w:r>
      <w:r>
        <w:fldChar w:fldCharType="begin"/>
      </w:r>
      <w:r>
        <w:instrText xml:space="preserve"> PAGEREF _Toc13660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0794B26D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_Toc12329 </w:instrText>
      </w:r>
      <w:r>
        <w:rPr>
          <w:bCs/>
          <w:lang w:val="zh-CN"/>
        </w:rPr>
        <w:fldChar w:fldCharType="separate"/>
      </w:r>
      <w:r>
        <w:t xml:space="preserve">6 </w:t>
      </w:r>
      <w:r>
        <w:rPr>
          <w:rFonts w:hint="eastAsia"/>
        </w:rPr>
        <w:t>售后服务要求</w:t>
      </w:r>
      <w:r>
        <w:tab/>
      </w:r>
      <w:r>
        <w:fldChar w:fldCharType="begin"/>
      </w:r>
      <w:r>
        <w:instrText xml:space="preserve"> PAGEREF _Toc12329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2C51A3A4">
      <w:pPr>
        <w:pStyle w:val="16"/>
        <w:tabs>
          <w:tab w:val="right" w:leader="dot" w:pos="8312"/>
        </w:tabs>
      </w:pPr>
      <w:r>
        <w:rPr>
          <w:bCs/>
          <w:color w:val="auto"/>
          <w:lang w:val="zh-CN"/>
        </w:rPr>
        <w:fldChar w:fldCharType="begin"/>
      </w:r>
      <w:r>
        <w:rPr>
          <w:bCs/>
          <w:lang w:val="zh-CN"/>
        </w:rPr>
        <w:instrText xml:space="preserve"> HYPERLINK \l _Toc30226 </w:instrText>
      </w:r>
      <w:r>
        <w:rPr>
          <w:bCs/>
          <w:lang w:val="zh-CN"/>
        </w:rPr>
        <w:fldChar w:fldCharType="separate"/>
      </w:r>
      <w:r>
        <w:rPr>
          <w:rFonts w:hint="eastAsia" w:ascii="宋体" w:hAnsi="宋体" w:eastAsia="宋体" w:cs="Times New Roman"/>
          <w:kern w:val="2"/>
          <w:szCs w:val="22"/>
          <w:lang w:val="en-US" w:eastAsia="zh-CN" w:bidi="ar-SA"/>
        </w:rPr>
        <w:t>交付物通过验收后，进入质保期，质保期一年。</w:t>
      </w:r>
      <w:r>
        <w:tab/>
      </w:r>
      <w:r>
        <w:fldChar w:fldCharType="begin"/>
      </w:r>
      <w:r>
        <w:instrText xml:space="preserve"> PAGEREF _Toc30226 \h </w:instrText>
      </w:r>
      <w:r>
        <w:fldChar w:fldCharType="separate"/>
      </w:r>
      <w:r>
        <w:t>5</w:t>
      </w:r>
      <w:r>
        <w:fldChar w:fldCharType="end"/>
      </w:r>
      <w:r>
        <w:rPr>
          <w:bCs/>
          <w:color w:val="auto"/>
          <w:lang w:val="zh-CN"/>
        </w:rPr>
        <w:fldChar w:fldCharType="end"/>
      </w:r>
    </w:p>
    <w:p w14:paraId="429CA971">
      <w:pPr>
        <w:rPr>
          <w:b/>
          <w:bCs/>
          <w:color w:val="auto"/>
          <w:sz w:val="21"/>
          <w:lang w:val="zh-CN"/>
        </w:rPr>
      </w:pPr>
      <w:r>
        <w:rPr>
          <w:bCs/>
          <w:color w:val="auto"/>
          <w:lang w:val="zh-CN"/>
        </w:rPr>
        <w:fldChar w:fldCharType="end"/>
      </w:r>
    </w:p>
    <w:p w14:paraId="593D378F">
      <w:pPr>
        <w:pStyle w:val="4"/>
        <w:keepNext/>
        <w:keepLines/>
        <w:pageBreakBefore/>
        <w:widowControl w:val="0"/>
        <w:tabs>
          <w:tab w:val="left" w:pos="432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431" w:hanging="431"/>
        <w:textAlignment w:val="auto"/>
        <w:rPr>
          <w:color w:val="auto"/>
        </w:rPr>
      </w:pPr>
      <w:bookmarkStart w:id="6" w:name="_Toc7000"/>
      <w:bookmarkStart w:id="7" w:name="_Toc157725975"/>
      <w:r>
        <w:rPr>
          <w:rFonts w:hint="eastAsia"/>
          <w:color w:val="auto"/>
        </w:rPr>
        <w:t>概述</w:t>
      </w:r>
      <w:bookmarkEnd w:id="6"/>
      <w:bookmarkEnd w:id="7"/>
    </w:p>
    <w:p w14:paraId="5B71D91C">
      <w:pPr>
        <w:pStyle w:val="5"/>
        <w:tabs>
          <w:tab w:val="left" w:pos="576"/>
        </w:tabs>
        <w:spacing w:before="156"/>
        <w:rPr>
          <w:color w:val="auto"/>
        </w:rPr>
      </w:pPr>
      <w:bookmarkStart w:id="8" w:name="_Toc25915"/>
      <w:bookmarkStart w:id="9" w:name="_Toc157725976"/>
      <w:r>
        <w:rPr>
          <w:rFonts w:hint="eastAsia"/>
          <w:color w:val="auto"/>
        </w:rPr>
        <w:t>项目背景</w:t>
      </w:r>
      <w:bookmarkEnd w:id="8"/>
      <w:bookmarkEnd w:id="9"/>
    </w:p>
    <w:p w14:paraId="1DD4EC21">
      <w:pPr>
        <w:spacing w:line="360" w:lineRule="auto"/>
        <w:ind w:firstLine="480" w:firstLineChars="200"/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在当前招聘测试的考务准备中，需频繁整理与携带各类考试资料、电子设备及辅助器材，传统行李箱因空间布局不合理、缺乏针对性分区，导致设备在运输中易因颠簸堆叠而磕碰损坏，同时经常出现物品遗漏、线材混乱、管理低效等问题，同时，需要对多台平板进行数据操作，容易出现疏漏情况，严重影响考前工作的规范性与可靠性。</w:t>
      </w:r>
    </w:p>
    <w:p w14:paraId="6C67136F">
      <w:pPr>
        <w:spacing w:line="360" w:lineRule="auto"/>
        <w:ind w:firstLine="480"/>
        <w:rPr>
          <w:color w:val="auto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经调查，当前市场上类似产品均需定制，且仅有抗震保护、充电等简易功能。为此，亟需研制一款专用于招聘测试场景的多功能辅助考务箱。该设备通过科学分区与模块化设计，实现对不同形态考务用品的定点定位收纳、自动化清点核对、统一设备管理，增强搬运过程中的防震与防护能力，有效避免设备损伤和物品遗失。同时，统一归置与集中管理也有助于提升物资清点与取用效率，确保考前准备齐全、有序，考后整理清晰、正确，为招聘测试工作的高效、专业开展提供有力支撑。</w:t>
      </w:r>
    </w:p>
    <w:p w14:paraId="67F2DF89">
      <w:pPr>
        <w:pStyle w:val="5"/>
        <w:tabs>
          <w:tab w:val="left" w:pos="576"/>
        </w:tabs>
        <w:spacing w:before="156"/>
        <w:rPr>
          <w:color w:val="auto"/>
        </w:rPr>
      </w:pPr>
      <w:bookmarkStart w:id="10" w:name="_Toc22114"/>
      <w:bookmarkStart w:id="11" w:name="_Toc157725978"/>
      <w:r>
        <w:rPr>
          <w:rFonts w:hint="eastAsia"/>
          <w:color w:val="auto"/>
        </w:rPr>
        <w:t>项目目标</w:t>
      </w:r>
      <w:bookmarkEnd w:id="10"/>
      <w:bookmarkEnd w:id="11"/>
    </w:p>
    <w:p w14:paraId="3BC032D7">
      <w:pPr>
        <w:spacing w:line="360" w:lineRule="auto"/>
        <w:ind w:firstLine="480" w:firstLineChars="200"/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本项目拟研制一款专用于招聘测试的多功能辅助考务箱，具备以下核心功能：</w:t>
      </w:r>
    </w:p>
    <w:p w14:paraId="47C35876">
      <w:pPr>
        <w:spacing w:line="360" w:lineRule="auto"/>
        <w:ind w:firstLine="480" w:firstLineChars="200"/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一是实现箱内考务办公用品的智能化管理，可一键生成本批次考务的电子清单（含资料设备归档提醒），支持自动清点、缺漏提醒，有效避免物品整理时遗失或缺失；</w:t>
      </w:r>
    </w:p>
    <w:p w14:paraId="78F028AC">
      <w:pPr>
        <w:spacing w:line="360" w:lineRule="auto"/>
        <w:ind w:firstLine="480" w:firstLineChars="200"/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二是实现电子设备多设备统一管理，实现设备数据的批量传输操作，无需手动归档各类资料；</w:t>
      </w:r>
    </w:p>
    <w:p w14:paraId="4685CE26">
      <w:pPr>
        <w:spacing w:line="360" w:lineRule="auto"/>
        <w:ind w:firstLine="480" w:firstLineChars="200"/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cs="仿宋"/>
          <w:color w:val="000000"/>
          <w:sz w:val="24"/>
          <w:highlight w:val="none"/>
          <w:lang w:val="en-US" w:eastAsia="zh-CN"/>
        </w:rPr>
        <w:t>三是强化箱体结构与内部分区设计，提供专业级防震抗压保护，显著降低因搬运颠簸导致的设备磕碰、损坏或变形风险。</w:t>
      </w:r>
    </w:p>
    <w:p w14:paraId="06A1C736">
      <w:pPr>
        <w:pStyle w:val="4"/>
        <w:bidi w:val="0"/>
        <w:rPr>
          <w:rFonts w:hint="eastAsia"/>
          <w:color w:val="auto"/>
          <w:lang w:val="en-US" w:eastAsia="zh-CN"/>
        </w:rPr>
      </w:pPr>
      <w:bookmarkStart w:id="12" w:name="_Toc3433"/>
      <w:r>
        <w:rPr>
          <w:rFonts w:hint="eastAsia"/>
          <w:color w:val="auto"/>
          <w:lang w:val="en-US" w:eastAsia="zh-CN"/>
        </w:rPr>
        <w:t>工作内容</w:t>
      </w:r>
      <w:bookmarkEnd w:id="12"/>
    </w:p>
    <w:p w14:paraId="7089FF7B">
      <w:pPr>
        <w:pStyle w:val="5"/>
        <w:tabs>
          <w:tab w:val="left" w:pos="720"/>
        </w:tabs>
        <w:rPr>
          <w:color w:val="auto"/>
          <w:lang w:val="en-US"/>
        </w:rPr>
      </w:pPr>
      <w:bookmarkStart w:id="13" w:name="_Toc157725990"/>
      <w:bookmarkStart w:id="14" w:name="_Toc9230"/>
      <w:r>
        <w:rPr>
          <w:rFonts w:hint="eastAsia"/>
          <w:color w:val="auto"/>
          <w:lang w:val="en-US"/>
        </w:rPr>
        <w:t>建设内容</w:t>
      </w:r>
      <w:bookmarkEnd w:id="13"/>
      <w:bookmarkEnd w:id="14"/>
    </w:p>
    <w:p w14:paraId="77CB9044">
      <w:pPr>
        <w:spacing w:line="360" w:lineRule="auto"/>
        <w:ind w:firstLine="480"/>
        <w:rPr>
          <w:rFonts w:asciiTheme="minorEastAsia" w:hAnsiTheme="minorEastAsia" w:eastAsiaTheme="minorEastAsia" w:cstheme="minorEastAsia"/>
          <w:color w:val="auto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t>项目预期产出3套多功能辅助考务箱实物并申请相关专利一份，并逐步推广应用于各类招聘考试及现场办公场景，为考务工作的标准化、高效化提供可靠装备支撑。</w:t>
      </w:r>
    </w:p>
    <w:p w14:paraId="693A8B59">
      <w:pPr>
        <w:pStyle w:val="5"/>
        <w:tabs>
          <w:tab w:val="left" w:pos="720"/>
        </w:tabs>
        <w:rPr>
          <w:color w:val="auto"/>
          <w:lang w:val="en-US"/>
        </w:rPr>
      </w:pPr>
      <w:bookmarkStart w:id="15" w:name="_Toc23395"/>
      <w:r>
        <w:rPr>
          <w:rFonts w:hint="eastAsia"/>
          <w:color w:val="auto"/>
          <w:lang w:val="en-US" w:eastAsia="zh-CN"/>
        </w:rPr>
        <w:t>技术参数要求</w:t>
      </w:r>
      <w:bookmarkEnd w:id="15"/>
    </w:p>
    <w:p w14:paraId="7F586A8B">
      <w:pPr>
        <w:keepNext w:val="0"/>
        <w:keepLines w:val="0"/>
        <w:pageBreakBefore w:val="0"/>
        <w:widowControl w:val="0"/>
        <w:shd w:val="clear" w:fill="FFFFFF" w:themeFill="background1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/>
        <w:textAlignment w:val="auto"/>
        <w:rPr>
          <w:rFonts w:hint="eastAsia" w:ascii="宋体" w:hAnsi="宋体" w:cs="宋体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hAnsi="宋体" w:cs="宋体"/>
          <w:color w:val="auto"/>
          <w:kern w:val="0"/>
          <w:sz w:val="24"/>
          <w:szCs w:val="24"/>
          <w:lang w:val="en-US" w:eastAsia="zh-CN" w:bidi="ar-SA"/>
        </w:rPr>
        <w:t>产品参数要求如下</w:t>
      </w:r>
      <w:r>
        <w:rPr>
          <w:rFonts w:hint="eastAsia" w:ascii="宋体" w:hAnsi="宋体" w:cs="宋体"/>
          <w:color w:val="auto"/>
          <w:kern w:val="0"/>
          <w:sz w:val="24"/>
          <w:szCs w:val="24"/>
          <w:lang w:val="en-US" w:eastAsia="zh-CN" w:bidi="ar-SA"/>
        </w:rPr>
        <w:t>：</w:t>
      </w:r>
    </w:p>
    <w:tbl>
      <w:tblPr>
        <w:tblStyle w:val="20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1400"/>
        <w:gridCol w:w="6342"/>
      </w:tblGrid>
      <w:tr w14:paraId="31F62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459" w:type="pct"/>
            <w:shd w:val="clear" w:color="auto" w:fill="D7D7D7" w:themeFill="background1" w:themeFillShade="D8"/>
            <w:vAlign w:val="center"/>
          </w:tcPr>
          <w:p w14:paraId="326C8470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821" w:type="pct"/>
            <w:shd w:val="clear" w:color="auto" w:fill="D7D7D7" w:themeFill="background1" w:themeFillShade="D8"/>
            <w:vAlign w:val="center"/>
          </w:tcPr>
          <w:p w14:paraId="11740CEB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参数类型</w:t>
            </w:r>
          </w:p>
        </w:tc>
        <w:tc>
          <w:tcPr>
            <w:tcW w:w="3719" w:type="pct"/>
            <w:shd w:val="clear" w:color="auto" w:fill="D7D7D7" w:themeFill="background1" w:themeFillShade="D8"/>
            <w:vAlign w:val="center"/>
          </w:tcPr>
          <w:p w14:paraId="6A29A12F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功能描述</w:t>
            </w:r>
          </w:p>
        </w:tc>
      </w:tr>
      <w:tr w14:paraId="21FD7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04E31277"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821" w:type="pct"/>
            <w:vAlign w:val="center"/>
          </w:tcPr>
          <w:p w14:paraId="717EEA03"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软件功能</w:t>
            </w:r>
          </w:p>
        </w:tc>
        <w:tc>
          <w:tcPr>
            <w:tcW w:w="3719" w:type="pct"/>
          </w:tcPr>
          <w:p w14:paraId="00C51705">
            <w:pP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多功能辅助考务箱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需具备电子终端，支持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包括但不限于以下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功能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：</w:t>
            </w:r>
          </w:p>
          <w:p w14:paraId="2B2950FC">
            <w:pP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1、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设备管理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：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终端显示箱内设备清单，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通过探测传感器自动识别物品是否在库，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可以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统计使用情况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导出形成使用清单，超时未归还提醒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；</w:t>
            </w:r>
          </w:p>
          <w:p w14:paraId="1F100043">
            <w:pP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2、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资料整理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：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可导入并支持查询考务电子资料清单以及对应的资料归纳要求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；</w:t>
            </w:r>
          </w:p>
          <w:p w14:paraId="0CC90D2A">
            <w:pP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3、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数据传输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：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电脑可通过电子终端连接多台平板设备，并实现电脑数据一键传输至所有平板，对平板数据进行批量删除，批量导入至电脑等操作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；</w:t>
            </w:r>
          </w:p>
        </w:tc>
      </w:tr>
      <w:tr w14:paraId="1B51A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409AAB54"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821" w:type="pct"/>
            <w:vAlign w:val="center"/>
          </w:tcPr>
          <w:p w14:paraId="4A6867A8"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硬件需求</w:t>
            </w:r>
          </w:p>
        </w:tc>
        <w:tc>
          <w:tcPr>
            <w:tcW w:w="3719" w:type="pct"/>
          </w:tcPr>
          <w:p w14:paraId="1344F6CF">
            <w:pP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bidi="ar"/>
              </w:rPr>
              <w:t>多功能辅助考务箱</w:t>
            </w: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需提供支撑软件功能的相关硬件，包括但不限于以下：</w:t>
            </w:r>
          </w:p>
          <w:p w14:paraId="2F994653">
            <w:pP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1、考务箱尺寸：不低于24英寸，可容纳电子终端相关元器件以及一套考务设备，考务设备包括：7台平板（参考型号为华为Matepad Pro）、1台笔记本电脑、1台WIFI及电源线（参考型号为Tp-Link AX3000）、1台身份证识别仪（参考型号为华视电子 CVR-100UC）、1个摄像头、1个麦克风、1个拓展坞、平板和笔记本电脑相关电源线；</w:t>
            </w:r>
          </w:p>
          <w:p w14:paraId="7B4C1A4B">
            <w:pPr>
              <w:numPr>
                <w:ilvl w:val="0"/>
                <w:numId w:val="2"/>
              </w:numP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电子设备缓冲防护：具备电子设备缓冲功能，能在正常的交通运输过程中保护内部设备和电子终端不受损；</w:t>
            </w:r>
          </w:p>
          <w:p w14:paraId="02F64052">
            <w:pPr>
              <w:numPr>
                <w:ilvl w:val="0"/>
                <w:numId w:val="2"/>
              </w:numP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电子终端：考务箱内置电子终端，支持软件功能的实施；</w:t>
            </w:r>
          </w:p>
          <w:p w14:paraId="17E2924A">
            <w:pPr>
              <w:numPr>
                <w:ilvl w:val="0"/>
                <w:numId w:val="2"/>
              </w:numPr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2"/>
                <w:szCs w:val="22"/>
                <w:lang w:val="en-US" w:eastAsia="zh-CN" w:bidi="ar"/>
              </w:rPr>
              <w:t>其他支持软件功能实现的相关硬件。</w:t>
            </w:r>
          </w:p>
        </w:tc>
      </w:tr>
      <w:tr w14:paraId="4E2E3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47053176"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821" w:type="pct"/>
            <w:vAlign w:val="center"/>
          </w:tcPr>
          <w:p w14:paraId="1B277A90"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系统管理</w:t>
            </w:r>
          </w:p>
        </w:tc>
        <w:tc>
          <w:tcPr>
            <w:tcW w:w="3719" w:type="pct"/>
          </w:tcPr>
          <w:p w14:paraId="4C8A85C2">
            <w:pP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电子终端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支持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系统管理功能，监控终端状态、管理资料模板、查询使用记录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。</w:t>
            </w:r>
          </w:p>
        </w:tc>
      </w:tr>
      <w:tr w14:paraId="47B59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9" w:type="pct"/>
            <w:vAlign w:val="center"/>
          </w:tcPr>
          <w:p w14:paraId="631F39AC"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821" w:type="pct"/>
            <w:vAlign w:val="center"/>
          </w:tcPr>
          <w:p w14:paraId="71390D91">
            <w:pPr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vertAlign w:val="baseline"/>
                <w:lang w:val="en-US" w:eastAsia="zh-CN" w:bidi="ar"/>
              </w:rPr>
              <w:t>安全需求</w:t>
            </w:r>
          </w:p>
        </w:tc>
        <w:tc>
          <w:tcPr>
            <w:tcW w:w="3719" w:type="pct"/>
          </w:tcPr>
          <w:p w14:paraId="5934805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本项目涉及公司的核心管理业务信息，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需符合《信息安全技术 网络安全等级保护基本要求》（GB/T 22239-2019）以及《南方电网管理信息系统安全等级保护标准》相关要求，本系统不联网使用。</w:t>
            </w:r>
          </w:p>
        </w:tc>
      </w:tr>
    </w:tbl>
    <w:p w14:paraId="5CF7A9FE">
      <w:pPr>
        <w:bidi w:val="0"/>
        <w:rPr>
          <w:rFonts w:hint="eastAsia"/>
          <w:color w:val="auto"/>
          <w:lang w:val="en-US" w:eastAsia="zh-CN"/>
        </w:rPr>
      </w:pPr>
    </w:p>
    <w:p w14:paraId="4FADA78C">
      <w:pPr>
        <w:pStyle w:val="4"/>
        <w:keepNext/>
        <w:keepLines/>
        <w:pageBreakBefore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3" w:after="163"/>
        <w:ind w:left="431" w:hanging="431"/>
        <w:textAlignment w:val="auto"/>
        <w:rPr>
          <w:color w:val="auto"/>
        </w:rPr>
      </w:pPr>
      <w:bookmarkStart w:id="16" w:name="_Toc30787"/>
      <w:bookmarkStart w:id="17" w:name="_Toc5428"/>
      <w:bookmarkStart w:id="18" w:name="_Toc1721942"/>
      <w:bookmarkStart w:id="19" w:name="_Toc317689842"/>
      <w:bookmarkStart w:id="20" w:name="_Toc317067408"/>
      <w:bookmarkStart w:id="21" w:name="_Toc317690130"/>
      <w:bookmarkStart w:id="22" w:name="_Toc104371604"/>
      <w:r>
        <w:rPr>
          <w:rFonts w:hint="eastAsia"/>
          <w:color w:val="auto"/>
        </w:rPr>
        <w:t>进度保证</w:t>
      </w:r>
      <w:bookmarkEnd w:id="16"/>
      <w:bookmarkEnd w:id="17"/>
    </w:p>
    <w:p w14:paraId="0604B68E">
      <w:pPr>
        <w:spacing w:line="360" w:lineRule="auto"/>
        <w:ind w:firstLine="48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202</w:t>
      </w:r>
      <w:r>
        <w:rPr>
          <w:rFonts w:hint="eastAsia" w:hAnsi="宋体"/>
          <w:color w:val="auto"/>
          <w:highlight w:val="none"/>
          <w:lang w:val="en-US" w:eastAsia="zh-CN"/>
        </w:rPr>
        <w:t>6</w:t>
      </w:r>
      <w:r>
        <w:rPr>
          <w:rFonts w:hint="eastAsia" w:ascii="宋体" w:hAnsi="宋体"/>
          <w:color w:val="auto"/>
          <w:highlight w:val="none"/>
        </w:rPr>
        <w:t>年</w:t>
      </w:r>
      <w:r>
        <w:rPr>
          <w:rFonts w:hint="eastAsia" w:hAnsi="宋体"/>
          <w:color w:val="auto"/>
          <w:highlight w:val="none"/>
          <w:lang w:val="en-US" w:eastAsia="zh-CN"/>
        </w:rPr>
        <w:t>11</w:t>
      </w:r>
      <w:r>
        <w:rPr>
          <w:rFonts w:hint="eastAsia" w:ascii="宋体" w:hAnsi="宋体"/>
          <w:color w:val="auto"/>
          <w:highlight w:val="none"/>
        </w:rPr>
        <w:t>月前完成供货。</w:t>
      </w:r>
    </w:p>
    <w:p w14:paraId="4AB0CE49">
      <w:pPr>
        <w:pStyle w:val="4"/>
        <w:bidi w:val="0"/>
        <w:rPr>
          <w:color w:val="auto"/>
        </w:rPr>
      </w:pPr>
      <w:bookmarkStart w:id="23" w:name="_Toc31477"/>
      <w:bookmarkStart w:id="24" w:name="_Toc28652"/>
      <w:r>
        <w:rPr>
          <w:rFonts w:hint="eastAsia"/>
          <w:color w:val="auto"/>
        </w:rPr>
        <w:t>质量保证</w:t>
      </w:r>
      <w:bookmarkEnd w:id="23"/>
      <w:bookmarkEnd w:id="24"/>
    </w:p>
    <w:p w14:paraId="5913DB7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中标方应保证所提供的所有产品的功能、性能等均能满足本招标文件要求</w:t>
      </w:r>
      <w:r>
        <w:rPr>
          <w:rFonts w:hint="eastAsia" w:hAnsi="宋体" w:cs="宋体"/>
          <w:color w:val="auto"/>
          <w:kern w:val="2"/>
          <w:sz w:val="24"/>
          <w:szCs w:val="24"/>
          <w:lang w:val="en-US" w:eastAsia="zh-CN" w:bidi="ar"/>
        </w:rPr>
        <w:t>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确保</w:t>
      </w:r>
      <w:r>
        <w:rPr>
          <w:rFonts w:hint="eastAsia" w:hAnsi="宋体" w:cs="宋体"/>
          <w:color w:val="auto"/>
          <w:kern w:val="2"/>
          <w:sz w:val="24"/>
          <w:szCs w:val="24"/>
          <w:lang w:val="en-US" w:eastAsia="zh-CN" w:bidi="ar"/>
        </w:rPr>
        <w:t>交付物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的质量。</w:t>
      </w:r>
    </w:p>
    <w:p w14:paraId="6208E27F">
      <w:pPr>
        <w:snapToGrid w:val="0"/>
        <w:spacing w:line="360" w:lineRule="auto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"/>
        </w:rPr>
        <w:t>若由于中标方自身原因导致项目质量缺陷或偏差，招标方可根据合同要求追究中标方责任。</w:t>
      </w:r>
    </w:p>
    <w:bookmarkEnd w:id="18"/>
    <w:bookmarkEnd w:id="19"/>
    <w:bookmarkEnd w:id="20"/>
    <w:bookmarkEnd w:id="21"/>
    <w:bookmarkEnd w:id="22"/>
    <w:p w14:paraId="6FBEFC8F">
      <w:pPr>
        <w:pStyle w:val="4"/>
        <w:spacing w:before="120" w:after="120"/>
        <w:rPr>
          <w:color w:val="auto"/>
          <w:w w:val="101"/>
        </w:rPr>
      </w:pPr>
      <w:bookmarkStart w:id="25" w:name="_Toc16669"/>
      <w:r>
        <w:rPr>
          <w:rFonts w:hint="eastAsia"/>
          <w:color w:val="auto"/>
          <w:w w:val="101"/>
          <w:lang w:val="en-US" w:eastAsia="zh-CN"/>
        </w:rPr>
        <w:t>货物交付</w:t>
      </w:r>
      <w:bookmarkEnd w:id="25"/>
    </w:p>
    <w:p w14:paraId="213A5A26">
      <w:pPr>
        <w:pStyle w:val="5"/>
        <w:spacing w:before="120" w:after="120"/>
        <w:rPr>
          <w:color w:val="auto"/>
        </w:rPr>
      </w:pPr>
      <w:bookmarkStart w:id="26" w:name="_Toc4058"/>
      <w:bookmarkStart w:id="27" w:name="_Toc1721944"/>
      <w:bookmarkStart w:id="28" w:name="_Toc317689844"/>
      <w:bookmarkStart w:id="29" w:name="_Toc317690132"/>
      <w:bookmarkStart w:id="30" w:name="_Toc13660"/>
      <w:bookmarkStart w:id="31" w:name="_Toc447006298"/>
      <w:bookmarkStart w:id="32" w:name="_Toc104371606"/>
      <w:r>
        <w:rPr>
          <w:color w:val="auto"/>
        </w:rPr>
        <w:t>验收要求</w:t>
      </w:r>
      <w:bookmarkEnd w:id="26"/>
      <w:bookmarkEnd w:id="27"/>
      <w:bookmarkEnd w:id="28"/>
      <w:bookmarkEnd w:id="29"/>
      <w:bookmarkEnd w:id="30"/>
      <w:bookmarkEnd w:id="31"/>
      <w:bookmarkEnd w:id="32"/>
    </w:p>
    <w:p w14:paraId="1D319E83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Ansi="宋体"/>
          <w:color w:val="auto"/>
        </w:rPr>
      </w:pPr>
      <w:r>
        <w:rPr>
          <w:rFonts w:hAnsi="宋体"/>
          <w:color w:val="auto"/>
        </w:rPr>
        <w:t>本项目仅进行现场验收</w:t>
      </w:r>
      <w:r>
        <w:rPr>
          <w:rFonts w:hint="eastAsia" w:hAnsi="宋体"/>
          <w:color w:val="auto"/>
          <w:lang w:eastAsia="zh-CN"/>
        </w:rPr>
        <w:t>（</w:t>
      </w:r>
      <w:r>
        <w:rPr>
          <w:rFonts w:hint="eastAsia" w:hAnsi="宋体"/>
          <w:color w:val="auto"/>
          <w:lang w:val="en-US" w:eastAsia="zh-CN"/>
        </w:rPr>
        <w:t>SAT</w:t>
      </w:r>
      <w:r>
        <w:rPr>
          <w:rFonts w:hint="eastAsia" w:hAnsi="宋体"/>
          <w:color w:val="auto"/>
          <w:lang w:eastAsia="zh-CN"/>
        </w:rPr>
        <w:t>）</w:t>
      </w:r>
      <w:r>
        <w:rPr>
          <w:rFonts w:hAnsi="宋体"/>
          <w:color w:val="auto"/>
        </w:rPr>
        <w:t>。</w:t>
      </w:r>
      <w:r>
        <w:rPr>
          <w:rFonts w:hint="eastAsia" w:hAnsi="宋体"/>
          <w:color w:val="auto"/>
        </w:rPr>
        <w:t>且为针对整个项目的验收，不单独对设备进行验收测试，但投标方应配合招标方进行整个项目的验收测试，投标人提供技术专家全程配合完成整体项目实施完成，并负责设备的验收测试相关资料的编制及其它配合性工作。</w:t>
      </w:r>
    </w:p>
    <w:p w14:paraId="36E61793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Ansi="宋体"/>
          <w:color w:val="auto"/>
        </w:rPr>
      </w:pPr>
      <w:r>
        <w:rPr>
          <w:rFonts w:hAnsi="宋体"/>
          <w:color w:val="auto"/>
        </w:rPr>
        <w:t>投标方应在验收测试前2周提供详细的SAT验收测试大纲，大纲应提供所有现场验收的细则，细则指定的实验项目以及达到的性能指标不得小于本招标文件要求。招标方有权提出一些合理的特殊测试，并保留对大纲的修改权力。大纲经双方确认生效以后，招标方人员对验收的认可签字并不解除投标方对合同的保证负责。</w:t>
      </w:r>
    </w:p>
    <w:p w14:paraId="7D2235D9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Ansi="宋体"/>
          <w:color w:val="auto"/>
        </w:rPr>
      </w:pPr>
      <w:r>
        <w:rPr>
          <w:rFonts w:hAnsi="宋体"/>
          <w:color w:val="auto"/>
        </w:rPr>
        <w:t>投标方将负责对现场</w:t>
      </w:r>
      <w:r>
        <w:rPr>
          <w:rFonts w:hint="eastAsia" w:hAnsi="宋体"/>
          <w:color w:val="auto"/>
          <w:lang w:val="en-US" w:eastAsia="zh-CN"/>
        </w:rPr>
        <w:t>验收</w:t>
      </w:r>
      <w:r>
        <w:rPr>
          <w:rFonts w:hAnsi="宋体"/>
          <w:color w:val="auto"/>
        </w:rPr>
        <w:t>和测试进行指导，投标方的工程师将协助进行现场试验验收</w:t>
      </w:r>
      <w:r>
        <w:rPr>
          <w:rFonts w:hint="eastAsia" w:hAnsi="宋体"/>
          <w:color w:val="auto"/>
        </w:rPr>
        <w:t>，验收满足</w:t>
      </w:r>
      <w:r>
        <w:rPr>
          <w:rFonts w:hint="eastAsia"/>
          <w:color w:val="auto"/>
          <w:lang w:val="en-US" w:eastAsia="zh-CN"/>
        </w:rPr>
        <w:t>项目</w:t>
      </w:r>
      <w:r>
        <w:rPr>
          <w:rFonts w:hint="eastAsia"/>
          <w:color w:val="auto"/>
        </w:rPr>
        <w:t>所需性能要求，如未满足则不予验收。</w:t>
      </w:r>
    </w:p>
    <w:p w14:paraId="27BF2A42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Ansi="宋体"/>
          <w:color w:val="auto"/>
        </w:rPr>
      </w:pPr>
      <w:r>
        <w:rPr>
          <w:rFonts w:hAnsi="宋体"/>
          <w:color w:val="auto"/>
        </w:rPr>
        <w:t>在现场验收完成后20天内，双方的代表将签署验收报告。</w:t>
      </w:r>
    </w:p>
    <w:p w14:paraId="5426501B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Ansi="宋体"/>
          <w:color w:val="auto"/>
        </w:rPr>
      </w:pPr>
      <w:r>
        <w:rPr>
          <w:rFonts w:hAnsi="宋体"/>
          <w:color w:val="auto"/>
        </w:rPr>
        <w:t>在现场验收过程中，投标方应对损坏的设备负责。</w:t>
      </w:r>
    </w:p>
    <w:p w14:paraId="23DB36A7">
      <w:pPr>
        <w:numPr>
          <w:ilvl w:val="0"/>
          <w:numId w:val="3"/>
        </w:numPr>
        <w:tabs>
          <w:tab w:val="left" w:pos="840"/>
        </w:tabs>
        <w:ind w:left="0" w:firstLine="480" w:firstLineChars="200"/>
        <w:rPr>
          <w:rFonts w:hint="eastAsia" w:hAnsi="宋体"/>
          <w:color w:val="auto"/>
        </w:rPr>
      </w:pPr>
      <w:r>
        <w:rPr>
          <w:rFonts w:hAnsi="宋体"/>
          <w:color w:val="auto"/>
        </w:rPr>
        <w:t>备品备件、文档资料均作为验收的一部分。</w:t>
      </w:r>
    </w:p>
    <w:p w14:paraId="35CCE8A4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31" w:hanging="431"/>
        <w:textAlignment w:val="auto"/>
        <w:rPr>
          <w:color w:val="auto"/>
        </w:rPr>
      </w:pPr>
      <w:bookmarkStart w:id="33" w:name="_Toc12329"/>
      <w:r>
        <w:rPr>
          <w:rFonts w:hint="eastAsia"/>
          <w:color w:val="auto"/>
        </w:rPr>
        <w:t>售后服务要求</w:t>
      </w:r>
      <w:bookmarkEnd w:id="33"/>
    </w:p>
    <w:p w14:paraId="2087A59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0" w:firstLineChars="0"/>
        <w:textAlignment w:val="auto"/>
        <w:rPr>
          <w:rFonts w:ascii="宋体" w:hAnsi="宋体" w:eastAsia="宋体" w:cs="Times New Roman"/>
          <w:color w:val="auto"/>
          <w:kern w:val="2"/>
          <w:sz w:val="24"/>
          <w:szCs w:val="22"/>
          <w:lang w:val="en-US" w:eastAsia="zh-CN" w:bidi="ar-SA"/>
        </w:rPr>
      </w:pPr>
      <w:bookmarkStart w:id="34" w:name="_Toc30226"/>
      <w:r>
        <w:rPr>
          <w:rFonts w:hint="eastAsia" w:ascii="宋体" w:hAnsi="宋体" w:eastAsia="宋体" w:cs="Times New Roman"/>
          <w:color w:val="auto"/>
          <w:kern w:val="2"/>
          <w:sz w:val="24"/>
          <w:szCs w:val="22"/>
          <w:lang w:val="en-US" w:eastAsia="zh-CN" w:bidi="ar-SA"/>
        </w:rPr>
        <w:t>交付物通过验收后，进入质保期，质保期一年。</w:t>
      </w:r>
      <w:bookmarkEnd w:id="34"/>
    </w:p>
    <w:sectPr>
      <w:footerReference r:id="rId7" w:type="first"/>
      <w:footerReference r:id="rId5" w:type="default"/>
      <w:footerReference r:id="rId6" w:type="even"/>
      <w:pgSz w:w="11906" w:h="16838"/>
      <w:pgMar w:top="936" w:right="1797" w:bottom="1247" w:left="1797" w:header="851" w:footer="737" w:gutter="0"/>
      <w:cols w:space="72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408FB1">
    <w:pPr>
      <w:pStyle w:val="14"/>
      <w:framePr w:wrap="around" w:vAnchor="text" w:hAnchor="margin" w:xAlign="center" w:y="1"/>
      <w:ind w:right="240"/>
      <w:rPr>
        <w:rStyle w:val="22"/>
      </w:rPr>
    </w:pPr>
    <w:r>
      <w:fldChar w:fldCharType="begin"/>
    </w:r>
    <w:r>
      <w:rPr>
        <w:rStyle w:val="22"/>
      </w:rPr>
      <w:instrText xml:space="preserve">PAGE  </w:instrText>
    </w:r>
    <w:r>
      <w:fldChar w:fldCharType="separate"/>
    </w:r>
    <w:r>
      <w:rPr>
        <w:rStyle w:val="22"/>
      </w:rPr>
      <w:t>22</w:t>
    </w:r>
    <w:r>
      <w:fldChar w:fldCharType="end"/>
    </w:r>
  </w:p>
  <w:p w14:paraId="0B937966">
    <w:pPr>
      <w:pStyle w:val="14"/>
      <w:ind w:right="24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F6C60">
    <w:pPr>
      <w:pStyle w:val="14"/>
      <w:framePr w:wrap="around" w:vAnchor="text" w:hAnchor="margin" w:xAlign="center" w:y="1"/>
      <w:ind w:right="240"/>
      <w:rPr>
        <w:rStyle w:val="22"/>
      </w:rPr>
    </w:pPr>
    <w:r>
      <w:fldChar w:fldCharType="begin"/>
    </w:r>
    <w:r>
      <w:rPr>
        <w:rStyle w:val="22"/>
      </w:rPr>
      <w:instrText xml:space="preserve">PAGE  </w:instrText>
    </w:r>
    <w:r>
      <w:fldChar w:fldCharType="separate"/>
    </w:r>
    <w:r>
      <w:rPr>
        <w:rStyle w:val="22"/>
      </w:rPr>
      <w:t>0</w:t>
    </w:r>
    <w:r>
      <w:fldChar w:fldCharType="end"/>
    </w:r>
  </w:p>
  <w:p w14:paraId="0C967C81">
    <w:pPr>
      <w:pStyle w:val="14"/>
      <w:ind w:right="24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5776BE">
    <w:pPr>
      <w:pStyle w:val="14"/>
      <w:ind w:right="2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90271F"/>
    <w:multiLevelType w:val="multilevel"/>
    <w:tmpl w:val="3C90271F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55BCAE6A"/>
    <w:multiLevelType w:val="singleLevel"/>
    <w:tmpl w:val="55BCAE6A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1BD28D3"/>
    <w:multiLevelType w:val="multilevel"/>
    <w:tmpl w:val="71BD28D3"/>
    <w:lvl w:ilvl="0" w:tentative="0">
      <w:start w:val="1"/>
      <w:numFmt w:val="decimal"/>
      <w:pStyle w:val="4"/>
      <w:lvlText w:val="%1"/>
      <w:lvlJc w:val="left"/>
      <w:pPr>
        <w:ind w:left="432" w:hanging="432"/>
      </w:pPr>
    </w:lvl>
    <w:lvl w:ilvl="1" w:tentative="0">
      <w:start w:val="1"/>
      <w:numFmt w:val="decimal"/>
      <w:pStyle w:val="5"/>
      <w:lvlText w:val="%1.%2"/>
      <w:lvlJc w:val="left"/>
      <w:pPr>
        <w:ind w:left="576" w:hanging="576"/>
      </w:pPr>
    </w:lvl>
    <w:lvl w:ilvl="2" w:tentative="0">
      <w:start w:val="1"/>
      <w:numFmt w:val="decimal"/>
      <w:pStyle w:val="6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7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lODNkNGU1YzkzMjgyMDg3YzU2OGRmN2NlMDA1N2EifQ=="/>
  </w:docVars>
  <w:rsids>
    <w:rsidRoot w:val="26246268"/>
    <w:rsid w:val="041C715D"/>
    <w:rsid w:val="041F23A3"/>
    <w:rsid w:val="09CA0F5B"/>
    <w:rsid w:val="0A0F6AB1"/>
    <w:rsid w:val="0AD40999"/>
    <w:rsid w:val="12EB3AEE"/>
    <w:rsid w:val="13414ACF"/>
    <w:rsid w:val="15427DB0"/>
    <w:rsid w:val="15E470D5"/>
    <w:rsid w:val="1712358F"/>
    <w:rsid w:val="17F03C6D"/>
    <w:rsid w:val="180D7C67"/>
    <w:rsid w:val="18E32E63"/>
    <w:rsid w:val="1A82148C"/>
    <w:rsid w:val="1B251654"/>
    <w:rsid w:val="1B5567DB"/>
    <w:rsid w:val="1B7168B6"/>
    <w:rsid w:val="20101F24"/>
    <w:rsid w:val="20106558"/>
    <w:rsid w:val="205A6AB8"/>
    <w:rsid w:val="21AF42BB"/>
    <w:rsid w:val="22522C58"/>
    <w:rsid w:val="23203542"/>
    <w:rsid w:val="25235887"/>
    <w:rsid w:val="253530A2"/>
    <w:rsid w:val="25737A6A"/>
    <w:rsid w:val="26246268"/>
    <w:rsid w:val="26976211"/>
    <w:rsid w:val="274C7086"/>
    <w:rsid w:val="27980803"/>
    <w:rsid w:val="283B06BE"/>
    <w:rsid w:val="2E8E271A"/>
    <w:rsid w:val="2FDD2A30"/>
    <w:rsid w:val="306F59B2"/>
    <w:rsid w:val="34167144"/>
    <w:rsid w:val="381A6460"/>
    <w:rsid w:val="3FFD0A3B"/>
    <w:rsid w:val="460417A5"/>
    <w:rsid w:val="47F35458"/>
    <w:rsid w:val="49E84CAD"/>
    <w:rsid w:val="4BF6203B"/>
    <w:rsid w:val="4C876D68"/>
    <w:rsid w:val="52EB2826"/>
    <w:rsid w:val="53F527F6"/>
    <w:rsid w:val="5BED5A39"/>
    <w:rsid w:val="5CC770A7"/>
    <w:rsid w:val="5D5D6E67"/>
    <w:rsid w:val="5DDA23B7"/>
    <w:rsid w:val="5F8C7892"/>
    <w:rsid w:val="5FD62402"/>
    <w:rsid w:val="60FE2F9D"/>
    <w:rsid w:val="64801AB7"/>
    <w:rsid w:val="677C75AA"/>
    <w:rsid w:val="67965296"/>
    <w:rsid w:val="68311FF0"/>
    <w:rsid w:val="696F60F2"/>
    <w:rsid w:val="69952E7B"/>
    <w:rsid w:val="69B81E6A"/>
    <w:rsid w:val="6B193C7A"/>
    <w:rsid w:val="6CE41446"/>
    <w:rsid w:val="6D7B4D9C"/>
    <w:rsid w:val="6E7E556C"/>
    <w:rsid w:val="6EB16E5B"/>
    <w:rsid w:val="6F02418D"/>
    <w:rsid w:val="6F39172E"/>
    <w:rsid w:val="6FAF70DE"/>
    <w:rsid w:val="710A4BA3"/>
    <w:rsid w:val="719D36B9"/>
    <w:rsid w:val="72833D16"/>
    <w:rsid w:val="74264675"/>
    <w:rsid w:val="74932828"/>
    <w:rsid w:val="7CC839B5"/>
    <w:rsid w:val="7EE81375"/>
    <w:rsid w:val="7F21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Calibri" w:eastAsia="宋体" w:cs="Times New Roman"/>
      <w:kern w:val="2"/>
      <w:sz w:val="24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widowControl w:val="0"/>
      <w:numPr>
        <w:ilvl w:val="0"/>
        <w:numId w:val="1"/>
      </w:numPr>
      <w:spacing w:before="156" w:beforeLines="50" w:after="156" w:afterLines="50" w:line="360" w:lineRule="auto"/>
      <w:jc w:val="both"/>
      <w:outlineLvl w:val="0"/>
    </w:pPr>
    <w:rPr>
      <w:rFonts w:ascii="宋体" w:hAnsi="宋体"/>
      <w:b/>
      <w:bCs/>
      <w:kern w:val="44"/>
      <w:sz w:val="32"/>
      <w:szCs w:val="44"/>
    </w:rPr>
  </w:style>
  <w:style w:type="paragraph" w:styleId="5">
    <w:name w:val="heading 2"/>
    <w:basedOn w:val="1"/>
    <w:next w:val="1"/>
    <w:qFormat/>
    <w:uiPriority w:val="9"/>
    <w:pPr>
      <w:keepNext/>
      <w:keepLines/>
      <w:widowControl w:val="0"/>
      <w:numPr>
        <w:ilvl w:val="1"/>
        <w:numId w:val="1"/>
      </w:numPr>
      <w:spacing w:before="156" w:beforeLines="50" w:after="156" w:afterLines="50" w:line="360" w:lineRule="auto"/>
      <w:jc w:val="both"/>
      <w:outlineLvl w:val="1"/>
    </w:pPr>
    <w:rPr>
      <w:rFonts w:ascii="宋体" w:hAnsi="宋体"/>
      <w:b/>
      <w:bCs/>
      <w:kern w:val="2"/>
      <w:sz w:val="28"/>
      <w:szCs w:val="32"/>
    </w:rPr>
  </w:style>
  <w:style w:type="paragraph" w:styleId="6">
    <w:name w:val="heading 3"/>
    <w:basedOn w:val="1"/>
    <w:next w:val="1"/>
    <w:qFormat/>
    <w:uiPriority w:val="9"/>
    <w:pPr>
      <w:keepNext/>
      <w:keepLines/>
      <w:widowControl w:val="0"/>
      <w:numPr>
        <w:ilvl w:val="2"/>
        <w:numId w:val="1"/>
      </w:numPr>
      <w:spacing w:before="156" w:beforeLines="50" w:after="156" w:afterLines="50" w:line="360" w:lineRule="auto"/>
      <w:jc w:val="both"/>
      <w:outlineLvl w:val="2"/>
    </w:pPr>
    <w:rPr>
      <w:rFonts w:ascii="宋体" w:hAnsi="宋体"/>
      <w:b/>
      <w:bCs/>
      <w:kern w:val="2"/>
      <w:sz w:val="28"/>
      <w:szCs w:val="32"/>
    </w:rPr>
  </w:style>
  <w:style w:type="paragraph" w:styleId="7">
    <w:name w:val="heading 4"/>
    <w:basedOn w:val="1"/>
    <w:next w:val="1"/>
    <w:qFormat/>
    <w:uiPriority w:val="9"/>
    <w:pPr>
      <w:keepNext/>
      <w:keepLines/>
      <w:widowControl w:val="0"/>
      <w:numPr>
        <w:ilvl w:val="3"/>
        <w:numId w:val="1"/>
      </w:numPr>
      <w:spacing w:before="156" w:beforeLines="50" w:after="156" w:afterLines="50" w:line="360" w:lineRule="auto"/>
      <w:jc w:val="both"/>
      <w:outlineLvl w:val="3"/>
    </w:pPr>
    <w:rPr>
      <w:rFonts w:ascii="宋体" w:hAnsi="宋体"/>
      <w:b/>
      <w:bCs/>
      <w:kern w:val="2"/>
    </w:rPr>
  </w:style>
  <w:style w:type="paragraph" w:styleId="8">
    <w:name w:val="heading 5"/>
    <w:basedOn w:val="1"/>
    <w:next w:val="1"/>
    <w:qFormat/>
    <w:uiPriority w:val="9"/>
    <w:pPr>
      <w:keepNext/>
      <w:keepLines/>
      <w:widowControl w:val="0"/>
      <w:spacing w:before="120" w:beforeLines="50" w:after="120" w:afterLines="50" w:line="360" w:lineRule="auto"/>
      <w:ind w:left="1008" w:hanging="1008"/>
      <w:jc w:val="both"/>
      <w:outlineLvl w:val="4"/>
    </w:pPr>
    <w:rPr>
      <w:rFonts w:ascii="宋体" w:hAnsi="宋体"/>
      <w:b/>
      <w:bCs/>
      <w:kern w:val="2"/>
    </w:rPr>
  </w:style>
  <w:style w:type="character" w:default="1" w:styleId="21">
    <w:name w:val="Default Paragraph Font"/>
    <w:semiHidden/>
    <w:qFormat/>
    <w:uiPriority w:val="0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9">
    <w:name w:val="Normal Indent"/>
    <w:basedOn w:val="1"/>
    <w:qFormat/>
    <w:uiPriority w:val="0"/>
    <w:pPr>
      <w:widowControl w:val="0"/>
      <w:ind w:firstLine="420" w:firstLineChars="200"/>
      <w:jc w:val="both"/>
    </w:pPr>
    <w:rPr>
      <w:kern w:val="2"/>
      <w:sz w:val="21"/>
    </w:rPr>
  </w:style>
  <w:style w:type="paragraph" w:styleId="10">
    <w:name w:val="annotation text"/>
    <w:basedOn w:val="1"/>
    <w:qFormat/>
    <w:uiPriority w:val="0"/>
    <w:pPr>
      <w:jc w:val="left"/>
    </w:pPr>
  </w:style>
  <w:style w:type="paragraph" w:styleId="11">
    <w:name w:val="Body Text Indent"/>
    <w:basedOn w:val="1"/>
    <w:qFormat/>
    <w:uiPriority w:val="0"/>
    <w:pPr>
      <w:spacing w:after="120"/>
      <w:ind w:left="420" w:leftChars="200"/>
    </w:pPr>
    <w:rPr>
      <w:kern w:val="0"/>
    </w:rPr>
  </w:style>
  <w:style w:type="paragraph" w:styleId="12">
    <w:name w:val="toc 3"/>
    <w:basedOn w:val="1"/>
    <w:next w:val="1"/>
    <w:qFormat/>
    <w:uiPriority w:val="39"/>
    <w:pPr>
      <w:ind w:left="840" w:leftChars="400"/>
    </w:pPr>
    <w:rPr>
      <w:sz w:val="21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qFormat/>
    <w:uiPriority w:val="39"/>
    <w:rPr>
      <w:sz w:val="21"/>
    </w:rPr>
  </w:style>
  <w:style w:type="paragraph" w:styleId="17">
    <w:name w:val="toc 2"/>
    <w:basedOn w:val="1"/>
    <w:next w:val="1"/>
    <w:qFormat/>
    <w:uiPriority w:val="39"/>
    <w:pPr>
      <w:ind w:left="420" w:leftChars="200"/>
    </w:pPr>
    <w:rPr>
      <w:sz w:val="21"/>
    </w:rPr>
  </w:style>
  <w:style w:type="paragraph" w:styleId="1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qFormat/>
    <w:uiPriority w:val="0"/>
    <w:rPr>
      <w:rFonts w:ascii="Times New Roman" w:hAnsi="Times New Roman" w:eastAsia="宋体"/>
      <w:sz w:val="18"/>
    </w:rPr>
  </w:style>
  <w:style w:type="character" w:styleId="23">
    <w:name w:val="annotation reference"/>
    <w:semiHidden/>
    <w:qFormat/>
    <w:uiPriority w:val="0"/>
    <w:rPr>
      <w:sz w:val="21"/>
      <w:szCs w:val="21"/>
    </w:rPr>
  </w:style>
  <w:style w:type="paragraph" w:customStyle="1" w:styleId="24">
    <w:name w:val="Body Text Indent1"/>
    <w:basedOn w:val="1"/>
    <w:qFormat/>
    <w:uiPriority w:val="0"/>
    <w:pPr>
      <w:spacing w:after="120"/>
      <w:ind w:left="420" w:leftChars="200"/>
    </w:pPr>
    <w:rPr>
      <w:rFonts w:ascii="等线" w:hAnsi="等线" w:eastAsia="等线"/>
    </w:rPr>
  </w:style>
  <w:style w:type="paragraph" w:customStyle="1" w:styleId="25">
    <w:name w:val="正文首行缩进 21"/>
    <w:basedOn w:val="24"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26">
    <w:name w:val="gfkj正文"/>
    <w:basedOn w:val="1"/>
    <w:qFormat/>
    <w:uiPriority w:val="0"/>
    <w:pPr>
      <w:widowControl w:val="0"/>
      <w:spacing w:line="480" w:lineRule="exact"/>
      <w:ind w:firstLine="480" w:firstLineChars="200"/>
      <w:jc w:val="both"/>
    </w:pPr>
    <w:rPr>
      <w:kern w:val="2"/>
    </w:rPr>
  </w:style>
  <w:style w:type="paragraph" w:styleId="27">
    <w:name w:val="List Paragraph"/>
    <w:basedOn w:val="1"/>
    <w:qFormat/>
    <w:uiPriority w:val="0"/>
    <w:pPr>
      <w:widowControl w:val="0"/>
      <w:ind w:firstLine="420" w:firstLineChars="200"/>
      <w:jc w:val="both"/>
    </w:pPr>
    <w:rPr>
      <w:kern w:val="2"/>
      <w:sz w:val="21"/>
    </w:rPr>
  </w:style>
  <w:style w:type="paragraph" w:customStyle="1" w:styleId="28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2108</Words>
  <Characters>2210</Characters>
  <Lines>0</Lines>
  <Paragraphs>0</Paragraphs>
  <TotalTime>24</TotalTime>
  <ScaleCrop>false</ScaleCrop>
  <LinksUpToDate>false</LinksUpToDate>
  <CharactersWithSpaces>2250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2022-08-01T09:29:00Z</dcterms:created>
  <dcterms:modified xsi:type="dcterms:W3CDTF">2026-05-12T02:34:56Z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47DFFA2B3376457E8516E8C64B92D1CC_13</vt:lpwstr>
  </property>
  <property fmtid="{D5CDD505-2E9C-101B-9397-08002B2CF9AE}" pid="4" name="KSOTemplateDocerSaveRecord">
    <vt:lpwstr>eyJoZGlkIjoiZmI5YWU4ZmU4OWE4ZDA3MGI2M2UzOWQ1ZDBlMzI3N2IiLCJ1c2VySWQiOiIxMTQzMDU1MjY3In0=</vt:lpwstr>
  </property>
</Properties>
</file>