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line="0" w:lineRule="atLeast"/>
        <w:jc w:val="center"/>
        <w:rPr>
          <w:rFonts w:hint="eastAsia" w:ascii="黑体" w:hAnsi="黑体" w:eastAsia="黑体" w:cs="Times New Roman"/>
          <w:b/>
          <w:sz w:val="52"/>
          <w:szCs w:val="22"/>
          <w:highlight w:val="none"/>
          <w:lang w:val="en-US" w:eastAsia="zh-CN"/>
        </w:rPr>
      </w:pPr>
      <w:bookmarkStart w:id="0" w:name="_Toc183578143"/>
      <w:bookmarkStart w:id="1" w:name="_Toc131168595"/>
      <w:bookmarkStart w:id="2" w:name="_Toc131134327"/>
      <w:bookmarkStart w:id="3" w:name="_Toc131134226"/>
      <w:bookmarkStart w:id="4" w:name="_Toc114028927"/>
      <w:bookmarkStart w:id="5" w:name="_Toc131133981"/>
      <w:r>
        <w:rPr>
          <w:rFonts w:hint="eastAsia" w:ascii="黑体" w:hAnsi="黑体" w:eastAsia="黑体" w:cs="Times New Roman"/>
          <w:b/>
          <w:sz w:val="52"/>
          <w:szCs w:val="22"/>
          <w:highlight w:val="none"/>
        </w:rPr>
        <w:drawing>
          <wp:anchor distT="0" distB="0" distL="114300" distR="114300" simplePos="0" relativeHeight="251659264" behindDoc="1" locked="0" layoutInCell="1" allowOverlap="1">
            <wp:simplePos x="0" y="0"/>
            <wp:positionH relativeFrom="column">
              <wp:posOffset>-729615</wp:posOffset>
            </wp:positionH>
            <wp:positionV relativeFrom="paragraph">
              <wp:posOffset>-925830</wp:posOffset>
            </wp:positionV>
            <wp:extent cx="7578090" cy="2736850"/>
            <wp:effectExtent l="0" t="0" r="3810" b="6350"/>
            <wp:wrapTight wrapText="bothSides">
              <wp:wrapPolygon>
                <wp:start x="21592" y="-2"/>
                <wp:lineTo x="0" y="0"/>
                <wp:lineTo x="0" y="21599"/>
                <wp:lineTo x="21592" y="21601"/>
                <wp:lineTo x="8" y="21601"/>
                <wp:lineTo x="21600" y="21599"/>
                <wp:lineTo x="21600" y="0"/>
                <wp:lineTo x="8" y="-2"/>
                <wp:lineTo x="21592" y="-2"/>
              </wp:wrapPolygon>
            </wp:wrapTight>
            <wp:docPr id="1" name="图片 5"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模板-3"/>
                    <pic:cNvPicPr>
                      <a:picLocks noChangeAspect="1"/>
                    </pic:cNvPicPr>
                  </pic:nvPicPr>
                  <pic:blipFill>
                    <a:blip r:embed="rId9"/>
                    <a:stretch>
                      <a:fillRect/>
                    </a:stretch>
                  </pic:blipFill>
                  <pic:spPr>
                    <a:xfrm>
                      <a:off x="0" y="0"/>
                      <a:ext cx="7578090" cy="2736850"/>
                    </a:xfrm>
                    <a:prstGeom prst="rect">
                      <a:avLst/>
                    </a:prstGeom>
                    <a:noFill/>
                    <a:ln>
                      <a:noFill/>
                    </a:ln>
                  </pic:spPr>
                </pic:pic>
              </a:graphicData>
            </a:graphic>
          </wp:anchor>
        </w:drawing>
      </w:r>
    </w:p>
    <w:p>
      <w:pPr>
        <w:spacing w:before="624" w:beforeLines="200" w:line="0" w:lineRule="atLeast"/>
        <w:jc w:val="center"/>
        <w:rPr>
          <w:rFonts w:hint="eastAsia" w:ascii="黑体" w:hAnsi="黑体" w:eastAsia="黑体" w:cs="Times New Roman"/>
          <w:b/>
          <w:sz w:val="52"/>
          <w:szCs w:val="22"/>
          <w:highlight w:val="none"/>
          <w:lang w:val="en-US" w:eastAsia="zh-CN"/>
        </w:rPr>
      </w:pPr>
      <w:r>
        <w:rPr>
          <w:rFonts w:hint="eastAsia" w:ascii="黑体" w:hAnsi="黑体" w:eastAsia="黑体" w:cs="Times New Roman"/>
          <w:b/>
          <w:sz w:val="52"/>
          <w:szCs w:val="22"/>
          <w:highlight w:val="none"/>
          <w:lang w:val="en-US" w:eastAsia="zh-CN"/>
        </w:rPr>
        <w:t>南网用户生态运营公司2026年研发专线运维服务项目</w:t>
      </w:r>
    </w:p>
    <w:p>
      <w:pPr>
        <w:spacing w:before="624" w:beforeLines="200" w:line="0" w:lineRule="atLeast"/>
        <w:jc w:val="center"/>
        <w:rPr>
          <w:rFonts w:hint="eastAsia" w:ascii="黑体" w:hAnsi="黑体" w:eastAsia="黑体"/>
          <w:b/>
          <w:sz w:val="52"/>
          <w:szCs w:val="22"/>
          <w:highlight w:val="none"/>
        </w:rPr>
      </w:pPr>
      <w:r>
        <w:rPr>
          <w:rFonts w:hint="eastAsia" w:ascii="黑体" w:hAnsi="黑体" w:eastAsia="黑体" w:cs="Times New Roman"/>
          <w:b/>
          <w:sz w:val="52"/>
          <w:szCs w:val="22"/>
          <w:highlight w:val="none"/>
        </w:rPr>
        <w:t>技术规范书</w:t>
      </w: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spacing w:line="360" w:lineRule="auto"/>
        <w:jc w:val="center"/>
        <w:rPr>
          <w:rFonts w:hint="eastAsia" w:ascii="黑体" w:hAnsi="黑体" w:eastAsia="黑体" w:cs="Times New Roman"/>
          <w:b/>
          <w:sz w:val="36"/>
          <w:highlight w:val="none"/>
          <w:lang w:val="en-US" w:eastAsia="zh-CN"/>
        </w:rPr>
      </w:pPr>
      <w:r>
        <w:rPr>
          <w:rFonts w:hint="eastAsia" w:ascii="黑体" w:hAnsi="黑体" w:eastAsia="黑体" w:cs="Times New Roman"/>
          <w:b/>
          <w:sz w:val="36"/>
          <w:highlight w:val="none"/>
          <w:lang w:val="en-US" w:eastAsia="zh-CN"/>
        </w:rPr>
        <w:t>南方电网用户生态运营有限责任公司</w:t>
      </w:r>
    </w:p>
    <w:p>
      <w:pPr>
        <w:spacing w:line="360" w:lineRule="auto"/>
        <w:jc w:val="center"/>
        <w:rPr>
          <w:rFonts w:hint="eastAsia" w:ascii="黑体" w:hAnsi="黑体" w:eastAsia="黑体"/>
          <w:b/>
          <w:sz w:val="36"/>
          <w:highlight w:val="none"/>
        </w:rPr>
      </w:pPr>
      <w:r>
        <w:rPr>
          <w:rFonts w:hint="eastAsia" w:ascii="黑体" w:hAnsi="黑体" w:eastAsia="黑体"/>
          <w:b/>
          <w:sz w:val="36"/>
          <w:highlight w:val="none"/>
        </w:rPr>
        <w:t>202</w:t>
      </w:r>
      <w:r>
        <w:rPr>
          <w:rFonts w:hint="eastAsia" w:ascii="黑体" w:hAnsi="黑体" w:eastAsia="黑体"/>
          <w:b/>
          <w:sz w:val="36"/>
          <w:highlight w:val="none"/>
          <w:lang w:val="en-US" w:eastAsia="zh-CN"/>
        </w:rPr>
        <w:t>6</w:t>
      </w:r>
      <w:r>
        <w:rPr>
          <w:rFonts w:hint="eastAsia" w:ascii="黑体" w:hAnsi="黑体" w:eastAsia="黑体"/>
          <w:b/>
          <w:sz w:val="36"/>
          <w:highlight w:val="none"/>
        </w:rPr>
        <w:t>年</w:t>
      </w:r>
      <w:r>
        <w:rPr>
          <w:rFonts w:hint="eastAsia" w:ascii="黑体" w:hAnsi="黑体" w:eastAsia="黑体"/>
          <w:b/>
          <w:sz w:val="36"/>
          <w:highlight w:val="none"/>
          <w:lang w:val="en-US" w:eastAsia="zh-CN"/>
        </w:rPr>
        <w:t>05</w:t>
      </w:r>
      <w:bookmarkStart w:id="47" w:name="_GoBack"/>
      <w:bookmarkEnd w:id="47"/>
      <w:r>
        <w:rPr>
          <w:rFonts w:hint="eastAsia" w:ascii="黑体" w:hAnsi="黑体" w:eastAsia="黑体"/>
          <w:b/>
          <w:sz w:val="36"/>
          <w:highlight w:val="none"/>
        </w:rPr>
        <w:t xml:space="preserve">月    </w:t>
      </w:r>
      <w:bookmarkEnd w:id="0"/>
      <w:bookmarkEnd w:id="1"/>
      <w:bookmarkEnd w:id="2"/>
      <w:bookmarkEnd w:id="3"/>
      <w:bookmarkEnd w:id="4"/>
      <w:bookmarkEnd w:id="5"/>
    </w:p>
    <w:p>
      <w:pPr>
        <w:rPr>
          <w:rFonts w:hint="eastAsia"/>
          <w:highlight w:val="none"/>
        </w:rPr>
      </w:pPr>
    </w:p>
    <w:p>
      <w:pPr>
        <w:spacing w:line="360" w:lineRule="auto"/>
        <w:jc w:val="center"/>
        <w:rPr>
          <w:rFonts w:hint="eastAsia" w:ascii="黑体" w:hAnsi="黑体" w:eastAsia="黑体" w:cs="黑体"/>
          <w:b/>
          <w:sz w:val="32"/>
          <w:szCs w:val="32"/>
          <w:highlight w:val="none"/>
        </w:rPr>
      </w:pPr>
      <w:r>
        <w:rPr>
          <w:rFonts w:hint="eastAsia" w:ascii="黑体" w:hAnsi="黑体" w:eastAsia="黑体" w:cs="黑体"/>
          <w:b/>
          <w:sz w:val="32"/>
          <w:szCs w:val="32"/>
          <w:highlight w:val="none"/>
        </w:rPr>
        <w:br w:type="page"/>
      </w:r>
      <w:r>
        <w:rPr>
          <w:rFonts w:hint="eastAsia" w:ascii="黑体" w:hAnsi="黑体" w:eastAsia="黑体" w:cs="黑体"/>
          <w:b/>
          <w:sz w:val="32"/>
          <w:szCs w:val="32"/>
          <w:highlight w:val="none"/>
        </w:rPr>
        <w:t>目 录</w:t>
      </w:r>
    </w:p>
    <w:p>
      <w:pPr>
        <w:pStyle w:val="25"/>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
          <w:bCs/>
          <w:caps/>
          <w:sz w:val="24"/>
          <w:szCs w:val="24"/>
          <w:highlight w:val="none"/>
        </w:rPr>
        <w:fldChar w:fldCharType="begin"/>
      </w:r>
      <w:r>
        <w:rPr>
          <w:rFonts w:hint="eastAsia" w:ascii="宋体" w:hAnsi="宋体" w:eastAsia="宋体" w:cs="宋体"/>
          <w:b/>
          <w:bCs/>
          <w:caps/>
          <w:sz w:val="24"/>
          <w:szCs w:val="24"/>
          <w:highlight w:val="none"/>
        </w:rPr>
        <w:instrText xml:space="preserve"> TOC \o "1-3" \h \z \u </w:instrText>
      </w:r>
      <w:r>
        <w:rPr>
          <w:rFonts w:hint="eastAsia" w:ascii="宋体" w:hAnsi="宋体" w:eastAsia="宋体" w:cs="宋体"/>
          <w:b/>
          <w:bCs/>
          <w:caps/>
          <w:sz w:val="24"/>
          <w:szCs w:val="24"/>
          <w:highlight w:val="none"/>
        </w:rPr>
        <w:fldChar w:fldCharType="separate"/>
      </w:r>
      <w:r>
        <w:rPr>
          <w:rFonts w:hint="eastAsia" w:ascii="宋体" w:hAnsi="宋体" w:eastAsia="宋体" w:cs="宋体"/>
          <w:bCs/>
          <w:caps/>
          <w:szCs w:val="24"/>
          <w:highlight w:val="none"/>
        </w:rPr>
        <w:fldChar w:fldCharType="begin"/>
      </w:r>
      <w:r>
        <w:rPr>
          <w:rFonts w:hint="eastAsia" w:ascii="宋体" w:hAnsi="宋体" w:eastAsia="宋体" w:cs="宋体"/>
          <w:bCs/>
          <w:caps/>
          <w:szCs w:val="24"/>
          <w:highlight w:val="none"/>
        </w:rPr>
        <w:instrText xml:space="preserve"> HYPERLINK \l _Toc23442 </w:instrText>
      </w:r>
      <w:r>
        <w:rPr>
          <w:rFonts w:hint="eastAsia" w:ascii="宋体" w:hAnsi="宋体" w:eastAsia="宋体" w:cs="宋体"/>
          <w:bCs/>
          <w:caps/>
          <w:szCs w:val="24"/>
          <w:highlight w:val="none"/>
        </w:rPr>
        <w:fldChar w:fldCharType="separate"/>
      </w:r>
      <w:r>
        <w:rPr>
          <w:rFonts w:hint="default" w:ascii="黑体" w:hAnsi="黑体" w:eastAsia="黑体" w:cs="黑体"/>
          <w:bCs/>
          <w:i w:val="0"/>
          <w:spacing w:val="-12"/>
          <w:szCs w:val="32"/>
        </w:rPr>
        <w:t xml:space="preserve">1. </w:t>
      </w:r>
      <w:r>
        <w:rPr>
          <w:rFonts w:hint="eastAsia" w:ascii="黑体" w:hAnsi="黑体" w:cs="黑体"/>
          <w:highlight w:val="none"/>
        </w:rPr>
        <w:t>总则</w:t>
      </w:r>
      <w:r>
        <w:tab/>
      </w:r>
      <w:r>
        <w:fldChar w:fldCharType="begin"/>
      </w:r>
      <w:r>
        <w:instrText xml:space="preserve"> PAGEREF _Toc23442 \h </w:instrText>
      </w:r>
      <w:r>
        <w:fldChar w:fldCharType="separate"/>
      </w:r>
      <w:r>
        <w:t>1</w:t>
      </w:r>
      <w:r>
        <w:fldChar w:fldCharType="end"/>
      </w:r>
      <w:r>
        <w:rPr>
          <w:rFonts w:hint="eastAsia" w:ascii="宋体" w:hAnsi="宋体" w:eastAsia="宋体" w:cs="宋体"/>
          <w:bCs/>
          <w:caps/>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_Toc663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rPr>
        <w:t xml:space="preserve">1.1. </w:t>
      </w:r>
      <w:r>
        <w:rPr>
          <w:rFonts w:hint="eastAsia"/>
          <w:highlight w:val="none"/>
        </w:rPr>
        <w:t>概述</w:t>
      </w:r>
      <w:r>
        <w:tab/>
      </w:r>
      <w:r>
        <w:fldChar w:fldCharType="begin"/>
      </w:r>
      <w:r>
        <w:instrText xml:space="preserve"> PAGEREF _Toc663 \h </w:instrText>
      </w:r>
      <w:r>
        <w:fldChar w:fldCharType="separate"/>
      </w:r>
      <w:r>
        <w:t>1</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_Toc10520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rPr>
        <w:t xml:space="preserve">1.2. </w:t>
      </w:r>
      <w:r>
        <w:rPr>
          <w:rFonts w:hint="eastAsia"/>
          <w:highlight w:val="none"/>
        </w:rPr>
        <w:t>对投标技术文件的要求</w:t>
      </w:r>
      <w:r>
        <w:tab/>
      </w:r>
      <w:r>
        <w:fldChar w:fldCharType="begin"/>
      </w:r>
      <w:r>
        <w:instrText xml:space="preserve"> PAGEREF _Toc10520 \h </w:instrText>
      </w:r>
      <w:r>
        <w:fldChar w:fldCharType="separate"/>
      </w:r>
      <w:r>
        <w:t>2</w:t>
      </w:r>
      <w:r>
        <w:fldChar w:fldCharType="end"/>
      </w:r>
      <w:r>
        <w:rPr>
          <w:rFonts w:hint="eastAsia" w:ascii="宋体" w:hAnsi="宋体" w:eastAsia="宋体" w:cs="宋体"/>
          <w:bCs w:val="0"/>
          <w:caps w:val="0"/>
          <w:szCs w:val="24"/>
          <w:highlight w:val="none"/>
        </w:rPr>
        <w:fldChar w:fldCharType="end"/>
      </w:r>
    </w:p>
    <w:p>
      <w:pPr>
        <w:pStyle w:val="18"/>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_Toc1560 </w:instrText>
      </w:r>
      <w:r>
        <w:rPr>
          <w:rFonts w:hint="eastAsia" w:ascii="宋体" w:hAnsi="宋体" w:eastAsia="宋体" w:cs="宋体"/>
          <w:bCs w:val="0"/>
          <w:caps w:val="0"/>
          <w:szCs w:val="24"/>
          <w:highlight w:val="none"/>
        </w:rPr>
        <w:fldChar w:fldCharType="separate"/>
      </w:r>
      <w:r>
        <w:rPr>
          <w:rFonts w:hint="default" w:ascii="Times New Roman" w:hAnsi="Times New Roman" w:cs="Times New Roman"/>
        </w:rPr>
        <w:t xml:space="preserve">1.2.1. </w:t>
      </w:r>
      <w:r>
        <w:rPr>
          <w:rFonts w:hint="eastAsia"/>
          <w:highlight w:val="none"/>
        </w:rPr>
        <w:t>投标文件的响应</w:t>
      </w:r>
      <w:r>
        <w:tab/>
      </w:r>
      <w:r>
        <w:fldChar w:fldCharType="begin"/>
      </w:r>
      <w:r>
        <w:instrText xml:space="preserve"> PAGEREF _Toc1560 \h </w:instrText>
      </w:r>
      <w:r>
        <w:fldChar w:fldCharType="separate"/>
      </w:r>
      <w:r>
        <w:t>2</w:t>
      </w:r>
      <w:r>
        <w:fldChar w:fldCharType="end"/>
      </w:r>
      <w:r>
        <w:rPr>
          <w:rFonts w:hint="eastAsia" w:ascii="宋体" w:hAnsi="宋体" w:eastAsia="宋体" w:cs="宋体"/>
          <w:bCs w:val="0"/>
          <w:caps w:val="0"/>
          <w:szCs w:val="24"/>
          <w:highlight w:val="none"/>
        </w:rPr>
        <w:fldChar w:fldCharType="end"/>
      </w:r>
    </w:p>
    <w:p>
      <w:pPr>
        <w:pStyle w:val="25"/>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_Toc21505 </w:instrText>
      </w:r>
      <w:r>
        <w:rPr>
          <w:rFonts w:hint="eastAsia" w:ascii="宋体" w:hAnsi="宋体" w:eastAsia="宋体" w:cs="宋体"/>
          <w:bCs w:val="0"/>
          <w:caps w:val="0"/>
          <w:szCs w:val="24"/>
          <w:highlight w:val="none"/>
        </w:rPr>
        <w:fldChar w:fldCharType="separate"/>
      </w:r>
      <w:r>
        <w:rPr>
          <w:rFonts w:hint="default" w:ascii="黑体" w:hAnsi="黑体" w:eastAsia="黑体" w:cs="黑体"/>
          <w:bCs/>
          <w:i w:val="0"/>
          <w:spacing w:val="-12"/>
          <w:szCs w:val="32"/>
        </w:rPr>
        <w:t xml:space="preserve">2. </w:t>
      </w:r>
      <w:r>
        <w:rPr>
          <w:rFonts w:hint="eastAsia"/>
          <w:highlight w:val="none"/>
        </w:rPr>
        <w:t>项目内容</w:t>
      </w:r>
      <w:r>
        <w:tab/>
      </w:r>
      <w:r>
        <w:fldChar w:fldCharType="begin"/>
      </w:r>
      <w:r>
        <w:instrText xml:space="preserve"> PAGEREF _Toc21505 \h </w:instrText>
      </w:r>
      <w:r>
        <w:fldChar w:fldCharType="separate"/>
      </w:r>
      <w:r>
        <w:t>3</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_Toc30783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rPr>
        <w:t xml:space="preserve">2.1. </w:t>
      </w:r>
      <w:r>
        <w:rPr>
          <w:rFonts w:hint="eastAsia"/>
          <w:highlight w:val="none"/>
        </w:rPr>
        <w:t>项目背景</w:t>
      </w:r>
      <w:r>
        <w:tab/>
      </w:r>
      <w:r>
        <w:fldChar w:fldCharType="begin"/>
      </w:r>
      <w:r>
        <w:instrText xml:space="preserve"> PAGEREF _Toc30783 \h </w:instrText>
      </w:r>
      <w:r>
        <w:fldChar w:fldCharType="separate"/>
      </w:r>
      <w:r>
        <w:t>3</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_Toc27528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rPr>
        <w:t xml:space="preserve">2.2. </w:t>
      </w:r>
      <w:r>
        <w:rPr>
          <w:rFonts w:hint="eastAsia"/>
          <w:highlight w:val="none"/>
        </w:rPr>
        <w:t>项目目标</w:t>
      </w:r>
      <w:r>
        <w:tab/>
      </w:r>
      <w:r>
        <w:fldChar w:fldCharType="begin"/>
      </w:r>
      <w:r>
        <w:instrText xml:space="preserve"> PAGEREF _Toc27528 \h </w:instrText>
      </w:r>
      <w:r>
        <w:fldChar w:fldCharType="separate"/>
      </w:r>
      <w:r>
        <w:t>3</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_Toc5075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rPr>
        <w:t xml:space="preserve">2.3. </w:t>
      </w:r>
      <w:r>
        <w:rPr>
          <w:rFonts w:hint="eastAsia"/>
          <w:highlight w:val="none"/>
          <w:lang w:eastAsia="zh-CN"/>
        </w:rPr>
        <w:t>应</w:t>
      </w:r>
      <w:r>
        <w:rPr>
          <w:rFonts w:hint="eastAsia"/>
          <w:highlight w:val="none"/>
        </w:rPr>
        <w:t>遵循</w:t>
      </w:r>
      <w:r>
        <w:rPr>
          <w:rFonts w:hint="eastAsia"/>
          <w:highlight w:val="none"/>
          <w:lang w:eastAsia="zh-CN"/>
        </w:rPr>
        <w:t>的</w:t>
      </w:r>
      <w:r>
        <w:rPr>
          <w:rFonts w:hint="eastAsia"/>
          <w:highlight w:val="none"/>
        </w:rPr>
        <w:t>标准</w:t>
      </w:r>
      <w:r>
        <w:tab/>
      </w:r>
      <w:r>
        <w:fldChar w:fldCharType="begin"/>
      </w:r>
      <w:r>
        <w:instrText xml:space="preserve"> PAGEREF _Toc5075 \h </w:instrText>
      </w:r>
      <w:r>
        <w:fldChar w:fldCharType="separate"/>
      </w:r>
      <w:r>
        <w:t>3</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_Toc28141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rPr>
        <w:t xml:space="preserve">2.4. </w:t>
      </w:r>
      <w:r>
        <w:rPr>
          <w:rFonts w:hint="eastAsia"/>
          <w:highlight w:val="none"/>
        </w:rPr>
        <w:t>项目内容</w:t>
      </w:r>
      <w:r>
        <w:tab/>
      </w:r>
      <w:r>
        <w:fldChar w:fldCharType="begin"/>
      </w:r>
      <w:r>
        <w:instrText xml:space="preserve"> PAGEREF _Toc28141 \h </w:instrText>
      </w:r>
      <w:r>
        <w:fldChar w:fldCharType="separate"/>
      </w:r>
      <w:r>
        <w:t>4</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_Toc6754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lang w:val="en-US" w:eastAsia="zh-CN"/>
        </w:rPr>
        <w:t xml:space="preserve">2.5. </w:t>
      </w:r>
      <w:r>
        <w:rPr>
          <w:rFonts w:hint="eastAsia"/>
          <w:highlight w:val="none"/>
          <w:lang w:val="en-US" w:eastAsia="zh-CN"/>
        </w:rPr>
        <w:t>项目总体要求</w:t>
      </w:r>
      <w:r>
        <w:tab/>
      </w:r>
      <w:r>
        <w:fldChar w:fldCharType="begin"/>
      </w:r>
      <w:r>
        <w:instrText xml:space="preserve"> PAGEREF _Toc6754 \h </w:instrText>
      </w:r>
      <w:r>
        <w:fldChar w:fldCharType="separate"/>
      </w:r>
      <w:r>
        <w:t>5</w:t>
      </w:r>
      <w:r>
        <w:fldChar w:fldCharType="end"/>
      </w:r>
      <w:r>
        <w:rPr>
          <w:rFonts w:hint="eastAsia" w:ascii="宋体" w:hAnsi="宋体" w:eastAsia="宋体" w:cs="宋体"/>
          <w:bCs w:val="0"/>
          <w:caps w:val="0"/>
          <w:szCs w:val="24"/>
          <w:highlight w:val="none"/>
        </w:rPr>
        <w:fldChar w:fldCharType="end"/>
      </w:r>
    </w:p>
    <w:p>
      <w:pPr>
        <w:pStyle w:val="18"/>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_Toc2470 </w:instrText>
      </w:r>
      <w:r>
        <w:rPr>
          <w:rFonts w:hint="eastAsia" w:ascii="宋体" w:hAnsi="宋体" w:eastAsia="宋体" w:cs="宋体"/>
          <w:bCs w:val="0"/>
          <w:caps w:val="0"/>
          <w:szCs w:val="24"/>
          <w:highlight w:val="none"/>
        </w:rPr>
        <w:fldChar w:fldCharType="separate"/>
      </w:r>
      <w:r>
        <w:rPr>
          <w:rFonts w:hint="default" w:ascii="Times New Roman" w:hAnsi="Times New Roman" w:cs="Times New Roman"/>
          <w:bCs/>
          <w:lang w:val="en-US" w:eastAsia="zh-CN"/>
        </w:rPr>
        <w:t xml:space="preserve">2.5.1. </w:t>
      </w:r>
      <w:r>
        <w:rPr>
          <w:rFonts w:hint="eastAsia" w:cs="Times New Roman"/>
          <w:bCs/>
          <w:highlight w:val="none"/>
          <w:lang w:val="en-US" w:eastAsia="zh-CN"/>
        </w:rPr>
        <w:t>专线传输通道关键技术指标</w:t>
      </w:r>
      <w:r>
        <w:tab/>
      </w:r>
      <w:r>
        <w:fldChar w:fldCharType="begin"/>
      </w:r>
      <w:r>
        <w:instrText xml:space="preserve"> PAGEREF _Toc2470 \h </w:instrText>
      </w:r>
      <w:r>
        <w:fldChar w:fldCharType="separate"/>
      </w:r>
      <w:r>
        <w:t>5</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_Toc12066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rPr>
        <w:t xml:space="preserve">2.6. </w:t>
      </w:r>
      <w:r>
        <w:rPr>
          <w:rFonts w:hint="eastAsia"/>
          <w:highlight w:val="none"/>
        </w:rPr>
        <w:t>项目</w:t>
      </w:r>
      <w:r>
        <w:rPr>
          <w:rFonts w:hint="eastAsia"/>
          <w:highlight w:val="none"/>
          <w:lang w:eastAsia="zh-CN"/>
        </w:rPr>
        <w:t>人员</w:t>
      </w:r>
      <w:r>
        <w:rPr>
          <w:rFonts w:hint="eastAsia"/>
          <w:highlight w:val="none"/>
        </w:rPr>
        <w:t>要求</w:t>
      </w:r>
      <w:r>
        <w:tab/>
      </w:r>
      <w:r>
        <w:fldChar w:fldCharType="begin"/>
      </w:r>
      <w:r>
        <w:instrText xml:space="preserve"> PAGEREF _Toc12066 \h </w:instrText>
      </w:r>
      <w:r>
        <w:fldChar w:fldCharType="separate"/>
      </w:r>
      <w:r>
        <w:t>5</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_Toc12613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lang w:val="en-US"/>
        </w:rPr>
        <w:t xml:space="preserve">2.7. </w:t>
      </w:r>
      <w:r>
        <w:rPr>
          <w:rFonts w:hint="eastAsia"/>
          <w:highlight w:val="none"/>
        </w:rPr>
        <w:t>项目进度要求</w:t>
      </w:r>
      <w:r>
        <w:tab/>
      </w:r>
      <w:r>
        <w:fldChar w:fldCharType="begin"/>
      </w:r>
      <w:r>
        <w:instrText xml:space="preserve"> PAGEREF _Toc12613 \h </w:instrText>
      </w:r>
      <w:r>
        <w:fldChar w:fldCharType="separate"/>
      </w:r>
      <w:r>
        <w:t>6</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_Toc11719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lang w:eastAsia="zh-CN"/>
        </w:rPr>
        <w:t xml:space="preserve">2.8. </w:t>
      </w:r>
      <w:r>
        <w:rPr>
          <w:rFonts w:hint="eastAsia" w:hAnsi="Arial"/>
          <w:highlight w:val="none"/>
          <w:lang w:eastAsia="zh-CN"/>
        </w:rPr>
        <w:t>项目售后要求</w:t>
      </w:r>
      <w:r>
        <w:tab/>
      </w:r>
      <w:r>
        <w:fldChar w:fldCharType="begin"/>
      </w:r>
      <w:r>
        <w:instrText xml:space="preserve"> PAGEREF _Toc11719 \h </w:instrText>
      </w:r>
      <w:r>
        <w:fldChar w:fldCharType="separate"/>
      </w:r>
      <w:r>
        <w:t>6</w:t>
      </w:r>
      <w:r>
        <w:fldChar w:fldCharType="end"/>
      </w:r>
      <w:r>
        <w:rPr>
          <w:rFonts w:hint="eastAsia" w:ascii="宋体" w:hAnsi="宋体" w:eastAsia="宋体" w:cs="宋体"/>
          <w:bCs w:val="0"/>
          <w:caps w:val="0"/>
          <w:szCs w:val="24"/>
          <w:highlight w:val="none"/>
        </w:rPr>
        <w:fldChar w:fldCharType="end"/>
      </w:r>
    </w:p>
    <w:p>
      <w:pPr>
        <w:pStyle w:val="18"/>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_Toc24430 </w:instrText>
      </w:r>
      <w:r>
        <w:rPr>
          <w:rFonts w:hint="eastAsia" w:ascii="宋体" w:hAnsi="宋体" w:eastAsia="宋体" w:cs="宋体"/>
          <w:bCs w:val="0"/>
          <w:caps w:val="0"/>
          <w:szCs w:val="24"/>
          <w:highlight w:val="none"/>
        </w:rPr>
        <w:fldChar w:fldCharType="separate"/>
      </w:r>
      <w:r>
        <w:rPr>
          <w:rFonts w:hint="default" w:ascii="Times New Roman" w:hAnsi="Times New Roman" w:cs="Times New Roman"/>
          <w:lang w:eastAsia="zh-CN"/>
        </w:rPr>
        <w:t xml:space="preserve">2.8.1. </w:t>
      </w:r>
      <w:r>
        <w:rPr>
          <w:rFonts w:hint="eastAsia"/>
          <w:highlight w:val="none"/>
          <w:lang w:eastAsia="zh-CN"/>
        </w:rPr>
        <w:t>项目管理</w:t>
      </w:r>
      <w:r>
        <w:tab/>
      </w:r>
      <w:r>
        <w:fldChar w:fldCharType="begin"/>
      </w:r>
      <w:r>
        <w:instrText xml:space="preserve"> PAGEREF _Toc24430 \h </w:instrText>
      </w:r>
      <w:r>
        <w:fldChar w:fldCharType="separate"/>
      </w:r>
      <w:r>
        <w:t>6</w:t>
      </w:r>
      <w:r>
        <w:fldChar w:fldCharType="end"/>
      </w:r>
      <w:r>
        <w:rPr>
          <w:rFonts w:hint="eastAsia" w:ascii="宋体" w:hAnsi="宋体" w:eastAsia="宋体" w:cs="宋体"/>
          <w:bCs w:val="0"/>
          <w:caps w:val="0"/>
          <w:szCs w:val="24"/>
          <w:highlight w:val="none"/>
        </w:rPr>
        <w:fldChar w:fldCharType="end"/>
      </w:r>
    </w:p>
    <w:p>
      <w:pPr>
        <w:pStyle w:val="18"/>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_Toc1311 </w:instrText>
      </w:r>
      <w:r>
        <w:rPr>
          <w:rFonts w:hint="eastAsia" w:ascii="宋体" w:hAnsi="宋体" w:eastAsia="宋体" w:cs="宋体"/>
          <w:bCs w:val="0"/>
          <w:caps w:val="0"/>
          <w:szCs w:val="24"/>
          <w:highlight w:val="none"/>
        </w:rPr>
        <w:fldChar w:fldCharType="separate"/>
      </w:r>
      <w:r>
        <w:rPr>
          <w:rFonts w:hint="default" w:ascii="Times New Roman" w:hAnsi="Times New Roman" w:cs="Times New Roman"/>
          <w:lang w:eastAsia="zh-CN"/>
        </w:rPr>
        <w:t xml:space="preserve">2.8.2. </w:t>
      </w:r>
      <w:r>
        <w:rPr>
          <w:rFonts w:hint="eastAsia"/>
          <w:highlight w:val="none"/>
          <w:lang w:eastAsia="zh-CN"/>
        </w:rPr>
        <w:t>现场服务</w:t>
      </w:r>
      <w:r>
        <w:tab/>
      </w:r>
      <w:r>
        <w:fldChar w:fldCharType="begin"/>
      </w:r>
      <w:r>
        <w:instrText xml:space="preserve"> PAGEREF _Toc1311 \h </w:instrText>
      </w:r>
      <w:r>
        <w:fldChar w:fldCharType="separate"/>
      </w:r>
      <w:r>
        <w:t>6</w:t>
      </w:r>
      <w:r>
        <w:fldChar w:fldCharType="end"/>
      </w:r>
      <w:r>
        <w:rPr>
          <w:rFonts w:hint="eastAsia" w:ascii="宋体" w:hAnsi="宋体" w:eastAsia="宋体" w:cs="宋体"/>
          <w:bCs w:val="0"/>
          <w:caps w:val="0"/>
          <w:szCs w:val="24"/>
          <w:highlight w:val="none"/>
        </w:rPr>
        <w:fldChar w:fldCharType="end"/>
      </w:r>
    </w:p>
    <w:p>
      <w:pPr>
        <w:pStyle w:val="18"/>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_Toc5006 </w:instrText>
      </w:r>
      <w:r>
        <w:rPr>
          <w:rFonts w:hint="eastAsia" w:ascii="宋体" w:hAnsi="宋体" w:eastAsia="宋体" w:cs="宋体"/>
          <w:bCs w:val="0"/>
          <w:caps w:val="0"/>
          <w:szCs w:val="24"/>
          <w:highlight w:val="none"/>
        </w:rPr>
        <w:fldChar w:fldCharType="separate"/>
      </w:r>
      <w:r>
        <w:rPr>
          <w:rFonts w:hint="default" w:ascii="Times New Roman" w:hAnsi="Times New Roman" w:cs="Times New Roman"/>
          <w:lang w:val="en-US" w:eastAsia="zh-CN"/>
        </w:rPr>
        <w:t xml:space="preserve">2.8.3. </w:t>
      </w:r>
      <w:r>
        <w:rPr>
          <w:rFonts w:hint="eastAsia"/>
          <w:highlight w:val="none"/>
          <w:lang w:val="en-US" w:eastAsia="zh-CN"/>
        </w:rPr>
        <w:t>资料管理</w:t>
      </w:r>
      <w:r>
        <w:tab/>
      </w:r>
      <w:r>
        <w:fldChar w:fldCharType="begin"/>
      </w:r>
      <w:r>
        <w:instrText xml:space="preserve"> PAGEREF _Toc5006 \h </w:instrText>
      </w:r>
      <w:r>
        <w:fldChar w:fldCharType="separate"/>
      </w:r>
      <w:r>
        <w:t>7</w:t>
      </w:r>
      <w:r>
        <w:fldChar w:fldCharType="end"/>
      </w:r>
      <w:r>
        <w:rPr>
          <w:rFonts w:hint="eastAsia" w:ascii="宋体" w:hAnsi="宋体" w:eastAsia="宋体" w:cs="宋体"/>
          <w:bCs w:val="0"/>
          <w:caps w:val="0"/>
          <w:szCs w:val="24"/>
          <w:highlight w:val="none"/>
        </w:rPr>
        <w:fldChar w:fldCharType="end"/>
      </w:r>
    </w:p>
    <w:p>
      <w:pPr>
        <w:pStyle w:val="18"/>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_Toc7024 </w:instrText>
      </w:r>
      <w:r>
        <w:rPr>
          <w:rFonts w:hint="eastAsia" w:ascii="宋体" w:hAnsi="宋体" w:eastAsia="宋体" w:cs="宋体"/>
          <w:bCs w:val="0"/>
          <w:caps w:val="0"/>
          <w:szCs w:val="24"/>
          <w:highlight w:val="none"/>
        </w:rPr>
        <w:fldChar w:fldCharType="separate"/>
      </w:r>
      <w:r>
        <w:rPr>
          <w:rFonts w:hint="default" w:ascii="Times New Roman" w:hAnsi="Times New Roman" w:cs="Times New Roman"/>
          <w:lang w:val="en-US" w:eastAsia="zh-CN"/>
        </w:rPr>
        <w:t xml:space="preserve">2.8.4. </w:t>
      </w:r>
      <w:r>
        <w:rPr>
          <w:rFonts w:hint="eastAsia"/>
          <w:highlight w:val="none"/>
          <w:lang w:val="en-US" w:eastAsia="zh-CN"/>
        </w:rPr>
        <w:t>项目服务期</w:t>
      </w:r>
      <w:r>
        <w:tab/>
      </w:r>
      <w:r>
        <w:fldChar w:fldCharType="begin"/>
      </w:r>
      <w:r>
        <w:instrText xml:space="preserve"> PAGEREF _Toc7024 \h </w:instrText>
      </w:r>
      <w:r>
        <w:fldChar w:fldCharType="separate"/>
      </w:r>
      <w:r>
        <w:t>7</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_Toc5423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rPr>
        <w:t xml:space="preserve">2.9. </w:t>
      </w:r>
      <w:r>
        <w:rPr>
          <w:rFonts w:hint="eastAsia"/>
          <w:highlight w:val="none"/>
        </w:rPr>
        <w:t>质量要求</w:t>
      </w:r>
      <w:r>
        <w:tab/>
      </w:r>
      <w:r>
        <w:fldChar w:fldCharType="begin"/>
      </w:r>
      <w:r>
        <w:instrText xml:space="preserve"> PAGEREF _Toc5423 \h </w:instrText>
      </w:r>
      <w:r>
        <w:fldChar w:fldCharType="separate"/>
      </w:r>
      <w:r>
        <w:t>7</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_Toc13038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rPr>
        <w:t xml:space="preserve">2.10. </w:t>
      </w:r>
      <w:r>
        <w:rPr>
          <w:rFonts w:hint="eastAsia"/>
          <w:highlight w:val="none"/>
        </w:rPr>
        <w:t>项目交付成果</w:t>
      </w:r>
      <w:r>
        <w:tab/>
      </w:r>
      <w:r>
        <w:fldChar w:fldCharType="begin"/>
      </w:r>
      <w:r>
        <w:instrText xml:space="preserve"> PAGEREF _Toc13038 \h </w:instrText>
      </w:r>
      <w:r>
        <w:fldChar w:fldCharType="separate"/>
      </w:r>
      <w:r>
        <w:t>8</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_Toc15143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lang w:val="en-US" w:eastAsia="zh-CN"/>
        </w:rPr>
        <w:t xml:space="preserve">2.11. </w:t>
      </w:r>
      <w:r>
        <w:rPr>
          <w:rFonts w:hint="eastAsia" w:hAnsi="Arial"/>
          <w:highlight w:val="none"/>
          <w:lang w:val="en-US" w:eastAsia="zh-CN"/>
        </w:rPr>
        <w:t>安全保密要求</w:t>
      </w:r>
      <w:r>
        <w:tab/>
      </w:r>
      <w:r>
        <w:fldChar w:fldCharType="begin"/>
      </w:r>
      <w:r>
        <w:instrText xml:space="preserve"> PAGEREF _Toc15143 \h </w:instrText>
      </w:r>
      <w:r>
        <w:fldChar w:fldCharType="separate"/>
      </w:r>
      <w:r>
        <w:t>8</w:t>
      </w:r>
      <w:r>
        <w:fldChar w:fldCharType="end"/>
      </w:r>
      <w:r>
        <w:rPr>
          <w:rFonts w:hint="eastAsia" w:ascii="宋体" w:hAnsi="宋体" w:eastAsia="宋体" w:cs="宋体"/>
          <w:bCs w:val="0"/>
          <w:caps w:val="0"/>
          <w:szCs w:val="24"/>
          <w:highlight w:val="none"/>
        </w:rPr>
        <w:fldChar w:fldCharType="end"/>
      </w:r>
    </w:p>
    <w:p>
      <w:pPr>
        <w:pStyle w:val="27"/>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pPr>
      <w:r>
        <w:rPr>
          <w:rFonts w:hint="eastAsia" w:ascii="宋体" w:hAnsi="宋体" w:eastAsia="宋体" w:cs="宋体"/>
          <w:bCs w:val="0"/>
          <w:caps w:val="0"/>
          <w:szCs w:val="24"/>
          <w:highlight w:val="none"/>
        </w:rPr>
        <w:fldChar w:fldCharType="begin"/>
      </w:r>
      <w:r>
        <w:rPr>
          <w:rFonts w:hint="eastAsia" w:ascii="宋体" w:hAnsi="宋体" w:eastAsia="宋体" w:cs="宋体"/>
          <w:bCs w:val="0"/>
          <w:caps w:val="0"/>
          <w:szCs w:val="24"/>
          <w:highlight w:val="none"/>
        </w:rPr>
        <w:instrText xml:space="preserve"> HYPERLINK \l _Toc14026 </w:instrText>
      </w:r>
      <w:r>
        <w:rPr>
          <w:rFonts w:hint="eastAsia" w:ascii="宋体" w:hAnsi="宋体" w:eastAsia="宋体" w:cs="宋体"/>
          <w:bCs w:val="0"/>
          <w:caps w:val="0"/>
          <w:szCs w:val="24"/>
          <w:highlight w:val="none"/>
        </w:rPr>
        <w:fldChar w:fldCharType="separate"/>
      </w:r>
      <w:r>
        <w:rPr>
          <w:rFonts w:hint="default" w:ascii="Times New Roman" w:hAnsi="Times New Roman" w:eastAsia="宋体"/>
          <w:szCs w:val="24"/>
          <w:lang w:val="en-US" w:eastAsia="zh-CN"/>
        </w:rPr>
        <w:t xml:space="preserve">2.12. </w:t>
      </w:r>
      <w:r>
        <w:rPr>
          <w:rFonts w:hint="eastAsia" w:hAnsi="Arial"/>
          <w:highlight w:val="none"/>
          <w:lang w:val="en-US" w:eastAsia="zh-CN"/>
        </w:rPr>
        <w:t>项目验收要求</w:t>
      </w:r>
      <w:r>
        <w:tab/>
      </w:r>
      <w:r>
        <w:fldChar w:fldCharType="begin"/>
      </w:r>
      <w:r>
        <w:instrText xml:space="preserve"> PAGEREF _Toc14026 \h </w:instrText>
      </w:r>
      <w:r>
        <w:fldChar w:fldCharType="separate"/>
      </w:r>
      <w:r>
        <w:t>8</w:t>
      </w:r>
      <w:r>
        <w:fldChar w:fldCharType="end"/>
      </w:r>
      <w:r>
        <w:rPr>
          <w:rFonts w:hint="eastAsia" w:ascii="宋体" w:hAnsi="宋体" w:eastAsia="宋体" w:cs="宋体"/>
          <w:bCs w:val="0"/>
          <w:caps w:val="0"/>
          <w:szCs w:val="24"/>
          <w:highlight w:val="none"/>
        </w:rPr>
        <w:fldChar w:fldCharType="end"/>
      </w:r>
    </w:p>
    <w:p>
      <w:pPr>
        <w:pStyle w:val="56"/>
        <w:keepNext w:val="0"/>
        <w:keepLines w:val="0"/>
        <w:pageBreakBefore w:val="0"/>
        <w:widowControl w:val="0"/>
        <w:tabs>
          <w:tab w:val="left" w:pos="420"/>
          <w:tab w:val="right" w:leader="dot" w:pos="8302"/>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bCs w:val="0"/>
          <w:caps w:val="0"/>
          <w:szCs w:val="24"/>
          <w:highlight w:val="none"/>
        </w:rPr>
        <w:fldChar w:fldCharType="end"/>
      </w:r>
    </w:p>
    <w:p>
      <w:pPr>
        <w:spacing w:line="360" w:lineRule="auto"/>
        <w:rPr>
          <w:rFonts w:ascii="仿宋" w:hAnsi="仿宋" w:eastAsia="仿宋_GB2312"/>
          <w:sz w:val="24"/>
          <w:highlight w:val="none"/>
        </w:rPr>
      </w:pPr>
    </w:p>
    <w:p>
      <w:pPr>
        <w:spacing w:line="360" w:lineRule="auto"/>
        <w:rPr>
          <w:rFonts w:ascii="仿宋" w:hAnsi="仿宋" w:eastAsia="仿宋_GB2312"/>
          <w:sz w:val="24"/>
          <w:highlight w:val="none"/>
        </w:rPr>
      </w:pPr>
    </w:p>
    <w:p>
      <w:pPr>
        <w:spacing w:line="360" w:lineRule="auto"/>
        <w:rPr>
          <w:rFonts w:ascii="仿宋" w:hAnsi="仿宋" w:eastAsia="仿宋_GB2312"/>
          <w:sz w:val="24"/>
          <w:highlight w:val="none"/>
        </w:rPr>
        <w:sectPr>
          <w:headerReference r:id="rId3" w:type="default"/>
          <w:footerReference r:id="rId4" w:type="default"/>
          <w:pgSz w:w="11906" w:h="16838"/>
          <w:pgMar w:top="1440" w:right="1797" w:bottom="1440" w:left="1797" w:header="851" w:footer="992" w:gutter="0"/>
          <w:pgNumType w:fmt="lowerRoman" w:start="1"/>
          <w:cols w:space="720" w:num="1"/>
          <w:docGrid w:type="lines" w:linePitch="312" w:charSpace="0"/>
        </w:sectPr>
      </w:pPr>
    </w:p>
    <w:p>
      <w:pPr>
        <w:pStyle w:val="4"/>
        <w:rPr>
          <w:rFonts w:hint="eastAsia" w:ascii="黑体" w:hAnsi="黑体" w:cs="黑体"/>
          <w:highlight w:val="none"/>
        </w:rPr>
      </w:pPr>
      <w:bookmarkStart w:id="6" w:name="_Toc192340307"/>
      <w:bookmarkEnd w:id="6"/>
      <w:bookmarkStart w:id="7" w:name="_Toc192340308"/>
      <w:bookmarkEnd w:id="7"/>
      <w:bookmarkStart w:id="8" w:name="_Toc198288426"/>
      <w:bookmarkStart w:id="9" w:name="_Toc23442"/>
      <w:bookmarkStart w:id="10" w:name="_Toc147371417"/>
      <w:r>
        <w:rPr>
          <w:rFonts w:hint="eastAsia" w:ascii="黑体" w:hAnsi="黑体" w:cs="黑体"/>
          <w:highlight w:val="none"/>
        </w:rPr>
        <w:t>总则</w:t>
      </w:r>
      <w:bookmarkEnd w:id="8"/>
      <w:bookmarkEnd w:id="9"/>
    </w:p>
    <w:p>
      <w:pPr>
        <w:pStyle w:val="5"/>
        <w:rPr>
          <w:highlight w:val="none"/>
        </w:rPr>
      </w:pPr>
      <w:bookmarkStart w:id="11" w:name="_Toc270544309"/>
      <w:bookmarkStart w:id="12" w:name="_Toc296516184"/>
      <w:bookmarkStart w:id="13" w:name="_Toc663"/>
      <w:r>
        <w:rPr>
          <w:rFonts w:hint="eastAsia"/>
          <w:highlight w:val="none"/>
        </w:rPr>
        <w:t>概述</w:t>
      </w:r>
      <w:bookmarkEnd w:id="11"/>
      <w:bookmarkEnd w:id="12"/>
      <w:bookmarkEnd w:id="13"/>
    </w:p>
    <w:p>
      <w:pPr>
        <w:pStyle w:val="13"/>
        <w:numPr>
          <w:ilvl w:val="0"/>
          <w:numId w:val="6"/>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本文件适用于</w:t>
      </w:r>
      <w:r>
        <w:rPr>
          <w:rFonts w:hint="eastAsia" w:ascii="仿宋_GB2312" w:hAnsi="仿宋_GB2312" w:eastAsia="仿宋_GB2312" w:cs="仿宋_GB2312"/>
          <w:sz w:val="28"/>
          <w:szCs w:val="28"/>
          <w:highlight w:val="none"/>
          <w:lang w:val="en-US" w:eastAsia="zh-CN"/>
        </w:rPr>
        <w:t>南方电网用户生态运营有限责任公司</w:t>
      </w:r>
      <w:r>
        <w:rPr>
          <w:rFonts w:hint="eastAsia" w:ascii="仿宋_GB2312" w:hAnsi="仿宋_GB2312" w:eastAsia="仿宋_GB2312" w:cs="仿宋_GB2312"/>
          <w:sz w:val="28"/>
          <w:szCs w:val="28"/>
          <w:highlight w:val="none"/>
        </w:rPr>
        <w:t>（以下简称</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招标人</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val="en-US" w:eastAsia="zh-CN"/>
        </w:rPr>
        <w:t>南网用户生态运营公司2026年研发专线运维服务项目</w:t>
      </w:r>
      <w:r>
        <w:rPr>
          <w:rFonts w:hint="eastAsia" w:ascii="仿宋_GB2312" w:hAnsi="仿宋_GB2312" w:eastAsia="仿宋_GB2312" w:cs="仿宋_GB2312"/>
          <w:sz w:val="28"/>
          <w:szCs w:val="28"/>
          <w:highlight w:val="none"/>
        </w:rPr>
        <w:t>，本文件的最终解释权归</w:t>
      </w:r>
      <w:r>
        <w:rPr>
          <w:rFonts w:hint="eastAsia" w:ascii="仿宋_GB2312" w:hAnsi="仿宋_GB2312" w:eastAsia="仿宋_GB2312" w:cs="仿宋_GB2312"/>
          <w:sz w:val="28"/>
          <w:szCs w:val="28"/>
          <w:highlight w:val="none"/>
          <w:lang w:val="en-US" w:eastAsia="zh-CN"/>
        </w:rPr>
        <w:t>南方电网用户生态运营有限责任公司</w:t>
      </w:r>
      <w:r>
        <w:rPr>
          <w:rFonts w:hint="eastAsia" w:ascii="仿宋_GB2312" w:hAnsi="仿宋_GB2312" w:eastAsia="仿宋_GB2312" w:cs="仿宋_GB2312"/>
          <w:sz w:val="28"/>
          <w:szCs w:val="28"/>
          <w:highlight w:val="none"/>
        </w:rPr>
        <w:t>。</w:t>
      </w:r>
    </w:p>
    <w:p>
      <w:pPr>
        <w:pStyle w:val="13"/>
        <w:numPr>
          <w:ilvl w:val="0"/>
          <w:numId w:val="6"/>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投标人可以就招标人认为的遗漏项目提请招标人注意，并详细说明理由。招标人将就此进行澄清。</w:t>
      </w:r>
    </w:p>
    <w:p>
      <w:pPr>
        <w:pStyle w:val="13"/>
        <w:numPr>
          <w:ilvl w:val="0"/>
          <w:numId w:val="6"/>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投标人应保证所提供的所有资料真实、完整、准确无误，否则招标人将有权取消投标人的投标资格，由此产生的一切后果由投标人承担。</w:t>
      </w:r>
    </w:p>
    <w:p>
      <w:pPr>
        <w:pStyle w:val="13"/>
        <w:numPr>
          <w:ilvl w:val="0"/>
          <w:numId w:val="6"/>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应按照本技术规范书的要求提供详细、完整的技术方案。所提供的技术方案应完全满足或高于本技术规范书的要求，对于本技术规范书中的条款，投标人如不能满足要求，或有其它替代方案，或有其它修改建议，应在技术方案以及技术差异表中指出其必须进行修改的理由以及与原要求的差别。对于本技术规范书未规定的有关系统性能和功能，投标人应提出补充要求或建议，并陈述其理由。</w:t>
      </w:r>
    </w:p>
    <w:p>
      <w:pPr>
        <w:pStyle w:val="13"/>
        <w:numPr>
          <w:ilvl w:val="0"/>
          <w:numId w:val="6"/>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招标人在任何时候保留和拥有对本技术规范书的解释权。投标方未经招标方同意，不得以任何形式向第三方公开本技术规范书。</w:t>
      </w:r>
    </w:p>
    <w:p>
      <w:pPr>
        <w:pStyle w:val="13"/>
        <w:numPr>
          <w:ilvl w:val="0"/>
          <w:numId w:val="6"/>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技术规范书中凡标有“★”的地方均为实质性响应条款，投标人若有一项带“★”的条款未响应或不满足，将按无效投标处理</w:t>
      </w:r>
    </w:p>
    <w:p>
      <w:pPr>
        <w:pStyle w:val="13"/>
        <w:numPr>
          <w:ilvl w:val="0"/>
          <w:numId w:val="6"/>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本技术规范书解释权属招标方所有。</w:t>
      </w:r>
    </w:p>
    <w:p>
      <w:pPr>
        <w:pStyle w:val="5"/>
        <w:rPr>
          <w:highlight w:val="none"/>
        </w:rPr>
      </w:pPr>
      <w:bookmarkStart w:id="14" w:name="_Toc285723380"/>
      <w:bookmarkStart w:id="15" w:name="_Toc113682936"/>
      <w:bookmarkStart w:id="16" w:name="_Toc288466921"/>
      <w:bookmarkStart w:id="17" w:name="_Toc10520"/>
      <w:bookmarkStart w:id="18" w:name="_Toc105396785"/>
      <w:bookmarkStart w:id="19" w:name="_Toc296516186"/>
      <w:bookmarkStart w:id="20" w:name="_Toc286929894"/>
      <w:bookmarkStart w:id="21" w:name="_Toc270544311"/>
      <w:r>
        <w:rPr>
          <w:rFonts w:hint="eastAsia"/>
          <w:highlight w:val="none"/>
        </w:rPr>
        <w:t>对投标技术文件的要</w:t>
      </w:r>
      <w:bookmarkEnd w:id="14"/>
      <w:r>
        <w:rPr>
          <w:rFonts w:hint="eastAsia"/>
          <w:highlight w:val="none"/>
        </w:rPr>
        <w:t>求</w:t>
      </w:r>
      <w:bookmarkEnd w:id="15"/>
      <w:bookmarkEnd w:id="16"/>
      <w:bookmarkEnd w:id="17"/>
      <w:bookmarkEnd w:id="18"/>
      <w:bookmarkEnd w:id="19"/>
      <w:bookmarkEnd w:id="20"/>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投标技术文件必须包括但不限于以下内容：</w:t>
      </w:r>
    </w:p>
    <w:p>
      <w:pPr>
        <w:numPr>
          <w:ilvl w:val="0"/>
          <w:numId w:val="7"/>
        </w:numPr>
        <w:spacing w:line="360" w:lineRule="auto"/>
        <w:ind w:firstLine="560" w:firstLineChars="200"/>
        <w:rPr>
          <w:rFonts w:hint="eastAsia" w:ascii="仿宋_GB2312" w:hAnsi="仿宋_GB2312" w:eastAsia="仿宋_GB2312" w:cs="仿宋_GB2312"/>
          <w:i w:val="0"/>
          <w:iCs w:val="0"/>
          <w:sz w:val="28"/>
          <w:szCs w:val="28"/>
          <w:highlight w:val="none"/>
        </w:rPr>
      </w:pPr>
      <w:r>
        <w:rPr>
          <w:rFonts w:hint="eastAsia" w:ascii="仿宋_GB2312" w:hAnsi="仿宋_GB2312" w:eastAsia="仿宋_GB2312" w:cs="仿宋_GB2312"/>
          <w:i w:val="0"/>
          <w:iCs w:val="0"/>
          <w:sz w:val="28"/>
          <w:szCs w:val="28"/>
          <w:highlight w:val="none"/>
          <w:lang w:val="en-US" w:eastAsia="zh-CN"/>
        </w:rPr>
        <w:t>专线传输通道组网服务方案</w:t>
      </w:r>
    </w:p>
    <w:p>
      <w:pPr>
        <w:numPr>
          <w:ilvl w:val="0"/>
          <w:numId w:val="7"/>
        </w:numPr>
        <w:spacing w:line="360" w:lineRule="auto"/>
        <w:ind w:firstLine="560" w:firstLineChars="200"/>
        <w:rPr>
          <w:rFonts w:hint="eastAsia" w:ascii="仿宋_GB2312" w:hAnsi="仿宋_GB2312" w:eastAsia="仿宋_GB2312" w:cs="仿宋_GB2312"/>
          <w:i w:val="0"/>
          <w:iCs w:val="0"/>
          <w:sz w:val="28"/>
          <w:szCs w:val="28"/>
          <w:highlight w:val="none"/>
        </w:rPr>
      </w:pPr>
      <w:r>
        <w:rPr>
          <w:rFonts w:hint="eastAsia" w:ascii="仿宋_GB2312" w:hAnsi="仿宋_GB2312" w:eastAsia="仿宋_GB2312" w:cs="仿宋_GB2312"/>
          <w:i w:val="0"/>
          <w:iCs w:val="0"/>
          <w:sz w:val="28"/>
          <w:szCs w:val="28"/>
          <w:highlight w:val="none"/>
        </w:rPr>
        <w:t>运维服务方案</w:t>
      </w:r>
    </w:p>
    <w:p>
      <w:pPr>
        <w:numPr>
          <w:ilvl w:val="0"/>
          <w:numId w:val="7"/>
        </w:numPr>
        <w:spacing w:line="360" w:lineRule="auto"/>
        <w:ind w:firstLine="560" w:firstLineChars="200"/>
        <w:rPr>
          <w:rFonts w:hint="eastAsia" w:ascii="仿宋_GB2312" w:hAnsi="仿宋_GB2312" w:eastAsia="仿宋_GB2312" w:cs="仿宋_GB2312"/>
          <w:i w:val="0"/>
          <w:iCs w:val="0"/>
          <w:sz w:val="28"/>
          <w:szCs w:val="28"/>
          <w:highlight w:val="none"/>
        </w:rPr>
      </w:pPr>
      <w:r>
        <w:rPr>
          <w:rFonts w:hint="eastAsia" w:ascii="仿宋_GB2312" w:hAnsi="仿宋_GB2312" w:eastAsia="仿宋_GB2312" w:cs="仿宋_GB2312"/>
          <w:i w:val="0"/>
          <w:iCs w:val="0"/>
          <w:sz w:val="28"/>
          <w:szCs w:val="28"/>
          <w:highlight w:val="none"/>
        </w:rPr>
        <w:t>故障抢修服务方案</w:t>
      </w:r>
    </w:p>
    <w:p>
      <w:pPr>
        <w:numPr>
          <w:ilvl w:val="0"/>
          <w:numId w:val="7"/>
        </w:numPr>
        <w:spacing w:line="360" w:lineRule="auto"/>
        <w:ind w:firstLine="560" w:firstLineChars="200"/>
        <w:rPr>
          <w:rFonts w:hint="eastAsia" w:ascii="仿宋_GB2312" w:hAnsi="仿宋_GB2312" w:eastAsia="仿宋_GB2312" w:cs="仿宋_GB2312"/>
          <w:i w:val="0"/>
          <w:iCs w:val="0"/>
          <w:sz w:val="28"/>
          <w:szCs w:val="28"/>
          <w:highlight w:val="none"/>
        </w:rPr>
      </w:pPr>
      <w:r>
        <w:rPr>
          <w:rFonts w:hint="eastAsia" w:ascii="仿宋_GB2312" w:hAnsi="仿宋_GB2312" w:eastAsia="仿宋_GB2312" w:cs="仿宋_GB2312"/>
          <w:i w:val="0"/>
          <w:iCs w:val="0"/>
          <w:sz w:val="28"/>
          <w:szCs w:val="28"/>
          <w:highlight w:val="none"/>
        </w:rPr>
        <w:t>售后服务安排和质量保证措施</w:t>
      </w:r>
    </w:p>
    <w:p>
      <w:pPr>
        <w:pStyle w:val="2"/>
        <w:ind w:firstLine="480"/>
        <w:rPr>
          <w:highlight w:val="none"/>
        </w:rPr>
      </w:pPr>
    </w:p>
    <w:p>
      <w:pPr>
        <w:pStyle w:val="6"/>
        <w:rPr>
          <w:highlight w:val="none"/>
        </w:rPr>
      </w:pPr>
      <w:bookmarkStart w:id="22" w:name="_Toc1560"/>
      <w:r>
        <w:rPr>
          <w:rFonts w:hint="eastAsia"/>
          <w:highlight w:val="none"/>
        </w:rPr>
        <w:t>投标文件的响应</w:t>
      </w:r>
      <w:bookmarkEnd w:id="22"/>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方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pStyle w:val="2"/>
        <w:rPr>
          <w:rFonts w:hint="eastAsia"/>
          <w:highlight w:val="none"/>
        </w:rPr>
      </w:pPr>
    </w:p>
    <w:bookmarkEnd w:id="21"/>
    <w:p>
      <w:pPr>
        <w:pStyle w:val="4"/>
        <w:rPr>
          <w:highlight w:val="none"/>
        </w:rPr>
      </w:pPr>
      <w:bookmarkStart w:id="23" w:name="_Toc21505"/>
      <w:r>
        <w:rPr>
          <w:rFonts w:hint="eastAsia"/>
          <w:highlight w:val="none"/>
        </w:rPr>
        <w:t>项目内容</w:t>
      </w:r>
      <w:bookmarkEnd w:id="23"/>
    </w:p>
    <w:p>
      <w:pPr>
        <w:pStyle w:val="5"/>
        <w:rPr>
          <w:highlight w:val="none"/>
        </w:rPr>
      </w:pPr>
      <w:bookmarkStart w:id="24" w:name="_Toc30783"/>
      <w:r>
        <w:rPr>
          <w:rFonts w:hint="eastAsia"/>
          <w:highlight w:val="none"/>
        </w:rPr>
        <w:t>项目背景</w:t>
      </w:r>
      <w:bookmarkEnd w:id="24"/>
    </w:p>
    <w:p>
      <w:pPr>
        <w:pStyle w:val="5"/>
        <w:keepNext/>
        <w:keepLines/>
        <w:pageBreakBefore w:val="0"/>
        <w:widowControl w:val="0"/>
        <w:numPr>
          <w:ilvl w:val="1"/>
          <w:numId w:val="0"/>
        </w:numPr>
        <w:kinsoku/>
        <w:wordWrap/>
        <w:overflowPunct/>
        <w:topLinePunct w:val="0"/>
        <w:autoSpaceDE/>
        <w:autoSpaceDN/>
        <w:bidi w:val="0"/>
        <w:adjustRightInd/>
        <w:snapToGrid/>
        <w:ind w:leftChars="0" w:firstLine="560" w:firstLineChars="200"/>
        <w:textAlignment w:val="auto"/>
        <w:rPr>
          <w:rFonts w:hint="eastAsia" w:ascii="仿宋_GB2312" w:hAnsi="仿宋_GB2312" w:eastAsia="仿宋_GB2312" w:cs="仿宋_GB2312"/>
          <w:b w:val="0"/>
          <w:bCs w:val="0"/>
          <w:kern w:val="2"/>
          <w:sz w:val="28"/>
          <w:szCs w:val="28"/>
          <w:highlight w:val="none"/>
          <w:lang w:val="en-US" w:eastAsia="zh-CN" w:bidi="ar-SA"/>
        </w:rPr>
      </w:pPr>
      <w:bookmarkStart w:id="25" w:name="_Toc27528"/>
      <w:r>
        <w:rPr>
          <w:rFonts w:hint="eastAsia" w:ascii="仿宋_GB2312" w:hAnsi="仿宋_GB2312" w:eastAsia="仿宋_GB2312" w:cs="仿宋_GB2312"/>
          <w:b w:val="0"/>
          <w:bCs w:val="0"/>
          <w:kern w:val="2"/>
          <w:sz w:val="28"/>
          <w:szCs w:val="28"/>
          <w:highlight w:val="none"/>
          <w:lang w:val="en-US" w:eastAsia="zh-CN" w:bidi="ar-SA"/>
        </w:rPr>
        <w:t>由于南方电网用户生态运营有限责任公司办公场地无研发仿真网络环境，为保证电网数据传输安全</w:t>
      </w:r>
      <w:r>
        <w:rPr>
          <w:rFonts w:hint="eastAsia" w:cs="仿宋_GB2312"/>
          <w:b w:val="0"/>
          <w:bCs w:val="0"/>
          <w:kern w:val="2"/>
          <w:sz w:val="28"/>
          <w:szCs w:val="28"/>
          <w:highlight w:val="none"/>
          <w:lang w:val="en-US" w:eastAsia="zh-CN" w:bidi="ar-SA"/>
        </w:rPr>
        <w:t>与</w:t>
      </w:r>
      <w:r>
        <w:rPr>
          <w:rFonts w:hint="eastAsia" w:ascii="仿宋_GB2312" w:hAnsi="仿宋_GB2312" w:eastAsia="仿宋_GB2312" w:cs="仿宋_GB2312"/>
          <w:b w:val="0"/>
          <w:bCs w:val="0"/>
          <w:kern w:val="2"/>
          <w:sz w:val="28"/>
          <w:szCs w:val="28"/>
          <w:highlight w:val="none"/>
          <w:lang w:val="en-US" w:eastAsia="zh-CN" w:bidi="ar-SA"/>
        </w:rPr>
        <w:t>保障研发仿真网络通信工作正常开展</w:t>
      </w:r>
      <w:r>
        <w:rPr>
          <w:rFonts w:hint="eastAsia" w:cs="仿宋_GB2312"/>
          <w:b w:val="0"/>
          <w:bCs w:val="0"/>
          <w:kern w:val="2"/>
          <w:sz w:val="28"/>
          <w:szCs w:val="28"/>
          <w:highlight w:val="none"/>
          <w:lang w:val="en-US" w:eastAsia="zh-CN" w:bidi="ar-SA"/>
        </w:rPr>
        <w:t>，</w:t>
      </w:r>
      <w:r>
        <w:rPr>
          <w:rFonts w:hint="eastAsia" w:ascii="仿宋_GB2312" w:hAnsi="仿宋_GB2312" w:eastAsia="仿宋_GB2312" w:cs="仿宋_GB2312"/>
          <w:b w:val="0"/>
          <w:bCs w:val="0"/>
          <w:kern w:val="2"/>
          <w:sz w:val="28"/>
          <w:szCs w:val="28"/>
          <w:highlight w:val="none"/>
          <w:lang w:val="en-US" w:eastAsia="zh-CN" w:bidi="ar-SA"/>
        </w:rPr>
        <w:t>需采购南方电网黄埔科技园区2号楼通信机房至云升科学园C栋15楼机房研发测试机柜之间</w:t>
      </w:r>
      <w:r>
        <w:rPr>
          <w:rFonts w:hint="eastAsia" w:cs="仿宋_GB2312"/>
          <w:b w:val="0"/>
          <w:bCs w:val="0"/>
          <w:kern w:val="2"/>
          <w:sz w:val="28"/>
          <w:szCs w:val="28"/>
          <w:highlight w:val="none"/>
          <w:lang w:val="en-US" w:eastAsia="zh-CN" w:bidi="ar-SA"/>
        </w:rPr>
        <w:t>的</w:t>
      </w:r>
      <w:r>
        <w:rPr>
          <w:rFonts w:hint="eastAsia" w:ascii="仿宋_GB2312" w:hAnsi="仿宋_GB2312" w:eastAsia="仿宋_GB2312" w:cs="仿宋_GB2312"/>
          <w:b w:val="0"/>
          <w:bCs w:val="0"/>
          <w:kern w:val="2"/>
          <w:sz w:val="28"/>
          <w:szCs w:val="28"/>
          <w:highlight w:val="none"/>
          <w:lang w:val="en-US" w:eastAsia="zh-CN" w:bidi="ar-SA"/>
        </w:rPr>
        <w:t>通信传输服务（1条20M研发专线）。</w:t>
      </w:r>
    </w:p>
    <w:p>
      <w:pPr>
        <w:pStyle w:val="5"/>
        <w:rPr>
          <w:rFonts w:hint="eastAsia"/>
          <w:highlight w:val="none"/>
        </w:rPr>
      </w:pPr>
      <w:r>
        <w:rPr>
          <w:rFonts w:hint="eastAsia"/>
          <w:highlight w:val="none"/>
        </w:rPr>
        <w:t>项目目标</w:t>
      </w:r>
      <w:bookmarkEnd w:id="25"/>
    </w:p>
    <w:p>
      <w:pPr>
        <w:spacing w:line="360" w:lineRule="auto"/>
        <w:ind w:firstLine="560" w:firstLineChars="200"/>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eastAsia="zh-CN"/>
        </w:rPr>
        <w:t>通过采购</w:t>
      </w:r>
      <w:r>
        <w:rPr>
          <w:rFonts w:hint="eastAsia" w:ascii="仿宋_GB2312" w:hAnsi="仿宋_GB2312" w:eastAsia="仿宋_GB2312" w:cs="仿宋_GB2312"/>
          <w:sz w:val="28"/>
          <w:szCs w:val="28"/>
          <w:highlight w:val="none"/>
          <w:lang w:val="en-US" w:eastAsia="zh-CN"/>
        </w:rPr>
        <w:t>电力系统企业</w:t>
      </w:r>
      <w:r>
        <w:rPr>
          <w:rFonts w:hint="eastAsia" w:ascii="仿宋_GB2312" w:hAnsi="仿宋_GB2312" w:eastAsia="仿宋_GB2312" w:cs="仿宋_GB2312"/>
          <w:sz w:val="28"/>
          <w:szCs w:val="28"/>
          <w:highlight w:val="none"/>
          <w:lang w:eastAsia="zh-CN"/>
        </w:rPr>
        <w:t>自有通信技术服务（</w:t>
      </w:r>
      <w:r>
        <w:rPr>
          <w:rFonts w:hint="eastAsia" w:ascii="仿宋_GB2312" w:hAnsi="仿宋_GB2312" w:eastAsia="仿宋_GB2312" w:cs="仿宋_GB2312"/>
          <w:sz w:val="28"/>
          <w:szCs w:val="28"/>
          <w:highlight w:val="none"/>
          <w:lang w:val="en-US" w:eastAsia="zh-CN"/>
        </w:rPr>
        <w:t>1条20M研发专线</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满足南方电网用户生态运营有限责任公司研发专线使用的网络通信技术运维服务工作。</w:t>
      </w:r>
    </w:p>
    <w:p>
      <w:pPr>
        <w:pStyle w:val="5"/>
        <w:rPr>
          <w:highlight w:val="none"/>
        </w:rPr>
      </w:pPr>
      <w:bookmarkStart w:id="26" w:name="_Toc5075"/>
      <w:r>
        <w:rPr>
          <w:rFonts w:hint="eastAsia"/>
          <w:highlight w:val="none"/>
          <w:lang w:eastAsia="zh-CN"/>
        </w:rPr>
        <w:t>应</w:t>
      </w:r>
      <w:r>
        <w:rPr>
          <w:rFonts w:hint="eastAsia"/>
          <w:highlight w:val="none"/>
        </w:rPr>
        <w:t>遵循</w:t>
      </w:r>
      <w:r>
        <w:rPr>
          <w:rFonts w:hint="eastAsia"/>
          <w:highlight w:val="none"/>
          <w:lang w:eastAsia="zh-CN"/>
        </w:rPr>
        <w:t>的</w:t>
      </w:r>
      <w:r>
        <w:rPr>
          <w:rFonts w:hint="eastAsia"/>
          <w:highlight w:val="none"/>
        </w:rPr>
        <w:t>标准</w:t>
      </w:r>
      <w:bookmarkEnd w:id="26"/>
    </w:p>
    <w:p>
      <w:pPr>
        <w:spacing w:line="360" w:lineRule="auto"/>
        <w:ind w:firstLine="560" w:firstLineChars="200"/>
        <w:rPr>
          <w:rFonts w:hint="eastAsia" w:ascii="仿宋_GB2312" w:hAnsi="仿宋_GB2312" w:eastAsia="仿宋_GB2312" w:cs="仿宋_GB2312"/>
          <w:i/>
          <w:iCs/>
          <w:sz w:val="28"/>
          <w:szCs w:val="28"/>
          <w:highlight w:val="none"/>
        </w:rPr>
      </w:pPr>
      <w:r>
        <w:rPr>
          <w:rFonts w:hint="eastAsia" w:ascii="仿宋_GB2312" w:hAnsi="仿宋_GB2312" w:eastAsia="仿宋_GB2312" w:cs="仿宋_GB2312"/>
          <w:sz w:val="28"/>
          <w:szCs w:val="28"/>
          <w:highlight w:val="none"/>
        </w:rPr>
        <w:t>投标方提供的设计成果应参照国际标准、国家标准、电力行业标准、工信部部颁标准、南方电网公司标准而制定。所用的标准必须是最新版本，如果这些标准的内容有矛盾时，应按照最高标准的条款执行或按双方协商同意的标准或条款执行。如果投标方选用本技术招标书规定以外的标准时，需提交所替换标准相当或优于本技术招标书规定的标准的证明。投标方应遵循包括但是不限于以下相关标准、规划：</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GB 51158-2015 通信线路工程设计规范</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GB 51171-2016 通信线路工程验收规范</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GB/T 51152-2015 波分复用(WDM)光纤传输系统工程设计规范</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 xml:space="preserve">GB/T 51398-2019 光传送网(OTN)工程技术标准 </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GB/T 51217-2017 通信传输线路共建共享技术规范</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GB 50311-2016 综合布线系统工程设计规范</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GB/T 50312-2016 综合布线系统工程验收规范</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YD/T 1171-2001</w:t>
      </w:r>
      <w:r>
        <w:rPr>
          <w:rFonts w:hint="eastAsia" w:ascii="仿宋_GB2312" w:hAnsi="仿宋_GB2312" w:eastAsia="仿宋_GB2312" w:cs="仿宋_GB2312"/>
          <w:i w:val="0"/>
          <w:iCs w:val="0"/>
          <w:sz w:val="28"/>
          <w:szCs w:val="28"/>
          <w:highlight w:val="none"/>
          <w:lang w:val="en-US" w:eastAsia="zh-CN"/>
        </w:rPr>
        <w:tab/>
      </w:r>
      <w:r>
        <w:rPr>
          <w:rFonts w:hint="eastAsia" w:ascii="仿宋_GB2312" w:hAnsi="仿宋_GB2312" w:eastAsia="仿宋_GB2312" w:cs="仿宋_GB2312"/>
          <w:i w:val="0"/>
          <w:iCs w:val="0"/>
          <w:sz w:val="28"/>
          <w:szCs w:val="28"/>
          <w:highlight w:val="none"/>
          <w:lang w:val="en-US" w:eastAsia="zh-CN"/>
        </w:rPr>
        <w:t>IP网络技术要求-网络性能参数与指标</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YD/T 1694-2007</w:t>
      </w:r>
      <w:r>
        <w:rPr>
          <w:rFonts w:hint="eastAsia" w:ascii="仿宋_GB2312" w:hAnsi="仿宋_GB2312" w:eastAsia="仿宋_GB2312" w:cs="仿宋_GB2312"/>
          <w:i w:val="0"/>
          <w:iCs w:val="0"/>
          <w:sz w:val="28"/>
          <w:szCs w:val="28"/>
          <w:highlight w:val="none"/>
          <w:lang w:val="en-US" w:eastAsia="zh-CN"/>
        </w:rPr>
        <w:tab/>
      </w:r>
      <w:r>
        <w:rPr>
          <w:rFonts w:hint="eastAsia" w:ascii="仿宋_GB2312" w:hAnsi="仿宋_GB2312" w:eastAsia="仿宋_GB2312" w:cs="仿宋_GB2312"/>
          <w:i w:val="0"/>
          <w:iCs w:val="0"/>
          <w:sz w:val="28"/>
          <w:szCs w:val="28"/>
          <w:highlight w:val="none"/>
          <w:lang w:val="en-US" w:eastAsia="zh-CN"/>
        </w:rPr>
        <w:t>以太网运行和维护技术要求</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 xml:space="preserve">YD/T 1381-2005 </w:t>
      </w:r>
      <w:r>
        <w:rPr>
          <w:rFonts w:hint="eastAsia" w:ascii="仿宋_GB2312" w:hAnsi="仿宋_GB2312" w:eastAsia="仿宋_GB2312" w:cs="仿宋_GB2312"/>
          <w:i w:val="0"/>
          <w:iCs w:val="0"/>
          <w:sz w:val="28"/>
          <w:szCs w:val="28"/>
          <w:highlight w:val="none"/>
          <w:lang w:val="en-US" w:eastAsia="zh-CN"/>
        </w:rPr>
        <w:tab/>
      </w:r>
      <w:r>
        <w:rPr>
          <w:rFonts w:hint="eastAsia" w:ascii="仿宋_GB2312" w:hAnsi="仿宋_GB2312" w:eastAsia="仿宋_GB2312" w:cs="仿宋_GB2312"/>
          <w:i w:val="0"/>
          <w:iCs w:val="0"/>
          <w:sz w:val="28"/>
          <w:szCs w:val="28"/>
          <w:highlight w:val="none"/>
          <w:lang w:val="en-US" w:eastAsia="zh-CN"/>
        </w:rPr>
        <w:t xml:space="preserve">IP网络技术要求——网络性能测量方法 </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电力企业计算机管理信息系统建设导则（试行）</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关于加强电力信息系统建设和管理的若干规定</w:t>
      </w:r>
    </w:p>
    <w:p>
      <w:pPr>
        <w:numPr>
          <w:ilvl w:val="0"/>
          <w:numId w:val="8"/>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电力企业计算机管理信息系统实用化验收导则（试行）</w:t>
      </w:r>
    </w:p>
    <w:p>
      <w:pPr>
        <w:pStyle w:val="5"/>
        <w:rPr>
          <w:rFonts w:hint="eastAsia"/>
          <w:highlight w:val="none"/>
        </w:rPr>
      </w:pPr>
      <w:bookmarkStart w:id="27" w:name="_Toc28141"/>
      <w:r>
        <w:rPr>
          <w:rFonts w:hint="eastAsia"/>
          <w:highlight w:val="none"/>
        </w:rPr>
        <w:t>项目内容</w:t>
      </w:r>
      <w:bookmarkEnd w:id="10"/>
      <w:bookmarkEnd w:id="27"/>
      <w:bookmarkStart w:id="28" w:name="_Toc198288469"/>
      <w:bookmarkStart w:id="29" w:name="_Toc197719624"/>
    </w:p>
    <w:p>
      <w:pPr>
        <w:spacing w:line="360" w:lineRule="auto"/>
        <w:ind w:firstLine="560" w:firstLineChars="200"/>
        <w:rPr>
          <w:rFonts w:hint="default" w:ascii="仿宋_GB2312" w:hAnsi="仿宋_GB2312" w:eastAsia="仿宋_GB2312" w:cs="仿宋_GB2312"/>
          <w:sz w:val="28"/>
          <w:szCs w:val="28"/>
          <w:highlight w:val="none"/>
          <w:lang w:val="en-US" w:eastAsia="zh-CN"/>
        </w:rPr>
      </w:pPr>
      <w:bookmarkStart w:id="30" w:name="_Toc293308323"/>
      <w:bookmarkStart w:id="31" w:name="_Toc198702473"/>
      <w:r>
        <w:rPr>
          <w:rFonts w:hint="eastAsia" w:ascii="仿宋_GB2312" w:hAnsi="仿宋_GB2312" w:eastAsia="仿宋_GB2312" w:cs="仿宋_GB2312"/>
          <w:sz w:val="28"/>
          <w:szCs w:val="28"/>
          <w:highlight w:val="none"/>
          <w:lang w:val="en-US" w:eastAsia="zh-CN"/>
        </w:rPr>
        <w:t>南网用户生态运营公司研发专线运维服务项目内容说明如下：</w:t>
      </w:r>
    </w:p>
    <w:p>
      <w:pPr>
        <w:numPr>
          <w:ilvl w:val="0"/>
          <w:numId w:val="0"/>
        </w:numPr>
        <w:spacing w:line="360" w:lineRule="auto"/>
        <w:ind w:leftChars="0" w:firstLine="280" w:firstLineChars="1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1）</w:t>
      </w:r>
      <w:r>
        <w:rPr>
          <w:rFonts w:hint="eastAsia" w:ascii="仿宋_GB2312" w:hAnsi="仿宋_GB2312" w:eastAsia="仿宋_GB2312" w:cs="仿宋_GB2312"/>
          <w:sz w:val="28"/>
          <w:szCs w:val="28"/>
          <w:highlight w:val="none"/>
          <w:lang w:val="en-US" w:eastAsia="zh-CN"/>
        </w:rPr>
        <w:t>服务内容：</w:t>
      </w:r>
    </w:p>
    <w:p>
      <w:pPr>
        <w:numPr>
          <w:ilvl w:val="0"/>
          <w:numId w:val="0"/>
        </w:numPr>
        <w:spacing w:line="360" w:lineRule="auto"/>
        <w:ind w:leftChars="0"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提供1条20M研发专线，满足研发专网用途。主要是南方电网黄埔科技园区2号楼2楼通信机房至</w:t>
      </w:r>
      <w:r>
        <w:rPr>
          <w:rFonts w:hint="eastAsia" w:ascii="仿宋_GB2312" w:hAnsi="仿宋_GB2312" w:eastAsia="仿宋_GB2312" w:cs="仿宋_GB2312"/>
          <w:b w:val="0"/>
          <w:bCs w:val="0"/>
          <w:kern w:val="2"/>
          <w:sz w:val="28"/>
          <w:szCs w:val="28"/>
          <w:highlight w:val="none"/>
          <w:lang w:val="en-US" w:eastAsia="zh-CN" w:bidi="ar-SA"/>
        </w:rPr>
        <w:t>云升科学园C栋15楼机房研发测试机柜</w:t>
      </w:r>
      <w:r>
        <w:rPr>
          <w:rFonts w:hint="eastAsia" w:ascii="仿宋_GB2312" w:hAnsi="仿宋_GB2312" w:eastAsia="仿宋_GB2312" w:cs="仿宋_GB2312"/>
          <w:sz w:val="28"/>
          <w:szCs w:val="28"/>
          <w:highlight w:val="none"/>
          <w:lang w:eastAsia="zh-CN"/>
        </w:rPr>
        <w:t>之间</w:t>
      </w:r>
      <w:r>
        <w:rPr>
          <w:rFonts w:hint="eastAsia" w:ascii="仿宋_GB2312" w:hAnsi="仿宋_GB2312" w:eastAsia="仿宋_GB2312" w:cs="仿宋_GB2312"/>
          <w:sz w:val="28"/>
          <w:szCs w:val="28"/>
          <w:highlight w:val="none"/>
          <w:lang w:val="en-US" w:eastAsia="zh-CN"/>
        </w:rPr>
        <w:t>专线传输通道的接入以及运维服务。</w:t>
      </w:r>
    </w:p>
    <w:p>
      <w:pPr>
        <w:numPr>
          <w:ilvl w:val="0"/>
          <w:numId w:val="0"/>
        </w:numPr>
        <w:spacing w:line="360" w:lineRule="auto"/>
        <w:ind w:leftChars="0" w:firstLine="280" w:firstLineChars="1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2）</w:t>
      </w:r>
      <w:r>
        <w:rPr>
          <w:rFonts w:hint="eastAsia" w:ascii="仿宋_GB2312" w:hAnsi="仿宋_GB2312" w:eastAsia="仿宋_GB2312" w:cs="仿宋_GB2312"/>
          <w:sz w:val="28"/>
          <w:szCs w:val="28"/>
          <w:highlight w:val="none"/>
          <w:lang w:val="en-US" w:eastAsia="zh-CN"/>
        </w:rPr>
        <w:t>具体内容要求：</w:t>
      </w:r>
    </w:p>
    <w:p>
      <w:pPr>
        <w:numPr>
          <w:ilvl w:val="0"/>
          <w:numId w:val="9"/>
        </w:numPr>
        <w:spacing w:line="360" w:lineRule="auto"/>
        <w:ind w:left="0" w:leftChars="0" w:firstLine="400" w:firstLineChars="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开通满足项目需求的传输专线；</w:t>
      </w:r>
    </w:p>
    <w:p>
      <w:pPr>
        <w:numPr>
          <w:ilvl w:val="0"/>
          <w:numId w:val="9"/>
        </w:numPr>
        <w:spacing w:line="360" w:lineRule="auto"/>
        <w:ind w:left="0" w:leftChars="0" w:firstLine="400" w:firstLineChars="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对配套的网络设备进行检测和日常维护；</w:t>
      </w:r>
    </w:p>
    <w:p>
      <w:pPr>
        <w:numPr>
          <w:ilvl w:val="0"/>
          <w:numId w:val="9"/>
        </w:numPr>
        <w:spacing w:line="360" w:lineRule="auto"/>
        <w:ind w:left="0" w:leftChars="0" w:firstLine="400" w:firstLineChars="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网络连通性测试与路由调整；</w:t>
      </w:r>
    </w:p>
    <w:p>
      <w:pPr>
        <w:numPr>
          <w:ilvl w:val="0"/>
          <w:numId w:val="9"/>
        </w:numPr>
        <w:spacing w:line="360" w:lineRule="auto"/>
        <w:ind w:left="0" w:leftChars="0" w:firstLine="400" w:firstLineChars="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网络故障协查与定位；</w:t>
      </w:r>
    </w:p>
    <w:p>
      <w:pPr>
        <w:numPr>
          <w:ilvl w:val="0"/>
          <w:numId w:val="9"/>
        </w:numPr>
        <w:spacing w:line="360" w:lineRule="auto"/>
        <w:ind w:left="0" w:leftChars="0" w:firstLine="400" w:firstLineChars="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涉及电力通信基础设施（光缆）的接入段工程施工、日常巡检及维护、应急通信服务以及安全保障服务。</w:t>
      </w:r>
    </w:p>
    <w:p>
      <w:pPr>
        <w:pStyle w:val="5"/>
        <w:rPr>
          <w:rFonts w:hint="eastAsia"/>
          <w:highlight w:val="none"/>
          <w:lang w:val="en-US" w:eastAsia="zh-CN"/>
        </w:rPr>
      </w:pPr>
      <w:bookmarkStart w:id="32" w:name="_Toc6754"/>
      <w:r>
        <w:rPr>
          <w:rFonts w:hint="eastAsia"/>
          <w:highlight w:val="none"/>
          <w:lang w:val="en-US" w:eastAsia="zh-CN"/>
        </w:rPr>
        <w:t>项目总体要求</w:t>
      </w:r>
      <w:bookmarkEnd w:id="32"/>
    </w:p>
    <w:p>
      <w:pPr>
        <w:spacing w:line="360" w:lineRule="auto"/>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投标人需承诺所提供的技术服务，由于接入地点可能涉及电力设施环境，必须满足电力通信相关要求。</w:t>
      </w:r>
    </w:p>
    <w:p>
      <w:pPr>
        <w:spacing w:line="360" w:lineRule="auto"/>
        <w:ind w:firstLine="560" w:firstLineChars="200"/>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技术服务的专线传输通道关键技术指标的详细要求如下：</w:t>
      </w:r>
    </w:p>
    <w:p>
      <w:pPr>
        <w:rPr>
          <w:rFonts w:hint="eastAsia"/>
          <w:highlight w:val="none"/>
          <w:lang w:val="en-US" w:eastAsia="zh-CN"/>
        </w:rPr>
      </w:pPr>
    </w:p>
    <w:p>
      <w:pPr>
        <w:pStyle w:val="6"/>
        <w:rPr>
          <w:rFonts w:hint="eastAsia" w:cs="Times New Roman"/>
          <w:b/>
          <w:bCs/>
          <w:highlight w:val="none"/>
          <w:lang w:val="en-US" w:eastAsia="zh-CN"/>
        </w:rPr>
      </w:pPr>
      <w:bookmarkStart w:id="33" w:name="_Toc2470"/>
      <w:r>
        <w:rPr>
          <w:rFonts w:hint="eastAsia" w:cs="Times New Roman"/>
          <w:b/>
          <w:bCs/>
          <w:highlight w:val="none"/>
          <w:lang w:val="en-US" w:eastAsia="zh-CN"/>
        </w:rPr>
        <w:t>专线传输通道关键技术指标</w:t>
      </w:r>
      <w:bookmarkEnd w:id="33"/>
    </w:p>
    <w:p>
      <w:pPr>
        <w:numPr>
          <w:ilvl w:val="0"/>
          <w:numId w:val="10"/>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专线带宽。需满足本项目要求的各条专线的带宽需求。</w:t>
      </w:r>
    </w:p>
    <w:p>
      <w:pPr>
        <w:numPr>
          <w:ilvl w:val="0"/>
          <w:numId w:val="10"/>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传输网络。专线需由使用OTN/MSTP/ASON/PTN等传输网络提供的点对点透传电路。</w:t>
      </w:r>
    </w:p>
    <w:p>
      <w:pPr>
        <w:numPr>
          <w:ilvl w:val="0"/>
          <w:numId w:val="10"/>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专线隔离。提供的专线需互相隔离，互不干扰。</w:t>
      </w:r>
    </w:p>
    <w:p>
      <w:pPr>
        <w:numPr>
          <w:ilvl w:val="0"/>
          <w:numId w:val="10"/>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专线指标。</w:t>
      </w:r>
    </w:p>
    <w:p>
      <w:pPr>
        <w:numPr>
          <w:ilvl w:val="0"/>
          <w:numId w:val="11"/>
        </w:numPr>
        <w:spacing w:line="360" w:lineRule="auto"/>
        <w:ind w:left="0" w:leftChars="0"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吞吐量符合项目需求；</w:t>
      </w:r>
    </w:p>
    <w:p>
      <w:pPr>
        <w:numPr>
          <w:ilvl w:val="0"/>
          <w:numId w:val="11"/>
        </w:numPr>
        <w:spacing w:line="360" w:lineRule="auto"/>
        <w:ind w:left="0" w:leftChars="0"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帧丢失率为0；</w:t>
      </w:r>
    </w:p>
    <w:p>
      <w:pPr>
        <w:numPr>
          <w:ilvl w:val="0"/>
          <w:numId w:val="11"/>
        </w:numPr>
        <w:spacing w:line="360" w:lineRule="auto"/>
        <w:ind w:left="0" w:leftChars="0"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时延小于20ms。</w:t>
      </w:r>
    </w:p>
    <w:p>
      <w:pPr>
        <w:numPr>
          <w:ilvl w:val="0"/>
          <w:numId w:val="10"/>
        </w:numPr>
        <w:spacing w:line="360" w:lineRule="auto"/>
        <w:ind w:firstLine="560" w:firstLineChars="200"/>
        <w:rPr>
          <w:rFonts w:hint="eastAsia" w:ascii="仿宋_GB2312" w:hAnsi="仿宋_GB2312" w:eastAsia="仿宋_GB2312" w:cs="仿宋_GB2312"/>
          <w:i w:val="0"/>
          <w:iCs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专线接入。专线接入南方电网黄埔科技园区，需满足南网对园区外单位接入基地的规范要求。</w:t>
      </w:r>
    </w:p>
    <w:bookmarkEnd w:id="30"/>
    <w:bookmarkEnd w:id="31"/>
    <w:p>
      <w:pPr>
        <w:pStyle w:val="5"/>
        <w:rPr>
          <w:highlight w:val="none"/>
        </w:rPr>
      </w:pPr>
      <w:bookmarkStart w:id="34" w:name="_Toc168479656"/>
      <w:bookmarkEnd w:id="34"/>
      <w:bookmarkStart w:id="35" w:name="_Toc12066"/>
      <w:r>
        <w:rPr>
          <w:rFonts w:hint="eastAsia"/>
          <w:highlight w:val="none"/>
        </w:rPr>
        <w:t>项目</w:t>
      </w:r>
      <w:r>
        <w:rPr>
          <w:rFonts w:hint="eastAsia"/>
          <w:highlight w:val="none"/>
          <w:lang w:eastAsia="zh-CN"/>
        </w:rPr>
        <w:t>人员</w:t>
      </w:r>
      <w:r>
        <w:rPr>
          <w:rFonts w:hint="eastAsia"/>
          <w:highlight w:val="none"/>
        </w:rPr>
        <w:t>要求</w:t>
      </w:r>
      <w:bookmarkEnd w:id="35"/>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1）投标人须提交项目实施人员简历。</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2）中标人应设有项目经理，项目经理须有同类型项目的管理经验。从项目开始到结束，项目经理必须在现场，负责项目管理、协调、沟通等工作。</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w:t>
      </w:r>
      <w:r>
        <w:rPr>
          <w:rFonts w:hint="eastAsia" w:ascii="宋体" w:hAnsi="宋体" w:eastAsia="宋体" w:cs="宋体"/>
          <w:sz w:val="28"/>
          <w:szCs w:val="28"/>
          <w:highlight w:val="none"/>
        </w:rPr>
        <w:t>★</w:t>
      </w:r>
      <w:r>
        <w:rPr>
          <w:rFonts w:hint="eastAsia" w:ascii="仿宋_GB2312" w:hAnsi="仿宋_GB2312" w:eastAsia="仿宋_GB2312" w:cs="仿宋_GB2312"/>
          <w:sz w:val="28"/>
          <w:szCs w:val="28"/>
          <w:highlight w:val="none"/>
        </w:rPr>
        <w:t>如果发现中标人的技术人员不合格，招标人有权要求中标人撤换，因撤换而产生的费用应由中标人承担。如多次更换仍然未达到要求的，保留迟延索赔的权利。</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4）投标人必须向招标人保证项目人员组织的稳定性，在本项目结束前，中标人对项目组人员进行变动，必须取得招标人同意。</w:t>
      </w:r>
    </w:p>
    <w:p>
      <w:pPr>
        <w:spacing w:line="360" w:lineRule="auto"/>
        <w:ind w:firstLine="560" w:firstLineChars="200"/>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w:t>
      </w:r>
      <w:r>
        <w:rPr>
          <w:rFonts w:hint="eastAsia" w:ascii="宋体" w:hAnsi="宋体" w:eastAsia="宋体" w:cs="宋体"/>
          <w:sz w:val="28"/>
          <w:szCs w:val="28"/>
          <w:highlight w:val="none"/>
        </w:rPr>
        <w:t>★</w:t>
      </w:r>
      <w:r>
        <w:rPr>
          <w:rFonts w:hint="eastAsia" w:ascii="仿宋_GB2312" w:hAnsi="仿宋_GB2312" w:eastAsia="仿宋_GB2312" w:cs="仿宋_GB2312"/>
          <w:sz w:val="28"/>
          <w:szCs w:val="28"/>
          <w:highlight w:val="none"/>
          <w:lang w:val="en-US" w:eastAsia="zh-CN"/>
        </w:rPr>
        <w:t>投标人的项目管理人员需具备在电力环境下实施项目的广州供电局二种人资质条件，并提供资质截图证明。</w:t>
      </w:r>
    </w:p>
    <w:p>
      <w:pPr>
        <w:pStyle w:val="5"/>
        <w:rPr>
          <w:highlight w:val="none"/>
          <w:lang w:val="en-US"/>
        </w:rPr>
      </w:pPr>
      <w:bookmarkStart w:id="36" w:name="_Toc12613"/>
      <w:r>
        <w:rPr>
          <w:rFonts w:hint="eastAsia"/>
          <w:highlight w:val="none"/>
        </w:rPr>
        <w:t>项目进度要求</w:t>
      </w:r>
      <w:bookmarkEnd w:id="36"/>
    </w:p>
    <w:p>
      <w:pPr>
        <w:spacing w:line="360" w:lineRule="auto"/>
        <w:ind w:firstLine="560" w:firstLineChars="200"/>
        <w:rPr>
          <w:rFonts w:hint="default" w:ascii="仿宋_GB2312" w:hAnsi="仿宋_GB2312" w:eastAsia="仿宋_GB2312" w:cs="仿宋_GB2312"/>
          <w:sz w:val="28"/>
          <w:szCs w:val="28"/>
          <w:highlight w:val="none"/>
          <w:lang w:val="en-US" w:eastAsia="zh-CN"/>
        </w:rPr>
      </w:pPr>
      <w:r>
        <w:rPr>
          <w:rFonts w:hint="eastAsia" w:ascii="宋体" w:hAnsi="宋体" w:eastAsia="宋体" w:cs="宋体"/>
          <w:sz w:val="28"/>
          <w:szCs w:val="28"/>
          <w:highlight w:val="none"/>
        </w:rPr>
        <w:t>★</w:t>
      </w:r>
      <w:r>
        <w:rPr>
          <w:rFonts w:hint="eastAsia" w:ascii="仿宋_GB2312" w:hAnsi="仿宋_GB2312" w:eastAsia="仿宋_GB2312" w:cs="仿宋_GB2312"/>
          <w:sz w:val="28"/>
          <w:szCs w:val="28"/>
          <w:highlight w:val="none"/>
        </w:rPr>
        <w:t>中标人必须保证在</w:t>
      </w:r>
      <w:r>
        <w:rPr>
          <w:rFonts w:hint="eastAsia" w:ascii="仿宋_GB2312" w:hAnsi="仿宋_GB2312" w:eastAsia="仿宋_GB2312" w:cs="仿宋_GB2312"/>
          <w:sz w:val="28"/>
          <w:szCs w:val="28"/>
          <w:highlight w:val="none"/>
          <w:lang w:val="en-US" w:eastAsia="zh-CN"/>
        </w:rPr>
        <w:t>合同签订后</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val="en-US" w:eastAsia="zh-CN"/>
        </w:rPr>
        <w:t>1天</w:t>
      </w:r>
      <w:r>
        <w:rPr>
          <w:rFonts w:hint="eastAsia" w:ascii="仿宋_GB2312" w:hAnsi="仿宋_GB2312" w:eastAsia="仿宋_GB2312" w:cs="仿宋_GB2312"/>
          <w:sz w:val="28"/>
          <w:szCs w:val="28"/>
          <w:highlight w:val="none"/>
        </w:rPr>
        <w:t>内</w:t>
      </w:r>
      <w:r>
        <w:rPr>
          <w:rFonts w:hint="eastAsia" w:ascii="仿宋_GB2312" w:hAnsi="仿宋_GB2312" w:eastAsia="仿宋_GB2312" w:cs="仿宋_GB2312"/>
          <w:sz w:val="28"/>
          <w:szCs w:val="28"/>
          <w:highlight w:val="none"/>
          <w:lang w:val="en-US" w:eastAsia="zh-CN"/>
        </w:rPr>
        <w:t>完成</w:t>
      </w:r>
      <w:r>
        <w:rPr>
          <w:rFonts w:hint="eastAsia" w:ascii="仿宋_GB2312" w:hAnsi="仿宋_GB2312" w:eastAsia="仿宋_GB2312" w:cs="仿宋_GB2312"/>
          <w:sz w:val="28"/>
          <w:szCs w:val="28"/>
          <w:highlight w:val="none"/>
        </w:rPr>
        <w:t>现场</w:t>
      </w:r>
      <w:r>
        <w:rPr>
          <w:rFonts w:hint="eastAsia" w:ascii="仿宋_GB2312" w:hAnsi="仿宋_GB2312" w:eastAsia="仿宋_GB2312" w:cs="仿宋_GB2312"/>
          <w:sz w:val="28"/>
          <w:szCs w:val="28"/>
          <w:highlight w:val="none"/>
          <w:lang w:val="en-US" w:eastAsia="zh-CN"/>
        </w:rPr>
        <w:t>勘察，并在2天</w:t>
      </w:r>
      <w:r>
        <w:rPr>
          <w:rFonts w:hint="eastAsia" w:ascii="仿宋_GB2312" w:hAnsi="仿宋_GB2312" w:eastAsia="仿宋_GB2312" w:cs="仿宋_GB2312"/>
          <w:sz w:val="28"/>
          <w:szCs w:val="28"/>
          <w:highlight w:val="none"/>
        </w:rPr>
        <w:t>内完成线路开通与调试工作。</w:t>
      </w:r>
      <w:r>
        <w:rPr>
          <w:rFonts w:hint="eastAsia" w:ascii="仿宋_GB2312" w:hAnsi="仿宋_GB2312" w:eastAsia="仿宋_GB2312" w:cs="仿宋_GB2312"/>
          <w:sz w:val="28"/>
          <w:szCs w:val="28"/>
          <w:highlight w:val="none"/>
          <w:lang w:val="en-US" w:eastAsia="zh-CN"/>
        </w:rPr>
        <w:t>提供书面承诺，格式自拟。</w:t>
      </w:r>
    </w:p>
    <w:p>
      <w:pPr>
        <w:spacing w:line="360" w:lineRule="auto"/>
        <w:ind w:firstLine="560" w:firstLineChars="200"/>
        <w:rPr>
          <w:rFonts w:hint="default" w:ascii="仿宋_GB2312" w:hAnsi="仿宋_GB2312" w:eastAsia="宋体" w:cs="仿宋_GB2312"/>
          <w:sz w:val="28"/>
          <w:szCs w:val="28"/>
          <w:highlight w:val="none"/>
          <w:lang w:val="en-US" w:eastAsia="zh-CN"/>
        </w:rPr>
      </w:pPr>
      <w:r>
        <w:rPr>
          <w:rFonts w:hint="eastAsia" w:ascii="宋体" w:hAnsi="宋体" w:eastAsia="宋体" w:cs="宋体"/>
          <w:sz w:val="28"/>
          <w:szCs w:val="28"/>
          <w:highlight w:val="none"/>
        </w:rPr>
        <w:t>★</w:t>
      </w:r>
      <w:r>
        <w:rPr>
          <w:rFonts w:hint="eastAsia" w:ascii="仿宋_GB2312" w:hAnsi="仿宋_GB2312" w:eastAsia="仿宋_GB2312" w:cs="仿宋_GB2312"/>
          <w:sz w:val="28"/>
          <w:szCs w:val="28"/>
          <w:highlight w:val="none"/>
          <w:lang w:val="en-US" w:eastAsia="zh-CN"/>
        </w:rPr>
        <w:t>线路开通后，中标人需配合招标人开通网络策略，发起并网服务流程，并提供一份中标人完成并网审批的案例流程图。</w:t>
      </w:r>
    </w:p>
    <w:p>
      <w:pPr>
        <w:pStyle w:val="5"/>
        <w:rPr>
          <w:rFonts w:hint="eastAsia"/>
          <w:highlight w:val="none"/>
          <w:lang w:eastAsia="zh-CN"/>
        </w:rPr>
      </w:pPr>
      <w:bookmarkStart w:id="37" w:name="_Toc11719"/>
      <w:r>
        <w:rPr>
          <w:rFonts w:hint="eastAsia" w:hAnsi="Arial"/>
          <w:highlight w:val="none"/>
          <w:lang w:eastAsia="zh-CN"/>
        </w:rPr>
        <w:t>项目售后要求</w:t>
      </w:r>
      <w:bookmarkEnd w:id="37"/>
    </w:p>
    <w:p>
      <w:pPr>
        <w:pStyle w:val="6"/>
        <w:rPr>
          <w:rFonts w:hint="eastAsia"/>
          <w:highlight w:val="none"/>
          <w:lang w:eastAsia="zh-CN"/>
        </w:rPr>
      </w:pPr>
      <w:bookmarkStart w:id="38" w:name="_Toc24430"/>
      <w:r>
        <w:rPr>
          <w:rFonts w:hint="eastAsia"/>
          <w:highlight w:val="none"/>
          <w:lang w:eastAsia="zh-CN"/>
        </w:rPr>
        <w:t>项目管理</w:t>
      </w:r>
      <w:bookmarkEnd w:id="38"/>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1）中标方应组建保证项目按时按质完成的项目组，并指定项目经理，负责协调工程的各项工作。</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2）中标方必须向招标方保证工程人员组织的稳定性。在本项目结束前，参加项目人员的变动必须取得招标方同意。</w:t>
      </w:r>
    </w:p>
    <w:p>
      <w:pPr>
        <w:pStyle w:val="6"/>
        <w:rPr>
          <w:rFonts w:hint="eastAsia"/>
          <w:highlight w:val="none"/>
          <w:lang w:eastAsia="zh-CN"/>
        </w:rPr>
      </w:pPr>
      <w:bookmarkStart w:id="39" w:name="_Toc1311"/>
      <w:r>
        <w:rPr>
          <w:rFonts w:hint="eastAsia"/>
          <w:highlight w:val="none"/>
          <w:lang w:eastAsia="zh-CN"/>
        </w:rPr>
        <w:t>现场服务</w:t>
      </w:r>
      <w:bookmarkEnd w:id="39"/>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1）中标方应该委派工程人员到现场负责安装、调试和试运行，并负责解决合同设备制造及性能等方面的问题，详细解答合同范围内甲方提出的问题。</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2）提供设置服务保障，包括对招标方及服务人员设置，是否具备7×24统一热线、巡检服务、故障处理、备品备件、仪器工具和服务承诺等。</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3）在重大会议、强台风等重大保供电及信息机房搬迁期间，必须提供技术支持和7*24小时驻点服务。</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4）技术支持服务期内因我方新增业务需求而对技术支持设备进行调试的工作。</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）在保障期内设备物理位置改变技术支持服务继续有效。</w:t>
      </w:r>
    </w:p>
    <w:p>
      <w:pPr>
        <w:pStyle w:val="6"/>
        <w:rPr>
          <w:rFonts w:hint="eastAsia"/>
          <w:highlight w:val="none"/>
          <w:lang w:val="en-US" w:eastAsia="zh-CN"/>
        </w:rPr>
      </w:pPr>
      <w:bookmarkStart w:id="40" w:name="_Toc5006"/>
      <w:r>
        <w:rPr>
          <w:rFonts w:hint="eastAsia"/>
          <w:highlight w:val="none"/>
          <w:lang w:val="en-US" w:eastAsia="zh-CN"/>
        </w:rPr>
        <w:t>资料管理</w:t>
      </w:r>
      <w:bookmarkEnd w:id="40"/>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投标方提供的文档包括</w:t>
      </w:r>
      <w:r>
        <w:rPr>
          <w:rFonts w:hint="eastAsia" w:ascii="仿宋_GB2312" w:hAnsi="仿宋_GB2312" w:eastAsia="仿宋_GB2312" w:cs="仿宋_GB2312"/>
          <w:sz w:val="28"/>
          <w:szCs w:val="28"/>
          <w:highlight w:val="none"/>
          <w:lang w:val="en-US" w:eastAsia="zh-CN"/>
        </w:rPr>
        <w:t>专线</w:t>
      </w:r>
      <w:r>
        <w:rPr>
          <w:rFonts w:hint="eastAsia" w:ascii="仿宋_GB2312" w:hAnsi="仿宋_GB2312" w:eastAsia="仿宋_GB2312" w:cs="仿宋_GB2312"/>
          <w:sz w:val="28"/>
          <w:szCs w:val="28"/>
          <w:highlight w:val="none"/>
        </w:rPr>
        <w:t>路由图纸</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通信专线</w:t>
      </w:r>
      <w:r>
        <w:rPr>
          <w:rFonts w:hint="eastAsia" w:ascii="仿宋_GB2312" w:hAnsi="仿宋_GB2312" w:eastAsia="仿宋_GB2312" w:cs="仿宋_GB2312"/>
          <w:sz w:val="28"/>
          <w:szCs w:val="28"/>
          <w:highlight w:val="none"/>
          <w:lang w:eastAsia="zh-CN"/>
        </w:rPr>
        <w:t>开通记录、</w:t>
      </w:r>
      <w:r>
        <w:rPr>
          <w:rFonts w:hint="eastAsia" w:ascii="仿宋_GB2312" w:hAnsi="仿宋_GB2312" w:eastAsia="仿宋_GB2312" w:cs="仿宋_GB2312"/>
          <w:sz w:val="28"/>
          <w:szCs w:val="28"/>
          <w:highlight w:val="none"/>
          <w:lang w:val="en-US" w:eastAsia="zh-CN"/>
        </w:rPr>
        <w:t>通信专线</w:t>
      </w:r>
      <w:r>
        <w:rPr>
          <w:rFonts w:hint="eastAsia" w:ascii="仿宋_GB2312" w:hAnsi="仿宋_GB2312" w:eastAsia="仿宋_GB2312" w:cs="仿宋_GB2312"/>
          <w:sz w:val="28"/>
          <w:szCs w:val="28"/>
          <w:highlight w:val="none"/>
          <w:lang w:eastAsia="zh-CN"/>
        </w:rPr>
        <w:t>运行报告</w:t>
      </w:r>
      <w:r>
        <w:rPr>
          <w:rFonts w:hint="eastAsia" w:ascii="仿宋_GB2312" w:hAnsi="仿宋_GB2312" w:eastAsia="仿宋_GB2312" w:cs="仿宋_GB2312"/>
          <w:sz w:val="28"/>
          <w:szCs w:val="28"/>
          <w:highlight w:val="none"/>
          <w:lang w:val="en-US" w:eastAsia="zh-CN"/>
        </w:rPr>
        <w:t>等</w:t>
      </w:r>
      <w:r>
        <w:rPr>
          <w:rFonts w:hint="eastAsia" w:ascii="仿宋_GB2312" w:hAnsi="仿宋_GB2312" w:eastAsia="仿宋_GB2312" w:cs="仿宋_GB2312"/>
          <w:sz w:val="28"/>
          <w:szCs w:val="28"/>
          <w:highlight w:val="none"/>
        </w:rPr>
        <w:t>。</w:t>
      </w:r>
    </w:p>
    <w:p>
      <w:pPr>
        <w:pStyle w:val="6"/>
        <w:rPr>
          <w:rFonts w:hint="eastAsia"/>
          <w:highlight w:val="none"/>
          <w:lang w:val="en-US" w:eastAsia="zh-CN"/>
        </w:rPr>
      </w:pPr>
      <w:bookmarkStart w:id="41" w:name="_Toc7024"/>
      <w:r>
        <w:rPr>
          <w:rFonts w:hint="eastAsia"/>
          <w:highlight w:val="none"/>
          <w:lang w:val="en-US" w:eastAsia="zh-CN"/>
        </w:rPr>
        <w:t>项目服务期</w:t>
      </w:r>
      <w:bookmarkEnd w:id="41"/>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投标方在</w:t>
      </w:r>
      <w:r>
        <w:rPr>
          <w:rFonts w:hint="eastAsia" w:ascii="仿宋_GB2312" w:hAnsi="仿宋_GB2312" w:eastAsia="仿宋_GB2312" w:cs="仿宋_GB2312"/>
          <w:sz w:val="28"/>
          <w:szCs w:val="28"/>
          <w:highlight w:val="none"/>
          <w:lang w:val="en-US" w:eastAsia="zh-CN"/>
        </w:rPr>
        <w:t>通信增值</w:t>
      </w:r>
      <w:r>
        <w:rPr>
          <w:rFonts w:hint="eastAsia" w:ascii="仿宋_GB2312" w:hAnsi="仿宋_GB2312" w:eastAsia="仿宋_GB2312" w:cs="仿宋_GB2312"/>
          <w:sz w:val="28"/>
          <w:szCs w:val="28"/>
          <w:highlight w:val="none"/>
        </w:rPr>
        <w:t>服务正式投运</w:t>
      </w:r>
      <w:r>
        <w:rPr>
          <w:rFonts w:hint="eastAsia" w:ascii="仿宋_GB2312" w:hAnsi="仿宋_GB2312" w:eastAsia="仿宋_GB2312" w:cs="仿宋_GB2312"/>
          <w:sz w:val="28"/>
          <w:szCs w:val="28"/>
          <w:highlight w:val="none"/>
          <w:lang w:val="en-US" w:eastAsia="zh-CN"/>
        </w:rPr>
        <w:t>开始</w:t>
      </w:r>
      <w:r>
        <w:rPr>
          <w:rFonts w:hint="eastAsia" w:ascii="仿宋_GB2312" w:hAnsi="仿宋_GB2312" w:eastAsia="仿宋_GB2312" w:cs="仿宋_GB2312"/>
          <w:sz w:val="28"/>
          <w:szCs w:val="28"/>
          <w:highlight w:val="none"/>
        </w:rPr>
        <w:t>使用后，需要提供项目保障的售后服务以及相应的技术支持至合同结束。</w:t>
      </w:r>
    </w:p>
    <w:p>
      <w:pPr>
        <w:pStyle w:val="5"/>
        <w:rPr>
          <w:highlight w:val="none"/>
        </w:rPr>
      </w:pPr>
      <w:bookmarkStart w:id="42" w:name="_Toc5423"/>
      <w:r>
        <w:rPr>
          <w:rFonts w:hint="eastAsia"/>
          <w:highlight w:val="none"/>
          <w:lang w:val="en-US" w:eastAsia="zh-CN"/>
        </w:rPr>
        <w:t>服务</w:t>
      </w:r>
      <w:r>
        <w:rPr>
          <w:rFonts w:hint="eastAsia"/>
          <w:highlight w:val="none"/>
        </w:rPr>
        <w:t>要求</w:t>
      </w:r>
      <w:bookmarkEnd w:id="42"/>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1）投标方应保证所提供服务均能满足本技术规范书的技术、</w:t>
      </w:r>
      <w:r>
        <w:rPr>
          <w:rFonts w:hint="eastAsia" w:ascii="仿宋_GB2312" w:hAnsi="仿宋_GB2312" w:eastAsia="仿宋_GB2312" w:cs="仿宋_GB2312"/>
          <w:sz w:val="28"/>
          <w:szCs w:val="28"/>
          <w:highlight w:val="none"/>
          <w:lang w:val="en-US" w:eastAsia="zh-CN"/>
        </w:rPr>
        <w:t>服务</w:t>
      </w:r>
      <w:r>
        <w:rPr>
          <w:rFonts w:hint="eastAsia" w:ascii="仿宋_GB2312" w:hAnsi="仿宋_GB2312" w:eastAsia="仿宋_GB2312" w:cs="仿宋_GB2312"/>
          <w:sz w:val="28"/>
          <w:szCs w:val="28"/>
          <w:highlight w:val="none"/>
        </w:rPr>
        <w:t>等要求。</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2）投标方须协助招标方建立独立于项目设计与实施的质量保证机制，建立和完善全面的项目质量管理体系，投标方应遵循相应的质量保证机制及质量管理体系。</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w:t>
      </w:r>
      <w:r>
        <w:rPr>
          <w:rFonts w:hint="eastAsia" w:ascii="仿宋_GB2312" w:hAnsi="仿宋_GB2312" w:eastAsia="仿宋_GB2312" w:cs="仿宋_GB2312"/>
          <w:sz w:val="28"/>
          <w:szCs w:val="28"/>
          <w:highlight w:val="none"/>
          <w:lang w:val="en-US" w:eastAsia="zh-CN"/>
        </w:rPr>
        <w:t>投标方</w:t>
      </w:r>
      <w:r>
        <w:rPr>
          <w:rFonts w:hint="eastAsia" w:ascii="仿宋_GB2312" w:hAnsi="仿宋_GB2312" w:eastAsia="仿宋_GB2312" w:cs="仿宋_GB2312"/>
          <w:sz w:val="28"/>
          <w:szCs w:val="28"/>
          <w:highlight w:val="none"/>
        </w:rPr>
        <w:t>需要提供项目</w:t>
      </w:r>
      <w:r>
        <w:rPr>
          <w:rFonts w:hint="eastAsia" w:ascii="仿宋_GB2312" w:hAnsi="仿宋_GB2312" w:eastAsia="仿宋_GB2312" w:cs="仿宋_GB2312"/>
          <w:sz w:val="28"/>
          <w:szCs w:val="28"/>
          <w:highlight w:val="none"/>
          <w:lang w:val="en-US" w:eastAsia="zh-CN"/>
        </w:rPr>
        <w:t>履约期间</w:t>
      </w:r>
      <w:r>
        <w:rPr>
          <w:rFonts w:hint="eastAsia" w:ascii="仿宋_GB2312" w:hAnsi="仿宋_GB2312" w:eastAsia="仿宋_GB2312" w:cs="仿宋_GB2312"/>
          <w:sz w:val="28"/>
          <w:szCs w:val="28"/>
          <w:highlight w:val="none"/>
        </w:rPr>
        <w:t>保障的售后服务以及相应的技术支持。</w:t>
      </w:r>
    </w:p>
    <w:p>
      <w:pPr>
        <w:pStyle w:val="5"/>
        <w:rPr>
          <w:highlight w:val="none"/>
        </w:rPr>
      </w:pPr>
      <w:bookmarkStart w:id="43" w:name="_Toc13038"/>
      <w:r>
        <w:rPr>
          <w:rFonts w:hint="eastAsia"/>
          <w:highlight w:val="none"/>
        </w:rPr>
        <w:t>项目交付成果</w:t>
      </w:r>
      <w:bookmarkEnd w:id="43"/>
    </w:p>
    <w:p>
      <w:p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本项目交付物包含以下成果：</w:t>
      </w:r>
    </w:p>
    <w:p>
      <w:pPr>
        <w:numPr>
          <w:ilvl w:val="0"/>
          <w:numId w:val="0"/>
        </w:numPr>
        <w:spacing w:line="360" w:lineRule="auto"/>
        <w:ind w:left="420" w:left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w:t>
      </w:r>
      <w:r>
        <w:rPr>
          <w:rFonts w:hint="eastAsia" w:ascii="仿宋_GB2312" w:hAnsi="仿宋_GB2312" w:eastAsia="仿宋_GB2312" w:cs="仿宋_GB2312"/>
          <w:sz w:val="28"/>
          <w:szCs w:val="28"/>
          <w:highlight w:val="none"/>
          <w:lang w:val="en-US" w:eastAsia="zh-CN"/>
        </w:rPr>
        <w:t>电力通信光缆</w:t>
      </w:r>
      <w:r>
        <w:rPr>
          <w:rFonts w:hint="eastAsia" w:ascii="仿宋_GB2312" w:hAnsi="仿宋_GB2312" w:eastAsia="仿宋_GB2312" w:cs="仿宋_GB2312"/>
          <w:sz w:val="28"/>
          <w:szCs w:val="28"/>
          <w:highlight w:val="none"/>
        </w:rPr>
        <w:t>路由图纸</w:t>
      </w:r>
      <w:r>
        <w:rPr>
          <w:rFonts w:hint="eastAsia" w:ascii="仿宋_GB2312" w:hAnsi="仿宋_GB2312" w:eastAsia="仿宋_GB2312" w:cs="仿宋_GB2312"/>
          <w:sz w:val="28"/>
          <w:szCs w:val="28"/>
          <w:highlight w:val="none"/>
          <w:lang w:eastAsia="zh-CN"/>
        </w:rPr>
        <w:t>；</w:t>
      </w:r>
    </w:p>
    <w:p>
      <w:pPr>
        <w:numPr>
          <w:ilvl w:val="0"/>
          <w:numId w:val="0"/>
        </w:numPr>
        <w:spacing w:line="360" w:lineRule="auto"/>
        <w:ind w:left="420" w:left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w:t>
      </w:r>
      <w:r>
        <w:rPr>
          <w:rFonts w:hint="eastAsia" w:ascii="仿宋_GB2312" w:hAnsi="仿宋_GB2312" w:eastAsia="仿宋_GB2312" w:cs="仿宋_GB2312"/>
          <w:sz w:val="28"/>
          <w:szCs w:val="28"/>
          <w:highlight w:val="none"/>
          <w:lang w:val="en-US" w:eastAsia="zh-CN"/>
        </w:rPr>
        <w:t>通信专线传输通道开通记录</w:t>
      </w:r>
      <w:r>
        <w:rPr>
          <w:rFonts w:hint="eastAsia" w:ascii="仿宋_GB2312" w:hAnsi="仿宋_GB2312" w:eastAsia="仿宋_GB2312" w:cs="仿宋_GB2312"/>
          <w:sz w:val="28"/>
          <w:szCs w:val="28"/>
          <w:highlight w:val="none"/>
          <w:lang w:eastAsia="zh-CN"/>
        </w:rPr>
        <w:t>；</w:t>
      </w:r>
    </w:p>
    <w:p>
      <w:pPr>
        <w:numPr>
          <w:ilvl w:val="0"/>
          <w:numId w:val="0"/>
        </w:numPr>
        <w:spacing w:line="360" w:lineRule="auto"/>
        <w:ind w:left="420" w:leftChars="0"/>
        <w:rPr>
          <w:rFonts w:hint="default"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rPr>
        <w:t>3）</w:t>
      </w:r>
      <w:r>
        <w:rPr>
          <w:rFonts w:hint="eastAsia" w:ascii="仿宋_GB2312" w:hAnsi="仿宋_GB2312" w:eastAsia="仿宋_GB2312" w:cs="仿宋_GB2312"/>
          <w:sz w:val="28"/>
          <w:szCs w:val="28"/>
          <w:highlight w:val="none"/>
          <w:lang w:val="en-US" w:eastAsia="zh-CN"/>
        </w:rPr>
        <w:t>通信专线传输通道测试</w:t>
      </w:r>
      <w:r>
        <w:rPr>
          <w:rFonts w:hint="eastAsia" w:ascii="仿宋_GB2312" w:hAnsi="仿宋_GB2312" w:eastAsia="仿宋_GB2312" w:cs="仿宋_GB2312"/>
          <w:sz w:val="28"/>
          <w:szCs w:val="28"/>
          <w:highlight w:val="none"/>
        </w:rPr>
        <w:t>报告</w:t>
      </w:r>
      <w:r>
        <w:rPr>
          <w:rFonts w:hint="eastAsia" w:ascii="仿宋_GB2312" w:hAnsi="仿宋_GB2312" w:eastAsia="仿宋_GB2312" w:cs="仿宋_GB2312"/>
          <w:sz w:val="28"/>
          <w:szCs w:val="28"/>
          <w:highlight w:val="none"/>
          <w:lang w:val="en-US" w:eastAsia="zh-CN"/>
        </w:rPr>
        <w:t>；</w:t>
      </w:r>
    </w:p>
    <w:p>
      <w:pPr>
        <w:numPr>
          <w:ilvl w:val="0"/>
          <w:numId w:val="0"/>
        </w:numPr>
        <w:spacing w:line="360" w:lineRule="auto"/>
        <w:ind w:left="420" w:leftChars="0"/>
        <w:rPr>
          <w:rFonts w:hint="default"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rPr>
        <w:t>4）</w:t>
      </w:r>
      <w:r>
        <w:rPr>
          <w:rFonts w:hint="eastAsia" w:ascii="仿宋_GB2312" w:hAnsi="仿宋_GB2312" w:eastAsia="仿宋_GB2312" w:cs="仿宋_GB2312"/>
          <w:sz w:val="28"/>
          <w:szCs w:val="28"/>
          <w:highlight w:val="none"/>
          <w:lang w:val="en-US" w:eastAsia="zh-CN"/>
        </w:rPr>
        <w:t>通信专线故障检修分析报告（如有）。</w:t>
      </w:r>
    </w:p>
    <w:p>
      <w:pPr>
        <w:pStyle w:val="5"/>
        <w:rPr>
          <w:rFonts w:hint="eastAsia" w:hAnsi="Arial"/>
          <w:highlight w:val="none"/>
          <w:lang w:val="en-US" w:eastAsia="zh-CN"/>
        </w:rPr>
      </w:pPr>
      <w:bookmarkStart w:id="44" w:name="_Toc15143"/>
      <w:r>
        <w:rPr>
          <w:rFonts w:hint="eastAsia" w:hAnsi="Arial"/>
          <w:highlight w:val="none"/>
          <w:lang w:val="en-US" w:eastAsia="zh-CN"/>
        </w:rPr>
        <w:t>安全保密要求</w:t>
      </w:r>
      <w:bookmarkEnd w:id="44"/>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1）中标方在服务期间，负有保护所持有、接触的属于或涉及南方电网公司商业秘密的信息安全的义务和责任。</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2）在现场服务过程中，中标方必须遵守甲方关于第三方人员管理规定要求；未经许可不得以任何方式对保密信息及工作成果进行复制、传播、泄漏、告知，不得将保密信息带离办公场所。</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3）无论何种原因导致合同解除或终止，本项目约定下的保密条款、保密内容及相关的违约责任的约定仍然生效。保密期限为签订合同之后至永久，保密范围为项目所涉及的任何资料。</w:t>
      </w:r>
    </w:p>
    <w:p>
      <w:pPr>
        <w:pStyle w:val="5"/>
        <w:rPr>
          <w:rFonts w:hint="eastAsia" w:hAnsi="Arial"/>
          <w:highlight w:val="none"/>
          <w:lang w:val="en-US" w:eastAsia="zh-CN"/>
        </w:rPr>
      </w:pPr>
      <w:bookmarkStart w:id="45" w:name="_Toc14026"/>
      <w:r>
        <w:rPr>
          <w:rFonts w:hint="eastAsia" w:hAnsi="Arial"/>
          <w:highlight w:val="none"/>
          <w:lang w:val="en-US" w:eastAsia="zh-CN"/>
        </w:rPr>
        <w:t>项目验收要求</w:t>
      </w:r>
      <w:bookmarkEnd w:id="45"/>
    </w:p>
    <w:bookmarkEnd w:id="28"/>
    <w:bookmarkEnd w:id="29"/>
    <w:p>
      <w:pPr>
        <w:spacing w:line="360" w:lineRule="auto"/>
        <w:ind w:firstLine="560" w:firstLineChars="200"/>
        <w:rPr>
          <w:rFonts w:hint="eastAsia" w:ascii="仿宋_GB2312" w:hAnsi="仿宋_GB2312" w:eastAsia="仿宋_GB2312" w:cs="仿宋_GB2312"/>
          <w:sz w:val="28"/>
          <w:szCs w:val="28"/>
          <w:highlight w:val="none"/>
        </w:rPr>
      </w:pPr>
      <w:bookmarkStart w:id="46" w:name="_Toc413948021"/>
      <w:bookmarkEnd w:id="46"/>
      <w:r>
        <w:rPr>
          <w:rFonts w:hint="eastAsia" w:ascii="仿宋_GB2312" w:hAnsi="仿宋_GB2312" w:eastAsia="仿宋_GB2312" w:cs="仿宋_GB2312"/>
          <w:sz w:val="28"/>
          <w:szCs w:val="28"/>
          <w:highlight w:val="none"/>
        </w:rPr>
        <w:t>项目</w:t>
      </w:r>
      <w:r>
        <w:rPr>
          <w:rFonts w:hint="eastAsia" w:ascii="仿宋_GB2312" w:hAnsi="仿宋_GB2312" w:eastAsia="仿宋_GB2312" w:cs="仿宋_GB2312"/>
          <w:sz w:val="28"/>
          <w:szCs w:val="28"/>
          <w:highlight w:val="none"/>
          <w:lang w:val="en-US" w:eastAsia="zh-CN"/>
        </w:rPr>
        <w:t>交付物已通过审核，</w:t>
      </w:r>
      <w:r>
        <w:rPr>
          <w:rFonts w:hint="eastAsia" w:ascii="仿宋_GB2312" w:hAnsi="仿宋_GB2312" w:eastAsia="仿宋_GB2312" w:cs="仿宋_GB2312"/>
          <w:sz w:val="28"/>
          <w:szCs w:val="28"/>
          <w:highlight w:val="none"/>
        </w:rPr>
        <w:t>并提交相关成果通过审查，乙方可申请验收</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甲方审批乙方提交的验收申请，当确定项目满足条件后组织</w:t>
      </w:r>
      <w:r>
        <w:rPr>
          <w:rFonts w:hint="eastAsia" w:ascii="仿宋_GB2312" w:hAnsi="仿宋_GB2312" w:eastAsia="仿宋_GB2312" w:cs="仿宋_GB2312"/>
          <w:sz w:val="28"/>
          <w:szCs w:val="28"/>
          <w:highlight w:val="none"/>
          <w:lang w:val="en-US" w:eastAsia="zh-CN"/>
        </w:rPr>
        <w:t>双方进行确认</w:t>
      </w:r>
      <w:r>
        <w:rPr>
          <w:rFonts w:hint="eastAsia" w:ascii="仿宋_GB2312" w:hAnsi="仿宋_GB2312" w:eastAsia="仿宋_GB2312" w:cs="仿宋_GB2312"/>
          <w:sz w:val="28"/>
          <w:szCs w:val="28"/>
          <w:highlight w:val="none"/>
        </w:rPr>
        <w:t>。甲方组织相关</w:t>
      </w:r>
      <w:r>
        <w:rPr>
          <w:rFonts w:hint="eastAsia" w:ascii="仿宋_GB2312" w:hAnsi="仿宋_GB2312" w:eastAsia="仿宋_GB2312" w:cs="仿宋_GB2312"/>
          <w:sz w:val="28"/>
          <w:szCs w:val="28"/>
          <w:highlight w:val="none"/>
          <w:lang w:val="en-US" w:eastAsia="zh-CN"/>
        </w:rPr>
        <w:t>人员</w:t>
      </w:r>
      <w:r>
        <w:rPr>
          <w:rFonts w:hint="eastAsia" w:ascii="仿宋_GB2312" w:hAnsi="仿宋_GB2312" w:eastAsia="仿宋_GB2312" w:cs="仿宋_GB2312"/>
          <w:sz w:val="28"/>
          <w:szCs w:val="28"/>
          <w:highlight w:val="none"/>
        </w:rPr>
        <w:t>参与</w:t>
      </w:r>
      <w:r>
        <w:rPr>
          <w:rFonts w:hint="eastAsia" w:ascii="仿宋_GB2312" w:hAnsi="仿宋_GB2312" w:eastAsia="仿宋_GB2312" w:cs="仿宋_GB2312"/>
          <w:sz w:val="28"/>
          <w:szCs w:val="28"/>
          <w:highlight w:val="none"/>
          <w:lang w:val="en-US" w:eastAsia="zh-CN"/>
        </w:rPr>
        <w:t>确认工作</w:t>
      </w:r>
      <w:r>
        <w:rPr>
          <w:rFonts w:hint="eastAsia" w:ascii="仿宋_GB2312" w:hAnsi="仿宋_GB2312" w:eastAsia="仿宋_GB2312" w:cs="仿宋_GB2312"/>
          <w:sz w:val="28"/>
          <w:szCs w:val="28"/>
          <w:highlight w:val="none"/>
        </w:rPr>
        <w:t>。</w:t>
      </w:r>
    </w:p>
    <w:sectPr>
      <w:headerReference r:id="rId5" w:type="first"/>
      <w:footerReference r:id="rId7" w:type="first"/>
      <w:footerReference r:id="rId6" w:type="default"/>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rPr>
        <w:rStyle w:val="34"/>
        <w:rFonts w:hint="eastAsia"/>
      </w:rPr>
      <w:t xml:space="preserve">－ </w:t>
    </w:r>
    <w:r>
      <w:fldChar w:fldCharType="begin"/>
    </w:r>
    <w:r>
      <w:rPr>
        <w:rStyle w:val="34"/>
      </w:rPr>
      <w:instrText xml:space="preserve"> PAGE </w:instrText>
    </w:r>
    <w:r>
      <w:fldChar w:fldCharType="separate"/>
    </w:r>
    <w:r>
      <w:rPr>
        <w:rStyle w:val="34"/>
      </w:rPr>
      <w:t>i</w:t>
    </w:r>
    <w:r>
      <w:fldChar w:fldCharType="end"/>
    </w:r>
    <w:r>
      <w:rPr>
        <w:rStyle w:val="34"/>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PAGE   \* MERGEFORMAT</w:instrText>
    </w:r>
    <w:r>
      <w:fldChar w:fldCharType="separate"/>
    </w:r>
    <w:r>
      <w:rPr>
        <w:lang w:val="zh-CN"/>
      </w:rPr>
      <w:t>12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 PAGE   \* MERGEFORMAT </w:instrText>
    </w:r>
    <w:r>
      <w:fldChar w:fldCharType="separate"/>
    </w:r>
    <w:r>
      <w:rPr>
        <w:lang w:val="zh-CN"/>
      </w:rPr>
      <w:t>1</w:t>
    </w:r>
    <w:r>
      <w:fldChar w:fldCharType="end"/>
    </w:r>
  </w:p>
  <w:p>
    <w:pPr>
      <w:pStyle w:val="2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right"/>
    </w:pPr>
    <w:r>
      <w:rPr>
        <w:rFonts w:hint="eastAsia"/>
      </w:rPr>
      <w:t>科研综合管理系统技术规范书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788700"/>
    <w:multiLevelType w:val="singleLevel"/>
    <w:tmpl w:val="AE788700"/>
    <w:lvl w:ilvl="0" w:tentative="0">
      <w:start w:val="1"/>
      <w:numFmt w:val="decimal"/>
      <w:lvlText w:val="%1)"/>
      <w:lvlJc w:val="left"/>
      <w:pPr>
        <w:tabs>
          <w:tab w:val="left" w:pos="312"/>
        </w:tabs>
      </w:pPr>
    </w:lvl>
  </w:abstractNum>
  <w:abstractNum w:abstractNumId="1">
    <w:nsid w:val="BB8F776B"/>
    <w:multiLevelType w:val="singleLevel"/>
    <w:tmpl w:val="BB8F776B"/>
    <w:lvl w:ilvl="0" w:tentative="0">
      <w:start w:val="1"/>
      <w:numFmt w:val="decimalEnclosedCircleChinese"/>
      <w:suff w:val="nothing"/>
      <w:lvlText w:val="%1　"/>
      <w:lvlJc w:val="left"/>
      <w:pPr>
        <w:ind w:left="0" w:firstLine="400"/>
      </w:pPr>
      <w:rPr>
        <w:rFonts w:hint="eastAsia"/>
      </w:rPr>
    </w:lvl>
  </w:abstractNum>
  <w:abstractNum w:abstractNumId="2">
    <w:nsid w:val="CE65ADEC"/>
    <w:multiLevelType w:val="singleLevel"/>
    <w:tmpl w:val="CE65ADEC"/>
    <w:lvl w:ilvl="0" w:tentative="0">
      <w:start w:val="1"/>
      <w:numFmt w:val="decimal"/>
      <w:lvlText w:val="%1)"/>
      <w:lvlJc w:val="left"/>
      <w:pPr>
        <w:tabs>
          <w:tab w:val="left" w:pos="312"/>
        </w:tabs>
      </w:pPr>
    </w:lvl>
  </w:abstractNum>
  <w:abstractNum w:abstractNumId="3">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115"/>
      <w:suff w:val="nothing"/>
      <w:lvlText w:val="%1%2.%3　"/>
      <w:lvlJc w:val="left"/>
      <w:pPr>
        <w:ind w:left="0" w:firstLine="0"/>
      </w:pPr>
      <w:rPr>
        <w:rFonts w:hint="eastAsia" w:ascii="黑体" w:hAnsi="Times New Roman" w:eastAsia="黑体"/>
        <w:b/>
        <w:i w:val="0"/>
        <w:sz w:val="21"/>
      </w:rPr>
    </w:lvl>
    <w:lvl w:ilvl="3" w:tentative="0">
      <w:start w:val="1"/>
      <w:numFmt w:val="decimal"/>
      <w:pStyle w:val="113"/>
      <w:suff w:val="nothing"/>
      <w:lvlText w:val="%1%2.%3.%4　"/>
      <w:lvlJc w:val="left"/>
      <w:pPr>
        <w:ind w:left="0" w:firstLine="0"/>
      </w:pPr>
      <w:rPr>
        <w:rFonts w:hint="eastAsia" w:ascii="黑体" w:hAnsi="Times New Roman" w:eastAsia="黑体"/>
        <w:b/>
        <w:i w:val="0"/>
        <w:sz w:val="21"/>
      </w:rPr>
    </w:lvl>
    <w:lvl w:ilvl="4" w:tentative="0">
      <w:start w:val="1"/>
      <w:numFmt w:val="decimal"/>
      <w:pStyle w:val="95"/>
      <w:suff w:val="nothing"/>
      <w:lvlText w:val="%1%2.%3.%4.%5　"/>
      <w:lvlJc w:val="left"/>
      <w:pPr>
        <w:ind w:left="0" w:firstLine="0"/>
      </w:pPr>
      <w:rPr>
        <w:rFonts w:hint="eastAsia" w:ascii="黑体" w:hAnsi="Times New Roman" w:eastAsia="黑体"/>
        <w:b/>
        <w:i w:val="0"/>
        <w:sz w:val="21"/>
      </w:rPr>
    </w:lvl>
    <w:lvl w:ilvl="5" w:tentative="0">
      <w:start w:val="1"/>
      <w:numFmt w:val="decimal"/>
      <w:pStyle w:val="100"/>
      <w:suff w:val="nothing"/>
      <w:lvlText w:val="%1%2.%3.%4.%5.%6　"/>
      <w:lvlJc w:val="left"/>
      <w:pPr>
        <w:ind w:left="0" w:firstLine="0"/>
      </w:pPr>
      <w:rPr>
        <w:rFonts w:hint="eastAsia" w:ascii="黑体" w:hAnsi="Times New Roman" w:eastAsia="黑体"/>
        <w:b/>
        <w:i w:val="0"/>
        <w:sz w:val="21"/>
      </w:rPr>
    </w:lvl>
    <w:lvl w:ilvl="6" w:tentative="0">
      <w:start w:val="1"/>
      <w:numFmt w:val="decimal"/>
      <w:pStyle w:val="97"/>
      <w:suff w:val="nothing"/>
      <w:lvlText w:val="%1%2.%3.%4.%5.%6.%7　"/>
      <w:lvlJc w:val="left"/>
      <w:pPr>
        <w:ind w:left="0" w:firstLine="0"/>
      </w:pPr>
      <w:rPr>
        <w:rFonts w:hint="eastAsia" w:ascii="黑体" w:hAnsi="Times New Roman" w:eastAsia="黑体"/>
        <w:b/>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37F91697"/>
    <w:multiLevelType w:val="singleLevel"/>
    <w:tmpl w:val="37F91697"/>
    <w:lvl w:ilvl="0" w:tentative="0">
      <w:start w:val="1"/>
      <w:numFmt w:val="decimal"/>
      <w:lvlText w:val="%1)"/>
      <w:lvlJc w:val="left"/>
      <w:pPr>
        <w:tabs>
          <w:tab w:val="left" w:pos="312"/>
        </w:tabs>
      </w:pPr>
    </w:lvl>
  </w:abstractNum>
  <w:abstractNum w:abstractNumId="5">
    <w:nsid w:val="597D6A65"/>
    <w:multiLevelType w:val="singleLevel"/>
    <w:tmpl w:val="597D6A65"/>
    <w:lvl w:ilvl="0" w:tentative="0">
      <w:start w:val="1"/>
      <w:numFmt w:val="decimalEnclosedCircleChinese"/>
      <w:suff w:val="nothing"/>
      <w:lvlText w:val="%1　"/>
      <w:lvlJc w:val="left"/>
      <w:pPr>
        <w:ind w:left="0" w:firstLine="400"/>
      </w:pPr>
      <w:rPr>
        <w:rFonts w:hint="eastAsia"/>
      </w:rPr>
    </w:lvl>
  </w:abstractNum>
  <w:abstractNum w:abstractNumId="6">
    <w:nsid w:val="5B621A86"/>
    <w:multiLevelType w:val="multilevel"/>
    <w:tmpl w:val="5B621A86"/>
    <w:lvl w:ilvl="0" w:tentative="0">
      <w:start w:val="1"/>
      <w:numFmt w:val="bullet"/>
      <w:pStyle w:val="102"/>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abstractNum w:abstractNumId="7">
    <w:nsid w:val="656E7BB8"/>
    <w:multiLevelType w:val="multilevel"/>
    <w:tmpl w:val="656E7BB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80"/>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79"/>
      <w:lvlText w:val="%1%2.%3"/>
      <w:lvlJc w:val="left"/>
      <w:pPr>
        <w:tabs>
          <w:tab w:val="left" w:pos="720"/>
        </w:tabs>
        <w:ind w:left="0" w:firstLine="0"/>
      </w:pPr>
      <w:rPr>
        <w:rFonts w:hint="eastAsia" w:ascii="黑体" w:hAnsi="Times New Roman" w:eastAsia="黑体"/>
        <w:b/>
        <w:i w:val="0"/>
        <w:sz w:val="21"/>
      </w:rPr>
    </w:lvl>
    <w:lvl w:ilvl="3" w:tentative="0">
      <w:start w:val="1"/>
      <w:numFmt w:val="decimal"/>
      <w:pStyle w:val="81"/>
      <w:lvlText w:val="%1%2.%3.%4"/>
      <w:lvlJc w:val="left"/>
      <w:pPr>
        <w:tabs>
          <w:tab w:val="left" w:pos="720"/>
        </w:tabs>
        <w:ind w:left="0" w:firstLine="0"/>
      </w:pPr>
      <w:rPr>
        <w:rFonts w:hint="eastAsia" w:ascii="黑体" w:hAnsi="Times New Roman" w:eastAsia="黑体"/>
        <w:b/>
        <w:i w:val="0"/>
        <w:sz w:val="21"/>
      </w:rPr>
    </w:lvl>
    <w:lvl w:ilvl="4" w:tentative="0">
      <w:start w:val="1"/>
      <w:numFmt w:val="decimal"/>
      <w:pStyle w:val="85"/>
      <w:lvlText w:val="%2.%3.%4.%5"/>
      <w:lvlJc w:val="left"/>
      <w:pPr>
        <w:tabs>
          <w:tab w:val="left" w:pos="1080"/>
        </w:tabs>
        <w:ind w:left="0" w:firstLine="0"/>
      </w:pPr>
      <w:rPr>
        <w:rFonts w:hint="eastAsia" w:ascii="黑体" w:hAnsi="Times New Roman" w:eastAsia="黑体"/>
        <w:b/>
        <w:i w:val="0"/>
        <w:sz w:val="21"/>
      </w:rPr>
    </w:lvl>
    <w:lvl w:ilvl="5" w:tentative="0">
      <w:start w:val="1"/>
      <w:numFmt w:val="decimal"/>
      <w:pStyle w:val="84"/>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pStyle w:val="83"/>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8">
    <w:nsid w:val="660923B1"/>
    <w:multiLevelType w:val="multilevel"/>
    <w:tmpl w:val="660923B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6883480C"/>
    <w:multiLevelType w:val="multilevel"/>
    <w:tmpl w:val="6883480C"/>
    <w:lvl w:ilvl="0" w:tentative="0">
      <w:start w:val="1"/>
      <w:numFmt w:val="decimal"/>
      <w:pStyle w:val="76"/>
      <w:lvlText w:val="%1)"/>
      <w:lvlJc w:val="left"/>
      <w:pPr>
        <w:tabs>
          <w:tab w:val="left" w:pos="839"/>
        </w:tabs>
        <w:ind w:left="0" w:firstLine="420"/>
      </w:pPr>
      <w:rPr>
        <w:rFonts w:hint="eastAsia"/>
      </w:rPr>
    </w:lvl>
    <w:lvl w:ilvl="1" w:tentative="0">
      <w:start w:val="1"/>
      <w:numFmt w:val="lowerLetter"/>
      <w:pStyle w:val="89"/>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abstractNum w:abstractNumId="10">
    <w:nsid w:val="756D29A0"/>
    <w:multiLevelType w:val="multilevel"/>
    <w:tmpl w:val="756D29A0"/>
    <w:lvl w:ilvl="0" w:tentative="0">
      <w:start w:val="1"/>
      <w:numFmt w:val="decimal"/>
      <w:pStyle w:val="4"/>
      <w:lvlText w:val="%1."/>
      <w:lvlJc w:val="left"/>
      <w:pPr>
        <w:tabs>
          <w:tab w:val="left" w:pos="425"/>
        </w:tabs>
        <w:ind w:left="425" w:hanging="425"/>
      </w:pPr>
      <w:rPr>
        <w:rFonts w:hint="default" w:ascii="黑体" w:hAnsi="黑体" w:eastAsia="黑体" w:cs="黑体"/>
        <w:b/>
        <w:bCs/>
        <w:i w:val="0"/>
        <w:spacing w:val="-12"/>
        <w:sz w:val="32"/>
        <w:szCs w:val="32"/>
      </w:rPr>
    </w:lvl>
    <w:lvl w:ilvl="1" w:tentative="0">
      <w:start w:val="1"/>
      <w:numFmt w:val="decimal"/>
      <w:pStyle w:val="5"/>
      <w:lvlText w:val="%1.%2."/>
      <w:lvlJc w:val="left"/>
      <w:pPr>
        <w:tabs>
          <w:tab w:val="left" w:pos="567"/>
        </w:tabs>
        <w:ind w:left="567" w:hanging="567"/>
      </w:pPr>
      <w:rPr>
        <w:rFonts w:hint="default" w:ascii="Times New Roman" w:hAnsi="Times New Roman" w:eastAsia="宋体"/>
        <w:sz w:val="28"/>
        <w:szCs w:val="24"/>
      </w:rPr>
    </w:lvl>
    <w:lvl w:ilvl="2" w:tentative="0">
      <w:start w:val="1"/>
      <w:numFmt w:val="decimal"/>
      <w:pStyle w:val="6"/>
      <w:lvlText w:val="%1.%2.%3."/>
      <w:lvlJc w:val="left"/>
      <w:pPr>
        <w:tabs>
          <w:tab w:val="left" w:pos="709"/>
        </w:tabs>
        <w:ind w:left="709" w:hanging="709"/>
      </w:pPr>
      <w:rPr>
        <w:rFonts w:hint="default" w:ascii="Times New Roman" w:hAnsi="Times New Roman" w:cs="Times New Roman"/>
        <w:sz w:val="28"/>
      </w:rPr>
    </w:lvl>
    <w:lvl w:ilvl="3" w:tentative="0">
      <w:start w:val="1"/>
      <w:numFmt w:val="decimal"/>
      <w:pStyle w:val="7"/>
      <w:lvlText w:val="%1.%2.%3.%4."/>
      <w:lvlJc w:val="left"/>
      <w:pPr>
        <w:tabs>
          <w:tab w:val="left" w:pos="851"/>
        </w:tabs>
        <w:ind w:left="851" w:hanging="851"/>
      </w:pPr>
      <w:rPr>
        <w:rFonts w:hint="eastAsia"/>
        <w:sz w:val="24"/>
        <w:szCs w:val="24"/>
      </w:rPr>
    </w:lvl>
    <w:lvl w:ilvl="4" w:tentative="0">
      <w:start w:val="1"/>
      <w:numFmt w:val="decimal"/>
      <w:pStyle w:val="8"/>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6"/>
  </w:num>
  <w:num w:numId="6">
    <w:abstractNumId w:val="8"/>
  </w:num>
  <w:num w:numId="7">
    <w:abstractNumId w:val="2"/>
  </w:num>
  <w:num w:numId="8">
    <w:abstractNumId w:val="4"/>
  </w:num>
  <w:num w:numId="9">
    <w:abstractNumId w:val="1"/>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21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Y2JhOTIzZDU3ZmFkZDdlNWNhMmM5Y2I0ODNhOGUifQ=="/>
  </w:docVars>
  <w:rsids>
    <w:rsidRoot w:val="00172A27"/>
    <w:rsid w:val="00000D50"/>
    <w:rsid w:val="0000348C"/>
    <w:rsid w:val="00005E57"/>
    <w:rsid w:val="0000720A"/>
    <w:rsid w:val="000121FD"/>
    <w:rsid w:val="00013FFD"/>
    <w:rsid w:val="00017A99"/>
    <w:rsid w:val="00022803"/>
    <w:rsid w:val="00023619"/>
    <w:rsid w:val="000260B5"/>
    <w:rsid w:val="00033772"/>
    <w:rsid w:val="0003434F"/>
    <w:rsid w:val="00036C48"/>
    <w:rsid w:val="0003775A"/>
    <w:rsid w:val="00037956"/>
    <w:rsid w:val="00037E03"/>
    <w:rsid w:val="00041C8E"/>
    <w:rsid w:val="00042573"/>
    <w:rsid w:val="00043DA6"/>
    <w:rsid w:val="00044737"/>
    <w:rsid w:val="00044959"/>
    <w:rsid w:val="000460CF"/>
    <w:rsid w:val="00046480"/>
    <w:rsid w:val="00046A59"/>
    <w:rsid w:val="00047B73"/>
    <w:rsid w:val="000502F5"/>
    <w:rsid w:val="00055AAF"/>
    <w:rsid w:val="00057111"/>
    <w:rsid w:val="00057E39"/>
    <w:rsid w:val="00063D61"/>
    <w:rsid w:val="00064034"/>
    <w:rsid w:val="00066CE1"/>
    <w:rsid w:val="00073CA7"/>
    <w:rsid w:val="000750C0"/>
    <w:rsid w:val="00075968"/>
    <w:rsid w:val="00076BEC"/>
    <w:rsid w:val="00077E62"/>
    <w:rsid w:val="00083F7F"/>
    <w:rsid w:val="0008479C"/>
    <w:rsid w:val="00086535"/>
    <w:rsid w:val="00086696"/>
    <w:rsid w:val="0009092E"/>
    <w:rsid w:val="0009151E"/>
    <w:rsid w:val="00092316"/>
    <w:rsid w:val="00093AA4"/>
    <w:rsid w:val="00093C06"/>
    <w:rsid w:val="00094447"/>
    <w:rsid w:val="0009664D"/>
    <w:rsid w:val="00097860"/>
    <w:rsid w:val="00097BCC"/>
    <w:rsid w:val="000A1952"/>
    <w:rsid w:val="000A510C"/>
    <w:rsid w:val="000A719D"/>
    <w:rsid w:val="000B0A24"/>
    <w:rsid w:val="000B547C"/>
    <w:rsid w:val="000B5606"/>
    <w:rsid w:val="000B7E17"/>
    <w:rsid w:val="000C36E1"/>
    <w:rsid w:val="000C7448"/>
    <w:rsid w:val="000D3286"/>
    <w:rsid w:val="000D4E82"/>
    <w:rsid w:val="000D5FF1"/>
    <w:rsid w:val="000D6285"/>
    <w:rsid w:val="000D709A"/>
    <w:rsid w:val="000E0755"/>
    <w:rsid w:val="000E2D49"/>
    <w:rsid w:val="000E3BDE"/>
    <w:rsid w:val="000E578B"/>
    <w:rsid w:val="000E7F2A"/>
    <w:rsid w:val="000F0423"/>
    <w:rsid w:val="000F0FD1"/>
    <w:rsid w:val="000F1E0E"/>
    <w:rsid w:val="000F2A0B"/>
    <w:rsid w:val="000F2FAE"/>
    <w:rsid w:val="000F7F89"/>
    <w:rsid w:val="001000D4"/>
    <w:rsid w:val="00101604"/>
    <w:rsid w:val="00104FF5"/>
    <w:rsid w:val="00106015"/>
    <w:rsid w:val="001060B5"/>
    <w:rsid w:val="00107FA2"/>
    <w:rsid w:val="0011046C"/>
    <w:rsid w:val="00112149"/>
    <w:rsid w:val="0011399E"/>
    <w:rsid w:val="00114AE3"/>
    <w:rsid w:val="001151EC"/>
    <w:rsid w:val="00115D81"/>
    <w:rsid w:val="00121591"/>
    <w:rsid w:val="00121AD8"/>
    <w:rsid w:val="001220D3"/>
    <w:rsid w:val="001269EB"/>
    <w:rsid w:val="00130818"/>
    <w:rsid w:val="001323AF"/>
    <w:rsid w:val="00132E9A"/>
    <w:rsid w:val="00133432"/>
    <w:rsid w:val="001334F5"/>
    <w:rsid w:val="00133628"/>
    <w:rsid w:val="0013466B"/>
    <w:rsid w:val="00142E94"/>
    <w:rsid w:val="00143558"/>
    <w:rsid w:val="001475C3"/>
    <w:rsid w:val="00153210"/>
    <w:rsid w:val="0015464D"/>
    <w:rsid w:val="00155EE4"/>
    <w:rsid w:val="00156E1F"/>
    <w:rsid w:val="00160798"/>
    <w:rsid w:val="00162091"/>
    <w:rsid w:val="00163FB2"/>
    <w:rsid w:val="001645CC"/>
    <w:rsid w:val="0017091A"/>
    <w:rsid w:val="00172287"/>
    <w:rsid w:val="0017330D"/>
    <w:rsid w:val="00174753"/>
    <w:rsid w:val="001815AD"/>
    <w:rsid w:val="00182559"/>
    <w:rsid w:val="00182BA8"/>
    <w:rsid w:val="00183FBE"/>
    <w:rsid w:val="001911CC"/>
    <w:rsid w:val="00193E1A"/>
    <w:rsid w:val="00193EB7"/>
    <w:rsid w:val="00194004"/>
    <w:rsid w:val="00194904"/>
    <w:rsid w:val="00197254"/>
    <w:rsid w:val="001A1838"/>
    <w:rsid w:val="001A2880"/>
    <w:rsid w:val="001A3BE0"/>
    <w:rsid w:val="001B0047"/>
    <w:rsid w:val="001B206A"/>
    <w:rsid w:val="001B42AB"/>
    <w:rsid w:val="001B5046"/>
    <w:rsid w:val="001B56E6"/>
    <w:rsid w:val="001B6EA3"/>
    <w:rsid w:val="001C0EFB"/>
    <w:rsid w:val="001C35F0"/>
    <w:rsid w:val="001C37D5"/>
    <w:rsid w:val="001C49B9"/>
    <w:rsid w:val="001C62F7"/>
    <w:rsid w:val="001D0263"/>
    <w:rsid w:val="001D09B4"/>
    <w:rsid w:val="001D0D52"/>
    <w:rsid w:val="001D2508"/>
    <w:rsid w:val="001D342B"/>
    <w:rsid w:val="001D4231"/>
    <w:rsid w:val="001D4645"/>
    <w:rsid w:val="001D4F79"/>
    <w:rsid w:val="001D5A13"/>
    <w:rsid w:val="001D78A5"/>
    <w:rsid w:val="001E02B4"/>
    <w:rsid w:val="001E1E26"/>
    <w:rsid w:val="001F4C38"/>
    <w:rsid w:val="001F5521"/>
    <w:rsid w:val="001F5AC1"/>
    <w:rsid w:val="001F6841"/>
    <w:rsid w:val="002000FF"/>
    <w:rsid w:val="00200E0E"/>
    <w:rsid w:val="00201F57"/>
    <w:rsid w:val="00202AC5"/>
    <w:rsid w:val="00205CF9"/>
    <w:rsid w:val="00207092"/>
    <w:rsid w:val="00211BBC"/>
    <w:rsid w:val="00212A02"/>
    <w:rsid w:val="00212A43"/>
    <w:rsid w:val="002146BD"/>
    <w:rsid w:val="00214B9F"/>
    <w:rsid w:val="002152C7"/>
    <w:rsid w:val="002271EB"/>
    <w:rsid w:val="00227A46"/>
    <w:rsid w:val="002378B0"/>
    <w:rsid w:val="00242F19"/>
    <w:rsid w:val="00244C71"/>
    <w:rsid w:val="00250054"/>
    <w:rsid w:val="00252B35"/>
    <w:rsid w:val="00253702"/>
    <w:rsid w:val="00255180"/>
    <w:rsid w:val="002603A8"/>
    <w:rsid w:val="002616A2"/>
    <w:rsid w:val="00267C58"/>
    <w:rsid w:val="0027048D"/>
    <w:rsid w:val="002719A8"/>
    <w:rsid w:val="002724B6"/>
    <w:rsid w:val="00273A73"/>
    <w:rsid w:val="0027477D"/>
    <w:rsid w:val="00276683"/>
    <w:rsid w:val="00283641"/>
    <w:rsid w:val="00284E34"/>
    <w:rsid w:val="00285F75"/>
    <w:rsid w:val="00290519"/>
    <w:rsid w:val="00293007"/>
    <w:rsid w:val="002951D8"/>
    <w:rsid w:val="00295CE6"/>
    <w:rsid w:val="00295FFE"/>
    <w:rsid w:val="00296CAF"/>
    <w:rsid w:val="002A3497"/>
    <w:rsid w:val="002A62BC"/>
    <w:rsid w:val="002A6846"/>
    <w:rsid w:val="002A6DB1"/>
    <w:rsid w:val="002A7157"/>
    <w:rsid w:val="002B0956"/>
    <w:rsid w:val="002B48F6"/>
    <w:rsid w:val="002B53DD"/>
    <w:rsid w:val="002B6C9A"/>
    <w:rsid w:val="002C0CF1"/>
    <w:rsid w:val="002C1FED"/>
    <w:rsid w:val="002C34CD"/>
    <w:rsid w:val="002C409C"/>
    <w:rsid w:val="002C48AB"/>
    <w:rsid w:val="002C4C90"/>
    <w:rsid w:val="002C673E"/>
    <w:rsid w:val="002D11A3"/>
    <w:rsid w:val="002D6D59"/>
    <w:rsid w:val="002E435B"/>
    <w:rsid w:val="002F00FE"/>
    <w:rsid w:val="002F1A0F"/>
    <w:rsid w:val="002F1F91"/>
    <w:rsid w:val="002F6083"/>
    <w:rsid w:val="002F721F"/>
    <w:rsid w:val="00302A86"/>
    <w:rsid w:val="00303B2E"/>
    <w:rsid w:val="00305AB0"/>
    <w:rsid w:val="00307CDA"/>
    <w:rsid w:val="003101B3"/>
    <w:rsid w:val="003109C3"/>
    <w:rsid w:val="003125BC"/>
    <w:rsid w:val="0031444E"/>
    <w:rsid w:val="00316B89"/>
    <w:rsid w:val="00317BCA"/>
    <w:rsid w:val="0032084C"/>
    <w:rsid w:val="00321A55"/>
    <w:rsid w:val="00321C4D"/>
    <w:rsid w:val="00322AD6"/>
    <w:rsid w:val="00324116"/>
    <w:rsid w:val="00324446"/>
    <w:rsid w:val="003260CE"/>
    <w:rsid w:val="0032725E"/>
    <w:rsid w:val="00340324"/>
    <w:rsid w:val="00340D25"/>
    <w:rsid w:val="00341293"/>
    <w:rsid w:val="00342CDE"/>
    <w:rsid w:val="003474C7"/>
    <w:rsid w:val="00352D6C"/>
    <w:rsid w:val="0035312B"/>
    <w:rsid w:val="00353296"/>
    <w:rsid w:val="003537D9"/>
    <w:rsid w:val="003577C3"/>
    <w:rsid w:val="00360608"/>
    <w:rsid w:val="00360CC2"/>
    <w:rsid w:val="003618F4"/>
    <w:rsid w:val="0036353C"/>
    <w:rsid w:val="00366AC6"/>
    <w:rsid w:val="00367A1B"/>
    <w:rsid w:val="00367D2C"/>
    <w:rsid w:val="003702E5"/>
    <w:rsid w:val="00371E62"/>
    <w:rsid w:val="003731FA"/>
    <w:rsid w:val="00373886"/>
    <w:rsid w:val="00381216"/>
    <w:rsid w:val="00382726"/>
    <w:rsid w:val="003859C4"/>
    <w:rsid w:val="00385A02"/>
    <w:rsid w:val="00387897"/>
    <w:rsid w:val="00387B5B"/>
    <w:rsid w:val="003915C4"/>
    <w:rsid w:val="00393DB4"/>
    <w:rsid w:val="00396F74"/>
    <w:rsid w:val="003A0026"/>
    <w:rsid w:val="003A3FBF"/>
    <w:rsid w:val="003B207C"/>
    <w:rsid w:val="003B52F5"/>
    <w:rsid w:val="003B7B48"/>
    <w:rsid w:val="003C0751"/>
    <w:rsid w:val="003C0B4B"/>
    <w:rsid w:val="003C2D3A"/>
    <w:rsid w:val="003C45E0"/>
    <w:rsid w:val="003C5730"/>
    <w:rsid w:val="003D017E"/>
    <w:rsid w:val="003D28DE"/>
    <w:rsid w:val="003D3694"/>
    <w:rsid w:val="003D5712"/>
    <w:rsid w:val="003D57C8"/>
    <w:rsid w:val="003D6686"/>
    <w:rsid w:val="003D7FC8"/>
    <w:rsid w:val="003E0571"/>
    <w:rsid w:val="003E4122"/>
    <w:rsid w:val="003E4954"/>
    <w:rsid w:val="003E51C1"/>
    <w:rsid w:val="003E6326"/>
    <w:rsid w:val="003E714E"/>
    <w:rsid w:val="003F0F03"/>
    <w:rsid w:val="003F119B"/>
    <w:rsid w:val="003F1880"/>
    <w:rsid w:val="003F4046"/>
    <w:rsid w:val="003F507A"/>
    <w:rsid w:val="003F5F86"/>
    <w:rsid w:val="0040001A"/>
    <w:rsid w:val="00405A8B"/>
    <w:rsid w:val="00406110"/>
    <w:rsid w:val="00406467"/>
    <w:rsid w:val="00407316"/>
    <w:rsid w:val="00411167"/>
    <w:rsid w:val="004132A7"/>
    <w:rsid w:val="00413CCF"/>
    <w:rsid w:val="00414882"/>
    <w:rsid w:val="00414EE9"/>
    <w:rsid w:val="004152F9"/>
    <w:rsid w:val="00416F1F"/>
    <w:rsid w:val="00417CB6"/>
    <w:rsid w:val="00424D66"/>
    <w:rsid w:val="00424DA9"/>
    <w:rsid w:val="00427368"/>
    <w:rsid w:val="00427F70"/>
    <w:rsid w:val="0043033F"/>
    <w:rsid w:val="00433585"/>
    <w:rsid w:val="004405D1"/>
    <w:rsid w:val="0044425D"/>
    <w:rsid w:val="0045439A"/>
    <w:rsid w:val="00462EAD"/>
    <w:rsid w:val="004635F6"/>
    <w:rsid w:val="00463E78"/>
    <w:rsid w:val="004673EE"/>
    <w:rsid w:val="00470281"/>
    <w:rsid w:val="00472EC5"/>
    <w:rsid w:val="00477C18"/>
    <w:rsid w:val="004852AB"/>
    <w:rsid w:val="004870AF"/>
    <w:rsid w:val="00491849"/>
    <w:rsid w:val="00493D71"/>
    <w:rsid w:val="00494B36"/>
    <w:rsid w:val="004972E2"/>
    <w:rsid w:val="004A2225"/>
    <w:rsid w:val="004A56C5"/>
    <w:rsid w:val="004B08A1"/>
    <w:rsid w:val="004B38AF"/>
    <w:rsid w:val="004B632D"/>
    <w:rsid w:val="004B6CEF"/>
    <w:rsid w:val="004B7AA3"/>
    <w:rsid w:val="004C3134"/>
    <w:rsid w:val="004C671D"/>
    <w:rsid w:val="004D0327"/>
    <w:rsid w:val="004D112A"/>
    <w:rsid w:val="004D450F"/>
    <w:rsid w:val="004D4EF4"/>
    <w:rsid w:val="004E22BB"/>
    <w:rsid w:val="004E7750"/>
    <w:rsid w:val="004F4496"/>
    <w:rsid w:val="004F49D8"/>
    <w:rsid w:val="004F4AB9"/>
    <w:rsid w:val="005016E5"/>
    <w:rsid w:val="0050202A"/>
    <w:rsid w:val="005022A9"/>
    <w:rsid w:val="005025A0"/>
    <w:rsid w:val="00506913"/>
    <w:rsid w:val="00506A54"/>
    <w:rsid w:val="00507D6D"/>
    <w:rsid w:val="00510E5A"/>
    <w:rsid w:val="00515CB9"/>
    <w:rsid w:val="00516A1C"/>
    <w:rsid w:val="005178BF"/>
    <w:rsid w:val="00522694"/>
    <w:rsid w:val="00522B84"/>
    <w:rsid w:val="00524022"/>
    <w:rsid w:val="00524957"/>
    <w:rsid w:val="00535383"/>
    <w:rsid w:val="005473A0"/>
    <w:rsid w:val="005473CE"/>
    <w:rsid w:val="00550EC1"/>
    <w:rsid w:val="0055589F"/>
    <w:rsid w:val="00555EBF"/>
    <w:rsid w:val="005564F1"/>
    <w:rsid w:val="005570E2"/>
    <w:rsid w:val="00557A67"/>
    <w:rsid w:val="00561C41"/>
    <w:rsid w:val="00562AF8"/>
    <w:rsid w:val="0056365E"/>
    <w:rsid w:val="00563D8F"/>
    <w:rsid w:val="00564984"/>
    <w:rsid w:val="00564C79"/>
    <w:rsid w:val="005665E8"/>
    <w:rsid w:val="00572A4A"/>
    <w:rsid w:val="005742AC"/>
    <w:rsid w:val="00574AAC"/>
    <w:rsid w:val="0057518B"/>
    <w:rsid w:val="00576615"/>
    <w:rsid w:val="00576F68"/>
    <w:rsid w:val="00577506"/>
    <w:rsid w:val="0058310A"/>
    <w:rsid w:val="00583B21"/>
    <w:rsid w:val="0058791E"/>
    <w:rsid w:val="00590853"/>
    <w:rsid w:val="005911AC"/>
    <w:rsid w:val="00591310"/>
    <w:rsid w:val="0059142B"/>
    <w:rsid w:val="00594A01"/>
    <w:rsid w:val="005954D7"/>
    <w:rsid w:val="00597C7D"/>
    <w:rsid w:val="005A00E8"/>
    <w:rsid w:val="005A16A1"/>
    <w:rsid w:val="005A291F"/>
    <w:rsid w:val="005A52EB"/>
    <w:rsid w:val="005A6A03"/>
    <w:rsid w:val="005B0205"/>
    <w:rsid w:val="005B0453"/>
    <w:rsid w:val="005B3FE5"/>
    <w:rsid w:val="005B4336"/>
    <w:rsid w:val="005B771C"/>
    <w:rsid w:val="005C2F7D"/>
    <w:rsid w:val="005C35B2"/>
    <w:rsid w:val="005C54E3"/>
    <w:rsid w:val="005C59B8"/>
    <w:rsid w:val="005C63DC"/>
    <w:rsid w:val="005C728A"/>
    <w:rsid w:val="005D2704"/>
    <w:rsid w:val="005D6805"/>
    <w:rsid w:val="005D6C8D"/>
    <w:rsid w:val="005E1F78"/>
    <w:rsid w:val="005E2E91"/>
    <w:rsid w:val="005E2F1D"/>
    <w:rsid w:val="005E3072"/>
    <w:rsid w:val="005E615D"/>
    <w:rsid w:val="005F35C5"/>
    <w:rsid w:val="005F5139"/>
    <w:rsid w:val="005F53CC"/>
    <w:rsid w:val="006007D2"/>
    <w:rsid w:val="00601336"/>
    <w:rsid w:val="00604011"/>
    <w:rsid w:val="00605A0C"/>
    <w:rsid w:val="00611BBD"/>
    <w:rsid w:val="006154A7"/>
    <w:rsid w:val="00615AF7"/>
    <w:rsid w:val="00615CA5"/>
    <w:rsid w:val="0062045C"/>
    <w:rsid w:val="00620AD7"/>
    <w:rsid w:val="006211CB"/>
    <w:rsid w:val="00621EF9"/>
    <w:rsid w:val="00623392"/>
    <w:rsid w:val="00624382"/>
    <w:rsid w:val="00627A2F"/>
    <w:rsid w:val="00631139"/>
    <w:rsid w:val="00631F04"/>
    <w:rsid w:val="00633367"/>
    <w:rsid w:val="00634ECE"/>
    <w:rsid w:val="006355F3"/>
    <w:rsid w:val="00643E94"/>
    <w:rsid w:val="00644256"/>
    <w:rsid w:val="006471E9"/>
    <w:rsid w:val="00651471"/>
    <w:rsid w:val="006533F5"/>
    <w:rsid w:val="0065552A"/>
    <w:rsid w:val="00656FFD"/>
    <w:rsid w:val="00657C97"/>
    <w:rsid w:val="0066302A"/>
    <w:rsid w:val="00665545"/>
    <w:rsid w:val="006661A2"/>
    <w:rsid w:val="00667223"/>
    <w:rsid w:val="006715AF"/>
    <w:rsid w:val="00671BE7"/>
    <w:rsid w:val="0067302B"/>
    <w:rsid w:val="006737F2"/>
    <w:rsid w:val="0067445A"/>
    <w:rsid w:val="00680265"/>
    <w:rsid w:val="0068330C"/>
    <w:rsid w:val="006847EC"/>
    <w:rsid w:val="00692D1C"/>
    <w:rsid w:val="00692F98"/>
    <w:rsid w:val="006945A5"/>
    <w:rsid w:val="0069565F"/>
    <w:rsid w:val="0069638E"/>
    <w:rsid w:val="00696EFC"/>
    <w:rsid w:val="006A2071"/>
    <w:rsid w:val="006A62C1"/>
    <w:rsid w:val="006A7981"/>
    <w:rsid w:val="006B26CF"/>
    <w:rsid w:val="006B42AE"/>
    <w:rsid w:val="006B6271"/>
    <w:rsid w:val="006C4658"/>
    <w:rsid w:val="006D6CDE"/>
    <w:rsid w:val="006E3C88"/>
    <w:rsid w:val="006E41B6"/>
    <w:rsid w:val="006E46F2"/>
    <w:rsid w:val="006F005B"/>
    <w:rsid w:val="006F2188"/>
    <w:rsid w:val="006F3F2E"/>
    <w:rsid w:val="006F4EB3"/>
    <w:rsid w:val="006F4F73"/>
    <w:rsid w:val="006F76DF"/>
    <w:rsid w:val="007002CD"/>
    <w:rsid w:val="00701AF1"/>
    <w:rsid w:val="00713E4B"/>
    <w:rsid w:val="00713F1E"/>
    <w:rsid w:val="007141B3"/>
    <w:rsid w:val="00714E99"/>
    <w:rsid w:val="007161B9"/>
    <w:rsid w:val="007162CE"/>
    <w:rsid w:val="0072099E"/>
    <w:rsid w:val="007209C4"/>
    <w:rsid w:val="00722A6C"/>
    <w:rsid w:val="00722FC0"/>
    <w:rsid w:val="007236B2"/>
    <w:rsid w:val="007247BA"/>
    <w:rsid w:val="00724819"/>
    <w:rsid w:val="00730326"/>
    <w:rsid w:val="00730748"/>
    <w:rsid w:val="00730F31"/>
    <w:rsid w:val="00732464"/>
    <w:rsid w:val="007344AC"/>
    <w:rsid w:val="0073614A"/>
    <w:rsid w:val="00737ADA"/>
    <w:rsid w:val="00740B30"/>
    <w:rsid w:val="00744E12"/>
    <w:rsid w:val="00745596"/>
    <w:rsid w:val="00747FE0"/>
    <w:rsid w:val="00751F1A"/>
    <w:rsid w:val="007545D3"/>
    <w:rsid w:val="00754CEA"/>
    <w:rsid w:val="00755CFA"/>
    <w:rsid w:val="00757740"/>
    <w:rsid w:val="00760F42"/>
    <w:rsid w:val="007640B0"/>
    <w:rsid w:val="00764B0D"/>
    <w:rsid w:val="00764B13"/>
    <w:rsid w:val="00770492"/>
    <w:rsid w:val="007709B2"/>
    <w:rsid w:val="00770C0C"/>
    <w:rsid w:val="007717AE"/>
    <w:rsid w:val="00771CDB"/>
    <w:rsid w:val="00772431"/>
    <w:rsid w:val="0077344A"/>
    <w:rsid w:val="00773A70"/>
    <w:rsid w:val="00774FA3"/>
    <w:rsid w:val="007829FA"/>
    <w:rsid w:val="007852CA"/>
    <w:rsid w:val="00786E27"/>
    <w:rsid w:val="00790CBF"/>
    <w:rsid w:val="007924F4"/>
    <w:rsid w:val="00793EE4"/>
    <w:rsid w:val="00794ABD"/>
    <w:rsid w:val="007959AF"/>
    <w:rsid w:val="007A2B46"/>
    <w:rsid w:val="007A49B4"/>
    <w:rsid w:val="007A597F"/>
    <w:rsid w:val="007B10FA"/>
    <w:rsid w:val="007B1B96"/>
    <w:rsid w:val="007B299C"/>
    <w:rsid w:val="007B306B"/>
    <w:rsid w:val="007B368C"/>
    <w:rsid w:val="007C3AE9"/>
    <w:rsid w:val="007C7406"/>
    <w:rsid w:val="007D16A0"/>
    <w:rsid w:val="007D2FDB"/>
    <w:rsid w:val="007D3D6D"/>
    <w:rsid w:val="007D46B6"/>
    <w:rsid w:val="007E2F6B"/>
    <w:rsid w:val="007E49C5"/>
    <w:rsid w:val="007E6852"/>
    <w:rsid w:val="007E7415"/>
    <w:rsid w:val="007F1426"/>
    <w:rsid w:val="007F40D9"/>
    <w:rsid w:val="007F7014"/>
    <w:rsid w:val="007F710A"/>
    <w:rsid w:val="00802610"/>
    <w:rsid w:val="008046F6"/>
    <w:rsid w:val="008060C4"/>
    <w:rsid w:val="008109B1"/>
    <w:rsid w:val="00811F04"/>
    <w:rsid w:val="00812F3D"/>
    <w:rsid w:val="0081313A"/>
    <w:rsid w:val="008150CB"/>
    <w:rsid w:val="008164E2"/>
    <w:rsid w:val="00816F68"/>
    <w:rsid w:val="00817363"/>
    <w:rsid w:val="0082157C"/>
    <w:rsid w:val="008233D8"/>
    <w:rsid w:val="00823DDF"/>
    <w:rsid w:val="00825981"/>
    <w:rsid w:val="00825F8D"/>
    <w:rsid w:val="008262CB"/>
    <w:rsid w:val="0082758C"/>
    <w:rsid w:val="008317FD"/>
    <w:rsid w:val="00831955"/>
    <w:rsid w:val="00831A2A"/>
    <w:rsid w:val="0083226C"/>
    <w:rsid w:val="00832528"/>
    <w:rsid w:val="0083386E"/>
    <w:rsid w:val="0083566E"/>
    <w:rsid w:val="0084298F"/>
    <w:rsid w:val="00843DB4"/>
    <w:rsid w:val="00844F7A"/>
    <w:rsid w:val="00846C44"/>
    <w:rsid w:val="008544A3"/>
    <w:rsid w:val="00856B3E"/>
    <w:rsid w:val="00857916"/>
    <w:rsid w:val="00857DCE"/>
    <w:rsid w:val="00860213"/>
    <w:rsid w:val="00861241"/>
    <w:rsid w:val="00863B35"/>
    <w:rsid w:val="008646A2"/>
    <w:rsid w:val="00864E96"/>
    <w:rsid w:val="00865447"/>
    <w:rsid w:val="00871EB5"/>
    <w:rsid w:val="00871FDA"/>
    <w:rsid w:val="00872EA8"/>
    <w:rsid w:val="00877257"/>
    <w:rsid w:val="008807BA"/>
    <w:rsid w:val="00882B37"/>
    <w:rsid w:val="00883DC5"/>
    <w:rsid w:val="00890CA5"/>
    <w:rsid w:val="00897008"/>
    <w:rsid w:val="008A3FA6"/>
    <w:rsid w:val="008A4730"/>
    <w:rsid w:val="008A4917"/>
    <w:rsid w:val="008B0EFB"/>
    <w:rsid w:val="008B307F"/>
    <w:rsid w:val="008B5DC2"/>
    <w:rsid w:val="008B5E7A"/>
    <w:rsid w:val="008B7FFA"/>
    <w:rsid w:val="008C04C6"/>
    <w:rsid w:val="008C068F"/>
    <w:rsid w:val="008C0974"/>
    <w:rsid w:val="008C17C9"/>
    <w:rsid w:val="008C2E13"/>
    <w:rsid w:val="008C368A"/>
    <w:rsid w:val="008D02BF"/>
    <w:rsid w:val="008D1B39"/>
    <w:rsid w:val="008D2415"/>
    <w:rsid w:val="008D65BB"/>
    <w:rsid w:val="008D76E6"/>
    <w:rsid w:val="008D7765"/>
    <w:rsid w:val="008D7A99"/>
    <w:rsid w:val="008E087E"/>
    <w:rsid w:val="008E1070"/>
    <w:rsid w:val="008E362C"/>
    <w:rsid w:val="008E43B8"/>
    <w:rsid w:val="008E6A23"/>
    <w:rsid w:val="008F0253"/>
    <w:rsid w:val="008F3884"/>
    <w:rsid w:val="008F5088"/>
    <w:rsid w:val="008F6A86"/>
    <w:rsid w:val="008F6EFD"/>
    <w:rsid w:val="008F75C1"/>
    <w:rsid w:val="008F79A6"/>
    <w:rsid w:val="009006DD"/>
    <w:rsid w:val="00910E2D"/>
    <w:rsid w:val="009114E0"/>
    <w:rsid w:val="00912FA7"/>
    <w:rsid w:val="00913102"/>
    <w:rsid w:val="009136CA"/>
    <w:rsid w:val="0092599E"/>
    <w:rsid w:val="00926D64"/>
    <w:rsid w:val="0092729E"/>
    <w:rsid w:val="009323EB"/>
    <w:rsid w:val="00933C4A"/>
    <w:rsid w:val="00951B43"/>
    <w:rsid w:val="009528B0"/>
    <w:rsid w:val="00954315"/>
    <w:rsid w:val="009571AA"/>
    <w:rsid w:val="00957A5D"/>
    <w:rsid w:val="00960E5A"/>
    <w:rsid w:val="00963BA8"/>
    <w:rsid w:val="009648B5"/>
    <w:rsid w:val="00965563"/>
    <w:rsid w:val="00965715"/>
    <w:rsid w:val="00967914"/>
    <w:rsid w:val="009720C7"/>
    <w:rsid w:val="009735E8"/>
    <w:rsid w:val="0097363B"/>
    <w:rsid w:val="009759C1"/>
    <w:rsid w:val="009764A2"/>
    <w:rsid w:val="009803FD"/>
    <w:rsid w:val="00982EB5"/>
    <w:rsid w:val="00983029"/>
    <w:rsid w:val="009854A7"/>
    <w:rsid w:val="0099120C"/>
    <w:rsid w:val="00991F5D"/>
    <w:rsid w:val="009A1D9D"/>
    <w:rsid w:val="009A3AF6"/>
    <w:rsid w:val="009A3FFC"/>
    <w:rsid w:val="009A4F16"/>
    <w:rsid w:val="009A5C6C"/>
    <w:rsid w:val="009A6E66"/>
    <w:rsid w:val="009A787F"/>
    <w:rsid w:val="009A788F"/>
    <w:rsid w:val="009B1A9B"/>
    <w:rsid w:val="009B359D"/>
    <w:rsid w:val="009B37E6"/>
    <w:rsid w:val="009B5626"/>
    <w:rsid w:val="009B7AEA"/>
    <w:rsid w:val="009C111A"/>
    <w:rsid w:val="009C1ED5"/>
    <w:rsid w:val="009C5F04"/>
    <w:rsid w:val="009C6C41"/>
    <w:rsid w:val="009C7C92"/>
    <w:rsid w:val="009C7CFB"/>
    <w:rsid w:val="009D11EC"/>
    <w:rsid w:val="009D61A6"/>
    <w:rsid w:val="009D6469"/>
    <w:rsid w:val="009D7260"/>
    <w:rsid w:val="009D73E5"/>
    <w:rsid w:val="009D7613"/>
    <w:rsid w:val="009E1FC6"/>
    <w:rsid w:val="009E43E3"/>
    <w:rsid w:val="009E646F"/>
    <w:rsid w:val="009E6E0D"/>
    <w:rsid w:val="009E779D"/>
    <w:rsid w:val="009F0AE4"/>
    <w:rsid w:val="009F10E5"/>
    <w:rsid w:val="009F2043"/>
    <w:rsid w:val="009F5B0C"/>
    <w:rsid w:val="009F7EAF"/>
    <w:rsid w:val="00A020BB"/>
    <w:rsid w:val="00A02EAE"/>
    <w:rsid w:val="00A033F9"/>
    <w:rsid w:val="00A04997"/>
    <w:rsid w:val="00A057B4"/>
    <w:rsid w:val="00A11C35"/>
    <w:rsid w:val="00A120B9"/>
    <w:rsid w:val="00A2092D"/>
    <w:rsid w:val="00A20D16"/>
    <w:rsid w:val="00A212DC"/>
    <w:rsid w:val="00A2144B"/>
    <w:rsid w:val="00A27F8C"/>
    <w:rsid w:val="00A30AD0"/>
    <w:rsid w:val="00A31EB5"/>
    <w:rsid w:val="00A3471B"/>
    <w:rsid w:val="00A4174C"/>
    <w:rsid w:val="00A424DA"/>
    <w:rsid w:val="00A427E0"/>
    <w:rsid w:val="00A45943"/>
    <w:rsid w:val="00A55C14"/>
    <w:rsid w:val="00A562BA"/>
    <w:rsid w:val="00A56624"/>
    <w:rsid w:val="00A57ED4"/>
    <w:rsid w:val="00A607BC"/>
    <w:rsid w:val="00A64A77"/>
    <w:rsid w:val="00A66542"/>
    <w:rsid w:val="00A74163"/>
    <w:rsid w:val="00A747F7"/>
    <w:rsid w:val="00A775A9"/>
    <w:rsid w:val="00A8198C"/>
    <w:rsid w:val="00A82086"/>
    <w:rsid w:val="00A82DF6"/>
    <w:rsid w:val="00A83423"/>
    <w:rsid w:val="00A84402"/>
    <w:rsid w:val="00A8652B"/>
    <w:rsid w:val="00A87A6E"/>
    <w:rsid w:val="00A9059D"/>
    <w:rsid w:val="00A92B65"/>
    <w:rsid w:val="00A94233"/>
    <w:rsid w:val="00A95F48"/>
    <w:rsid w:val="00A96328"/>
    <w:rsid w:val="00AA060E"/>
    <w:rsid w:val="00AA22BC"/>
    <w:rsid w:val="00AB0EA9"/>
    <w:rsid w:val="00AB115A"/>
    <w:rsid w:val="00AB4CF6"/>
    <w:rsid w:val="00AB5406"/>
    <w:rsid w:val="00AB6F6C"/>
    <w:rsid w:val="00AB75BB"/>
    <w:rsid w:val="00AB7A75"/>
    <w:rsid w:val="00AC09FC"/>
    <w:rsid w:val="00AC2D96"/>
    <w:rsid w:val="00AC3498"/>
    <w:rsid w:val="00AC4254"/>
    <w:rsid w:val="00AC4287"/>
    <w:rsid w:val="00AD06E4"/>
    <w:rsid w:val="00AD0E54"/>
    <w:rsid w:val="00AD1864"/>
    <w:rsid w:val="00AD1DC1"/>
    <w:rsid w:val="00AD3FEF"/>
    <w:rsid w:val="00AD6E65"/>
    <w:rsid w:val="00AD767B"/>
    <w:rsid w:val="00AE1027"/>
    <w:rsid w:val="00AE1250"/>
    <w:rsid w:val="00AE3061"/>
    <w:rsid w:val="00AE466F"/>
    <w:rsid w:val="00AE5F4E"/>
    <w:rsid w:val="00AE62A8"/>
    <w:rsid w:val="00AE6412"/>
    <w:rsid w:val="00AE7084"/>
    <w:rsid w:val="00AE71CF"/>
    <w:rsid w:val="00B0474B"/>
    <w:rsid w:val="00B047A9"/>
    <w:rsid w:val="00B07DAA"/>
    <w:rsid w:val="00B15FE4"/>
    <w:rsid w:val="00B20B21"/>
    <w:rsid w:val="00B21658"/>
    <w:rsid w:val="00B21794"/>
    <w:rsid w:val="00B21E49"/>
    <w:rsid w:val="00B227AD"/>
    <w:rsid w:val="00B22ADD"/>
    <w:rsid w:val="00B26E5C"/>
    <w:rsid w:val="00B301D8"/>
    <w:rsid w:val="00B30C3F"/>
    <w:rsid w:val="00B30EEB"/>
    <w:rsid w:val="00B30F32"/>
    <w:rsid w:val="00B348E6"/>
    <w:rsid w:val="00B37CD9"/>
    <w:rsid w:val="00B40EC5"/>
    <w:rsid w:val="00B4455B"/>
    <w:rsid w:val="00B50134"/>
    <w:rsid w:val="00B50FD2"/>
    <w:rsid w:val="00B51840"/>
    <w:rsid w:val="00B523FE"/>
    <w:rsid w:val="00B55350"/>
    <w:rsid w:val="00B577B5"/>
    <w:rsid w:val="00B61B80"/>
    <w:rsid w:val="00B635DA"/>
    <w:rsid w:val="00B67D11"/>
    <w:rsid w:val="00B729A2"/>
    <w:rsid w:val="00B74462"/>
    <w:rsid w:val="00B85DD8"/>
    <w:rsid w:val="00B87F70"/>
    <w:rsid w:val="00B96551"/>
    <w:rsid w:val="00B97A7F"/>
    <w:rsid w:val="00B97BCF"/>
    <w:rsid w:val="00BA3792"/>
    <w:rsid w:val="00BA5293"/>
    <w:rsid w:val="00BA7393"/>
    <w:rsid w:val="00BB1652"/>
    <w:rsid w:val="00BB1F02"/>
    <w:rsid w:val="00BB300F"/>
    <w:rsid w:val="00BB5429"/>
    <w:rsid w:val="00BC3053"/>
    <w:rsid w:val="00BC402D"/>
    <w:rsid w:val="00BC57FD"/>
    <w:rsid w:val="00BC694D"/>
    <w:rsid w:val="00BC7507"/>
    <w:rsid w:val="00BD0C63"/>
    <w:rsid w:val="00BD0F02"/>
    <w:rsid w:val="00BD1A0F"/>
    <w:rsid w:val="00BD4622"/>
    <w:rsid w:val="00BD46C1"/>
    <w:rsid w:val="00BD6067"/>
    <w:rsid w:val="00BD7374"/>
    <w:rsid w:val="00BE11B5"/>
    <w:rsid w:val="00BE570B"/>
    <w:rsid w:val="00BF0830"/>
    <w:rsid w:val="00BF1B58"/>
    <w:rsid w:val="00BF2547"/>
    <w:rsid w:val="00BF5F36"/>
    <w:rsid w:val="00BF66DE"/>
    <w:rsid w:val="00C022B8"/>
    <w:rsid w:val="00C04ED7"/>
    <w:rsid w:val="00C057F4"/>
    <w:rsid w:val="00C11723"/>
    <w:rsid w:val="00C138F5"/>
    <w:rsid w:val="00C14602"/>
    <w:rsid w:val="00C15444"/>
    <w:rsid w:val="00C1715D"/>
    <w:rsid w:val="00C178CA"/>
    <w:rsid w:val="00C20CBB"/>
    <w:rsid w:val="00C22957"/>
    <w:rsid w:val="00C236EA"/>
    <w:rsid w:val="00C30B81"/>
    <w:rsid w:val="00C30DF9"/>
    <w:rsid w:val="00C33778"/>
    <w:rsid w:val="00C34348"/>
    <w:rsid w:val="00C347F9"/>
    <w:rsid w:val="00C372B0"/>
    <w:rsid w:val="00C372D3"/>
    <w:rsid w:val="00C411E4"/>
    <w:rsid w:val="00C4129E"/>
    <w:rsid w:val="00C42E11"/>
    <w:rsid w:val="00C438C6"/>
    <w:rsid w:val="00C4504A"/>
    <w:rsid w:val="00C4754A"/>
    <w:rsid w:val="00C52AEC"/>
    <w:rsid w:val="00C53715"/>
    <w:rsid w:val="00C5465E"/>
    <w:rsid w:val="00C55DD1"/>
    <w:rsid w:val="00C61D63"/>
    <w:rsid w:val="00C63349"/>
    <w:rsid w:val="00C63957"/>
    <w:rsid w:val="00C64F02"/>
    <w:rsid w:val="00C654D9"/>
    <w:rsid w:val="00C70AB5"/>
    <w:rsid w:val="00C74B85"/>
    <w:rsid w:val="00C75F31"/>
    <w:rsid w:val="00C75FCA"/>
    <w:rsid w:val="00C76B0F"/>
    <w:rsid w:val="00C80467"/>
    <w:rsid w:val="00C84362"/>
    <w:rsid w:val="00C846CA"/>
    <w:rsid w:val="00C849D2"/>
    <w:rsid w:val="00C8502A"/>
    <w:rsid w:val="00C867DB"/>
    <w:rsid w:val="00C8724C"/>
    <w:rsid w:val="00C87EA7"/>
    <w:rsid w:val="00C942A3"/>
    <w:rsid w:val="00C94996"/>
    <w:rsid w:val="00C95EC7"/>
    <w:rsid w:val="00C97B6C"/>
    <w:rsid w:val="00C97E21"/>
    <w:rsid w:val="00CA09D4"/>
    <w:rsid w:val="00CA2FE7"/>
    <w:rsid w:val="00CA50EA"/>
    <w:rsid w:val="00CA7208"/>
    <w:rsid w:val="00CA799F"/>
    <w:rsid w:val="00CA7E52"/>
    <w:rsid w:val="00CB0FA7"/>
    <w:rsid w:val="00CB1FA6"/>
    <w:rsid w:val="00CB2452"/>
    <w:rsid w:val="00CB4EB7"/>
    <w:rsid w:val="00CB57F2"/>
    <w:rsid w:val="00CB64C5"/>
    <w:rsid w:val="00CC01A9"/>
    <w:rsid w:val="00CC02E2"/>
    <w:rsid w:val="00CC3ADC"/>
    <w:rsid w:val="00CC3F23"/>
    <w:rsid w:val="00CD0D42"/>
    <w:rsid w:val="00CD1937"/>
    <w:rsid w:val="00CD38D8"/>
    <w:rsid w:val="00CD5C77"/>
    <w:rsid w:val="00CD6D20"/>
    <w:rsid w:val="00CD6E12"/>
    <w:rsid w:val="00CE186B"/>
    <w:rsid w:val="00CE1B6F"/>
    <w:rsid w:val="00CE3456"/>
    <w:rsid w:val="00CE51DB"/>
    <w:rsid w:val="00CE74E8"/>
    <w:rsid w:val="00CF18D0"/>
    <w:rsid w:val="00CF4AA3"/>
    <w:rsid w:val="00CF53DA"/>
    <w:rsid w:val="00CF5993"/>
    <w:rsid w:val="00CF7C03"/>
    <w:rsid w:val="00CF7E09"/>
    <w:rsid w:val="00D00D23"/>
    <w:rsid w:val="00D058C5"/>
    <w:rsid w:val="00D065D5"/>
    <w:rsid w:val="00D06640"/>
    <w:rsid w:val="00D06AE9"/>
    <w:rsid w:val="00D22869"/>
    <w:rsid w:val="00D2541D"/>
    <w:rsid w:val="00D2777F"/>
    <w:rsid w:val="00D32376"/>
    <w:rsid w:val="00D33A60"/>
    <w:rsid w:val="00D34030"/>
    <w:rsid w:val="00D34C26"/>
    <w:rsid w:val="00D354AE"/>
    <w:rsid w:val="00D356EB"/>
    <w:rsid w:val="00D35F36"/>
    <w:rsid w:val="00D36999"/>
    <w:rsid w:val="00D40991"/>
    <w:rsid w:val="00D43C7F"/>
    <w:rsid w:val="00D444DA"/>
    <w:rsid w:val="00D52814"/>
    <w:rsid w:val="00D54E09"/>
    <w:rsid w:val="00D6295F"/>
    <w:rsid w:val="00D6308D"/>
    <w:rsid w:val="00D6618C"/>
    <w:rsid w:val="00D70185"/>
    <w:rsid w:val="00D72E8C"/>
    <w:rsid w:val="00D7415F"/>
    <w:rsid w:val="00D76D20"/>
    <w:rsid w:val="00D77C05"/>
    <w:rsid w:val="00D8073B"/>
    <w:rsid w:val="00D87846"/>
    <w:rsid w:val="00D90461"/>
    <w:rsid w:val="00D90F79"/>
    <w:rsid w:val="00D91480"/>
    <w:rsid w:val="00D91A5B"/>
    <w:rsid w:val="00D92233"/>
    <w:rsid w:val="00D94B20"/>
    <w:rsid w:val="00D96428"/>
    <w:rsid w:val="00D97CD2"/>
    <w:rsid w:val="00DA3264"/>
    <w:rsid w:val="00DA5403"/>
    <w:rsid w:val="00DA5D77"/>
    <w:rsid w:val="00DA77FF"/>
    <w:rsid w:val="00DB1A88"/>
    <w:rsid w:val="00DB47CD"/>
    <w:rsid w:val="00DB50DF"/>
    <w:rsid w:val="00DB531F"/>
    <w:rsid w:val="00DC1868"/>
    <w:rsid w:val="00DC38FA"/>
    <w:rsid w:val="00DD224E"/>
    <w:rsid w:val="00DD47DC"/>
    <w:rsid w:val="00DD4D03"/>
    <w:rsid w:val="00DD5811"/>
    <w:rsid w:val="00DE3FF4"/>
    <w:rsid w:val="00DE7250"/>
    <w:rsid w:val="00DE7733"/>
    <w:rsid w:val="00DF0475"/>
    <w:rsid w:val="00DF19C0"/>
    <w:rsid w:val="00DF1C3A"/>
    <w:rsid w:val="00DF32BE"/>
    <w:rsid w:val="00DF5055"/>
    <w:rsid w:val="00DF7095"/>
    <w:rsid w:val="00DF72E7"/>
    <w:rsid w:val="00DF78D9"/>
    <w:rsid w:val="00E00226"/>
    <w:rsid w:val="00E07B3F"/>
    <w:rsid w:val="00E114AB"/>
    <w:rsid w:val="00E14392"/>
    <w:rsid w:val="00E15040"/>
    <w:rsid w:val="00E15883"/>
    <w:rsid w:val="00E16F37"/>
    <w:rsid w:val="00E17ADB"/>
    <w:rsid w:val="00E207D6"/>
    <w:rsid w:val="00E20DDC"/>
    <w:rsid w:val="00E2186E"/>
    <w:rsid w:val="00E21FE8"/>
    <w:rsid w:val="00E23A2D"/>
    <w:rsid w:val="00E261FA"/>
    <w:rsid w:val="00E263B6"/>
    <w:rsid w:val="00E266A3"/>
    <w:rsid w:val="00E321BD"/>
    <w:rsid w:val="00E32806"/>
    <w:rsid w:val="00E33AF2"/>
    <w:rsid w:val="00E45380"/>
    <w:rsid w:val="00E50130"/>
    <w:rsid w:val="00E515CD"/>
    <w:rsid w:val="00E527F1"/>
    <w:rsid w:val="00E544B7"/>
    <w:rsid w:val="00E55B41"/>
    <w:rsid w:val="00E561C2"/>
    <w:rsid w:val="00E609C1"/>
    <w:rsid w:val="00E60C9B"/>
    <w:rsid w:val="00E617A4"/>
    <w:rsid w:val="00E63707"/>
    <w:rsid w:val="00E66A11"/>
    <w:rsid w:val="00E7051C"/>
    <w:rsid w:val="00E713D6"/>
    <w:rsid w:val="00E72E80"/>
    <w:rsid w:val="00E81286"/>
    <w:rsid w:val="00E82BCA"/>
    <w:rsid w:val="00E83E70"/>
    <w:rsid w:val="00E842E5"/>
    <w:rsid w:val="00E85281"/>
    <w:rsid w:val="00E94550"/>
    <w:rsid w:val="00E95C48"/>
    <w:rsid w:val="00EA05AF"/>
    <w:rsid w:val="00EA25BB"/>
    <w:rsid w:val="00EA303A"/>
    <w:rsid w:val="00EA3C7E"/>
    <w:rsid w:val="00EA4202"/>
    <w:rsid w:val="00EA49A3"/>
    <w:rsid w:val="00EA5545"/>
    <w:rsid w:val="00EA6C9E"/>
    <w:rsid w:val="00EA73C0"/>
    <w:rsid w:val="00EA7D5C"/>
    <w:rsid w:val="00EA7E34"/>
    <w:rsid w:val="00EB0216"/>
    <w:rsid w:val="00EB1D9F"/>
    <w:rsid w:val="00EB4757"/>
    <w:rsid w:val="00EB4B5B"/>
    <w:rsid w:val="00EB5DF7"/>
    <w:rsid w:val="00EB6780"/>
    <w:rsid w:val="00EB78ED"/>
    <w:rsid w:val="00EC67A5"/>
    <w:rsid w:val="00ED4B92"/>
    <w:rsid w:val="00ED750A"/>
    <w:rsid w:val="00ED7CBF"/>
    <w:rsid w:val="00EE0DEC"/>
    <w:rsid w:val="00EE2550"/>
    <w:rsid w:val="00EE29F7"/>
    <w:rsid w:val="00EE33D0"/>
    <w:rsid w:val="00EE4767"/>
    <w:rsid w:val="00EE480E"/>
    <w:rsid w:val="00EE4C55"/>
    <w:rsid w:val="00EE529F"/>
    <w:rsid w:val="00EE6202"/>
    <w:rsid w:val="00EE6C56"/>
    <w:rsid w:val="00EF140E"/>
    <w:rsid w:val="00EF2042"/>
    <w:rsid w:val="00EF2181"/>
    <w:rsid w:val="00EF2844"/>
    <w:rsid w:val="00EF506B"/>
    <w:rsid w:val="00EF587B"/>
    <w:rsid w:val="00EF6D55"/>
    <w:rsid w:val="00EF7C42"/>
    <w:rsid w:val="00EF7CAE"/>
    <w:rsid w:val="00F01F65"/>
    <w:rsid w:val="00F02541"/>
    <w:rsid w:val="00F02AC2"/>
    <w:rsid w:val="00F05B68"/>
    <w:rsid w:val="00F07E8F"/>
    <w:rsid w:val="00F12793"/>
    <w:rsid w:val="00F131F8"/>
    <w:rsid w:val="00F13632"/>
    <w:rsid w:val="00F1559D"/>
    <w:rsid w:val="00F16656"/>
    <w:rsid w:val="00F178A9"/>
    <w:rsid w:val="00F20C36"/>
    <w:rsid w:val="00F211AE"/>
    <w:rsid w:val="00F21B99"/>
    <w:rsid w:val="00F221E9"/>
    <w:rsid w:val="00F241C2"/>
    <w:rsid w:val="00F26DD6"/>
    <w:rsid w:val="00F27102"/>
    <w:rsid w:val="00F30CC9"/>
    <w:rsid w:val="00F31D83"/>
    <w:rsid w:val="00F35717"/>
    <w:rsid w:val="00F35D81"/>
    <w:rsid w:val="00F35E76"/>
    <w:rsid w:val="00F36767"/>
    <w:rsid w:val="00F427F7"/>
    <w:rsid w:val="00F43756"/>
    <w:rsid w:val="00F457B7"/>
    <w:rsid w:val="00F47D66"/>
    <w:rsid w:val="00F51C8A"/>
    <w:rsid w:val="00F53FA8"/>
    <w:rsid w:val="00F562A3"/>
    <w:rsid w:val="00F56369"/>
    <w:rsid w:val="00F60113"/>
    <w:rsid w:val="00F631C5"/>
    <w:rsid w:val="00F63CAD"/>
    <w:rsid w:val="00F66D5F"/>
    <w:rsid w:val="00F76C07"/>
    <w:rsid w:val="00F77319"/>
    <w:rsid w:val="00F8175D"/>
    <w:rsid w:val="00F82C10"/>
    <w:rsid w:val="00F83F64"/>
    <w:rsid w:val="00F84BFC"/>
    <w:rsid w:val="00F86C67"/>
    <w:rsid w:val="00F875DF"/>
    <w:rsid w:val="00F9133E"/>
    <w:rsid w:val="00F975DD"/>
    <w:rsid w:val="00F97720"/>
    <w:rsid w:val="00FA0255"/>
    <w:rsid w:val="00FA1276"/>
    <w:rsid w:val="00FA26F2"/>
    <w:rsid w:val="00FA2CCC"/>
    <w:rsid w:val="00FA42A3"/>
    <w:rsid w:val="00FA6C4E"/>
    <w:rsid w:val="00FB282D"/>
    <w:rsid w:val="00FB32F3"/>
    <w:rsid w:val="00FB6C7F"/>
    <w:rsid w:val="00FB6D3C"/>
    <w:rsid w:val="00FB739A"/>
    <w:rsid w:val="00FC06B5"/>
    <w:rsid w:val="00FC1BC8"/>
    <w:rsid w:val="00FC4CF4"/>
    <w:rsid w:val="00FC57C5"/>
    <w:rsid w:val="00FC580B"/>
    <w:rsid w:val="00FC6451"/>
    <w:rsid w:val="00FD1424"/>
    <w:rsid w:val="00FD2B78"/>
    <w:rsid w:val="00FD30CD"/>
    <w:rsid w:val="00FD3A7F"/>
    <w:rsid w:val="00FD3BDC"/>
    <w:rsid w:val="00FD4351"/>
    <w:rsid w:val="00FD6328"/>
    <w:rsid w:val="00FE36A5"/>
    <w:rsid w:val="00FE4B12"/>
    <w:rsid w:val="00FE5644"/>
    <w:rsid w:val="00FF1156"/>
    <w:rsid w:val="00FF147D"/>
    <w:rsid w:val="00FF3BBA"/>
    <w:rsid w:val="00FF7879"/>
    <w:rsid w:val="01126D39"/>
    <w:rsid w:val="01D43971"/>
    <w:rsid w:val="02042D76"/>
    <w:rsid w:val="022C3206"/>
    <w:rsid w:val="02AD429A"/>
    <w:rsid w:val="02B90F8C"/>
    <w:rsid w:val="034D7978"/>
    <w:rsid w:val="034F09E1"/>
    <w:rsid w:val="03610A19"/>
    <w:rsid w:val="03A55B68"/>
    <w:rsid w:val="052B298D"/>
    <w:rsid w:val="0570657B"/>
    <w:rsid w:val="05CB047D"/>
    <w:rsid w:val="066A2F5C"/>
    <w:rsid w:val="06B4050A"/>
    <w:rsid w:val="06B47A2D"/>
    <w:rsid w:val="074421AA"/>
    <w:rsid w:val="07DA2F44"/>
    <w:rsid w:val="088019D2"/>
    <w:rsid w:val="08BC3764"/>
    <w:rsid w:val="08D538D0"/>
    <w:rsid w:val="08F26244"/>
    <w:rsid w:val="09102D31"/>
    <w:rsid w:val="09DE3764"/>
    <w:rsid w:val="09F85321"/>
    <w:rsid w:val="0A1F4141"/>
    <w:rsid w:val="0AC402B6"/>
    <w:rsid w:val="0AD6392F"/>
    <w:rsid w:val="0B47496B"/>
    <w:rsid w:val="0B5E2490"/>
    <w:rsid w:val="0C1551BB"/>
    <w:rsid w:val="0C4A3986"/>
    <w:rsid w:val="0D0E3D89"/>
    <w:rsid w:val="0EA46894"/>
    <w:rsid w:val="0EC42A2E"/>
    <w:rsid w:val="0F4014D7"/>
    <w:rsid w:val="0F4A524C"/>
    <w:rsid w:val="0F74787C"/>
    <w:rsid w:val="0FC00F05"/>
    <w:rsid w:val="10085FCB"/>
    <w:rsid w:val="102773DA"/>
    <w:rsid w:val="10691388"/>
    <w:rsid w:val="106A14C0"/>
    <w:rsid w:val="10B71852"/>
    <w:rsid w:val="10BE1F11"/>
    <w:rsid w:val="10CD41BD"/>
    <w:rsid w:val="11235A05"/>
    <w:rsid w:val="116D3B4D"/>
    <w:rsid w:val="11C22F3E"/>
    <w:rsid w:val="11D06642"/>
    <w:rsid w:val="121656BA"/>
    <w:rsid w:val="12A87DE3"/>
    <w:rsid w:val="13D7311C"/>
    <w:rsid w:val="1473786A"/>
    <w:rsid w:val="148555C8"/>
    <w:rsid w:val="16674398"/>
    <w:rsid w:val="169C252D"/>
    <w:rsid w:val="1766069F"/>
    <w:rsid w:val="183A72AB"/>
    <w:rsid w:val="18725777"/>
    <w:rsid w:val="187F15F6"/>
    <w:rsid w:val="190B5059"/>
    <w:rsid w:val="19262EEB"/>
    <w:rsid w:val="19B664F9"/>
    <w:rsid w:val="1AC23FF4"/>
    <w:rsid w:val="1B347B49"/>
    <w:rsid w:val="1B7F7348"/>
    <w:rsid w:val="1D0D54B9"/>
    <w:rsid w:val="1D5B0B5B"/>
    <w:rsid w:val="1D7A63C4"/>
    <w:rsid w:val="1E364110"/>
    <w:rsid w:val="1E445A15"/>
    <w:rsid w:val="1E5D378E"/>
    <w:rsid w:val="1E8F68B6"/>
    <w:rsid w:val="1E936E21"/>
    <w:rsid w:val="1EDA5344"/>
    <w:rsid w:val="1F454BB8"/>
    <w:rsid w:val="1F953961"/>
    <w:rsid w:val="20940599"/>
    <w:rsid w:val="21363FA5"/>
    <w:rsid w:val="217E6FD0"/>
    <w:rsid w:val="225749FD"/>
    <w:rsid w:val="22EF5035"/>
    <w:rsid w:val="22FB26C6"/>
    <w:rsid w:val="23313656"/>
    <w:rsid w:val="23462AA8"/>
    <w:rsid w:val="238271B0"/>
    <w:rsid w:val="2387740B"/>
    <w:rsid w:val="2393640A"/>
    <w:rsid w:val="23C864C0"/>
    <w:rsid w:val="2478538A"/>
    <w:rsid w:val="247F43CB"/>
    <w:rsid w:val="24DB484D"/>
    <w:rsid w:val="25A22C66"/>
    <w:rsid w:val="26015B65"/>
    <w:rsid w:val="26481DCF"/>
    <w:rsid w:val="286026B0"/>
    <w:rsid w:val="29096701"/>
    <w:rsid w:val="2915366A"/>
    <w:rsid w:val="292D0B51"/>
    <w:rsid w:val="29D31705"/>
    <w:rsid w:val="29F55EEC"/>
    <w:rsid w:val="2A300D2E"/>
    <w:rsid w:val="2A5022C1"/>
    <w:rsid w:val="2A880ED6"/>
    <w:rsid w:val="2B582B38"/>
    <w:rsid w:val="2B6B6269"/>
    <w:rsid w:val="2B8717A1"/>
    <w:rsid w:val="2BF57C61"/>
    <w:rsid w:val="2C0135E6"/>
    <w:rsid w:val="2CCF0280"/>
    <w:rsid w:val="2CD46119"/>
    <w:rsid w:val="2D064268"/>
    <w:rsid w:val="2D462F33"/>
    <w:rsid w:val="2D926BEB"/>
    <w:rsid w:val="2E515108"/>
    <w:rsid w:val="2E5403E7"/>
    <w:rsid w:val="2EE13768"/>
    <w:rsid w:val="2FA304B5"/>
    <w:rsid w:val="2FAA6FCD"/>
    <w:rsid w:val="301F426E"/>
    <w:rsid w:val="30B10BDD"/>
    <w:rsid w:val="30CF061E"/>
    <w:rsid w:val="312A2772"/>
    <w:rsid w:val="320C360F"/>
    <w:rsid w:val="32561D73"/>
    <w:rsid w:val="32F603F5"/>
    <w:rsid w:val="33275B8A"/>
    <w:rsid w:val="34224B16"/>
    <w:rsid w:val="34536172"/>
    <w:rsid w:val="34A348FB"/>
    <w:rsid w:val="34C57799"/>
    <w:rsid w:val="350F398F"/>
    <w:rsid w:val="354F05BB"/>
    <w:rsid w:val="35530709"/>
    <w:rsid w:val="35A3156A"/>
    <w:rsid w:val="36616217"/>
    <w:rsid w:val="36C83628"/>
    <w:rsid w:val="36D003C4"/>
    <w:rsid w:val="374B4FC3"/>
    <w:rsid w:val="37587D08"/>
    <w:rsid w:val="37650D4D"/>
    <w:rsid w:val="37906A90"/>
    <w:rsid w:val="37935868"/>
    <w:rsid w:val="379514F1"/>
    <w:rsid w:val="37CD083D"/>
    <w:rsid w:val="37E61B6B"/>
    <w:rsid w:val="380A2B11"/>
    <w:rsid w:val="38145E04"/>
    <w:rsid w:val="38D26C34"/>
    <w:rsid w:val="38DF66DE"/>
    <w:rsid w:val="38E9060A"/>
    <w:rsid w:val="39D85259"/>
    <w:rsid w:val="39EC2B92"/>
    <w:rsid w:val="3A5A1B21"/>
    <w:rsid w:val="3B0661C4"/>
    <w:rsid w:val="3BA06262"/>
    <w:rsid w:val="3BC3771B"/>
    <w:rsid w:val="3C0F6FBF"/>
    <w:rsid w:val="3C374AD4"/>
    <w:rsid w:val="3CA80C93"/>
    <w:rsid w:val="3CBC70E8"/>
    <w:rsid w:val="3D68358F"/>
    <w:rsid w:val="3DA546DA"/>
    <w:rsid w:val="3DC7099B"/>
    <w:rsid w:val="3DF51011"/>
    <w:rsid w:val="3E081F73"/>
    <w:rsid w:val="3E88265E"/>
    <w:rsid w:val="3E9C1CEE"/>
    <w:rsid w:val="3FA11B60"/>
    <w:rsid w:val="3FF54DFE"/>
    <w:rsid w:val="403A30ED"/>
    <w:rsid w:val="4095026F"/>
    <w:rsid w:val="40E1125B"/>
    <w:rsid w:val="41694886"/>
    <w:rsid w:val="41CF3F16"/>
    <w:rsid w:val="41E675DA"/>
    <w:rsid w:val="41FD3DC8"/>
    <w:rsid w:val="43316829"/>
    <w:rsid w:val="44A1531A"/>
    <w:rsid w:val="44D30B95"/>
    <w:rsid w:val="45424532"/>
    <w:rsid w:val="45A26912"/>
    <w:rsid w:val="465C6700"/>
    <w:rsid w:val="46A56B30"/>
    <w:rsid w:val="46AD1C7A"/>
    <w:rsid w:val="46CC5D49"/>
    <w:rsid w:val="47C92786"/>
    <w:rsid w:val="47CA6633"/>
    <w:rsid w:val="48121918"/>
    <w:rsid w:val="48E951C0"/>
    <w:rsid w:val="49F96C92"/>
    <w:rsid w:val="4B844054"/>
    <w:rsid w:val="4B9A150D"/>
    <w:rsid w:val="4BA72E79"/>
    <w:rsid w:val="4C691AFC"/>
    <w:rsid w:val="4C9B2DBD"/>
    <w:rsid w:val="4CD928A1"/>
    <w:rsid w:val="4DDF2E1C"/>
    <w:rsid w:val="4E261AA5"/>
    <w:rsid w:val="4E550E94"/>
    <w:rsid w:val="4E810F1D"/>
    <w:rsid w:val="4EE3186E"/>
    <w:rsid w:val="4FC61DEC"/>
    <w:rsid w:val="4FF25F95"/>
    <w:rsid w:val="4FFB5F99"/>
    <w:rsid w:val="507C2236"/>
    <w:rsid w:val="51B43D99"/>
    <w:rsid w:val="51FD1A19"/>
    <w:rsid w:val="52014435"/>
    <w:rsid w:val="52A77F28"/>
    <w:rsid w:val="53DF0B88"/>
    <w:rsid w:val="5407127D"/>
    <w:rsid w:val="54402FFC"/>
    <w:rsid w:val="54436868"/>
    <w:rsid w:val="54945D01"/>
    <w:rsid w:val="54C53458"/>
    <w:rsid w:val="558E503B"/>
    <w:rsid w:val="55B96F3C"/>
    <w:rsid w:val="56C708EE"/>
    <w:rsid w:val="57E72FB1"/>
    <w:rsid w:val="57F1794F"/>
    <w:rsid w:val="593E7EAD"/>
    <w:rsid w:val="5AFE7B0B"/>
    <w:rsid w:val="5BA8633B"/>
    <w:rsid w:val="5BAF08FE"/>
    <w:rsid w:val="5BB3691E"/>
    <w:rsid w:val="5C0C5C12"/>
    <w:rsid w:val="5CFB5CE9"/>
    <w:rsid w:val="5D262F94"/>
    <w:rsid w:val="5D467A6D"/>
    <w:rsid w:val="5D6E30AA"/>
    <w:rsid w:val="5D7C1B04"/>
    <w:rsid w:val="5EA50B61"/>
    <w:rsid w:val="5EDE0678"/>
    <w:rsid w:val="5FDC1AA0"/>
    <w:rsid w:val="60B847DE"/>
    <w:rsid w:val="61496562"/>
    <w:rsid w:val="618E3103"/>
    <w:rsid w:val="619F205E"/>
    <w:rsid w:val="61A058F8"/>
    <w:rsid w:val="61DB5C13"/>
    <w:rsid w:val="62694F2C"/>
    <w:rsid w:val="629976C3"/>
    <w:rsid w:val="62DE5BC0"/>
    <w:rsid w:val="63602239"/>
    <w:rsid w:val="63BA261B"/>
    <w:rsid w:val="63D77487"/>
    <w:rsid w:val="651C613B"/>
    <w:rsid w:val="659375C8"/>
    <w:rsid w:val="65A84B8B"/>
    <w:rsid w:val="65D8752D"/>
    <w:rsid w:val="66082BF5"/>
    <w:rsid w:val="66413F30"/>
    <w:rsid w:val="667421ED"/>
    <w:rsid w:val="66B84F9F"/>
    <w:rsid w:val="67321AE2"/>
    <w:rsid w:val="676A50E5"/>
    <w:rsid w:val="68A14BB1"/>
    <w:rsid w:val="68B21270"/>
    <w:rsid w:val="6901034F"/>
    <w:rsid w:val="69FC3DE0"/>
    <w:rsid w:val="6A8B6C1F"/>
    <w:rsid w:val="6A983FEE"/>
    <w:rsid w:val="6C5B1230"/>
    <w:rsid w:val="6C646752"/>
    <w:rsid w:val="6DB53B8B"/>
    <w:rsid w:val="6E3875D3"/>
    <w:rsid w:val="7025679B"/>
    <w:rsid w:val="70453242"/>
    <w:rsid w:val="72037883"/>
    <w:rsid w:val="72CE66FE"/>
    <w:rsid w:val="73ED3C7A"/>
    <w:rsid w:val="73EE487D"/>
    <w:rsid w:val="743D707D"/>
    <w:rsid w:val="74AD3D78"/>
    <w:rsid w:val="74B37D35"/>
    <w:rsid w:val="74FA3E77"/>
    <w:rsid w:val="75226F4F"/>
    <w:rsid w:val="752B3893"/>
    <w:rsid w:val="76C0410A"/>
    <w:rsid w:val="76C96671"/>
    <w:rsid w:val="76FA2D71"/>
    <w:rsid w:val="7728728C"/>
    <w:rsid w:val="780A7946"/>
    <w:rsid w:val="781A5F7F"/>
    <w:rsid w:val="7861548E"/>
    <w:rsid w:val="7874776B"/>
    <w:rsid w:val="79DA46C0"/>
    <w:rsid w:val="79E60845"/>
    <w:rsid w:val="7A0F14BB"/>
    <w:rsid w:val="7AC3426A"/>
    <w:rsid w:val="7C284222"/>
    <w:rsid w:val="7C8930EA"/>
    <w:rsid w:val="7C916CDA"/>
    <w:rsid w:val="7CD16599"/>
    <w:rsid w:val="7D322862"/>
    <w:rsid w:val="7EDB1DE7"/>
    <w:rsid w:val="7F23221B"/>
    <w:rsid w:val="7F3E3B34"/>
    <w:rsid w:val="7F81059C"/>
    <w:rsid w:val="7FE702D9"/>
    <w:rsid w:val="7FE854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nhideWhenUsed="0"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numPr>
        <w:ilvl w:val="0"/>
        <w:numId w:val="1"/>
      </w:numPr>
      <w:spacing w:before="240" w:after="240" w:line="360" w:lineRule="auto"/>
      <w:outlineLvl w:val="0"/>
    </w:pPr>
    <w:rPr>
      <w:rFonts w:ascii="仿宋_GB2312" w:hAnsi="仿宋_GB2312" w:eastAsia="黑体"/>
      <w:b/>
      <w:bCs/>
      <w:kern w:val="44"/>
      <w:sz w:val="32"/>
      <w:szCs w:val="28"/>
    </w:rPr>
  </w:style>
  <w:style w:type="paragraph" w:styleId="5">
    <w:name w:val="heading 2"/>
    <w:basedOn w:val="1"/>
    <w:next w:val="1"/>
    <w:link w:val="37"/>
    <w:qFormat/>
    <w:uiPriority w:val="9"/>
    <w:pPr>
      <w:keepNext/>
      <w:keepLines/>
      <w:numPr>
        <w:ilvl w:val="1"/>
        <w:numId w:val="1"/>
      </w:numPr>
      <w:spacing w:line="360" w:lineRule="auto"/>
      <w:jc w:val="left"/>
      <w:outlineLvl w:val="1"/>
    </w:pPr>
    <w:rPr>
      <w:rFonts w:ascii="仿宋_GB2312" w:hAnsi="仿宋_GB2312" w:eastAsia="仿宋_GB2312"/>
      <w:b/>
      <w:bCs/>
      <w:sz w:val="32"/>
      <w:szCs w:val="28"/>
    </w:rPr>
  </w:style>
  <w:style w:type="paragraph" w:styleId="6">
    <w:name w:val="heading 3"/>
    <w:basedOn w:val="1"/>
    <w:next w:val="1"/>
    <w:link w:val="38"/>
    <w:qFormat/>
    <w:uiPriority w:val="0"/>
    <w:pPr>
      <w:keepNext/>
      <w:keepLines/>
      <w:numPr>
        <w:ilvl w:val="2"/>
        <w:numId w:val="1"/>
      </w:numPr>
      <w:spacing w:line="415" w:lineRule="auto"/>
      <w:outlineLvl w:val="2"/>
    </w:pPr>
    <w:rPr>
      <w:rFonts w:ascii="仿宋" w:hAnsi="仿宋" w:eastAsia="仿宋_GB2312"/>
      <w:b/>
      <w:bCs/>
      <w:sz w:val="32"/>
      <w:szCs w:val="32"/>
    </w:rPr>
  </w:style>
  <w:style w:type="paragraph" w:styleId="7">
    <w:name w:val="heading 4"/>
    <w:basedOn w:val="1"/>
    <w:next w:val="1"/>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styleId="8">
    <w:name w:val="heading 5"/>
    <w:basedOn w:val="1"/>
    <w:next w:val="1"/>
    <w:qFormat/>
    <w:uiPriority w:val="0"/>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39"/>
    <w:qFormat/>
    <w:uiPriority w:val="0"/>
    <w:pPr>
      <w:keepNext/>
      <w:keepLines/>
      <w:tabs>
        <w:tab w:val="left" w:pos="1152"/>
      </w:tabs>
      <w:adjustRightInd w:val="0"/>
      <w:snapToGrid w:val="0"/>
      <w:spacing w:before="240" w:after="64" w:line="320" w:lineRule="auto"/>
      <w:ind w:left="1152" w:hanging="1152"/>
      <w:outlineLvl w:val="5"/>
    </w:pPr>
    <w:rPr>
      <w:rFonts w:ascii="Arial" w:hAnsi="Arial" w:eastAsia="黑体"/>
      <w:b/>
      <w:bCs/>
      <w:sz w:val="24"/>
      <w:szCs w:val="20"/>
    </w:rPr>
  </w:style>
  <w:style w:type="paragraph" w:styleId="10">
    <w:name w:val="heading 7"/>
    <w:basedOn w:val="1"/>
    <w:next w:val="1"/>
    <w:link w:val="40"/>
    <w:qFormat/>
    <w:uiPriority w:val="0"/>
    <w:pPr>
      <w:keepNext/>
      <w:keepLines/>
      <w:tabs>
        <w:tab w:val="left" w:pos="1296"/>
      </w:tabs>
      <w:adjustRightInd w:val="0"/>
      <w:snapToGrid w:val="0"/>
      <w:spacing w:before="240" w:after="64" w:line="320" w:lineRule="auto"/>
      <w:ind w:left="1296" w:hanging="1296"/>
      <w:outlineLvl w:val="6"/>
    </w:pPr>
    <w:rPr>
      <w:b/>
      <w:bCs/>
      <w:sz w:val="24"/>
      <w:szCs w:val="20"/>
    </w:rPr>
  </w:style>
  <w:style w:type="paragraph" w:styleId="11">
    <w:name w:val="heading 8"/>
    <w:basedOn w:val="1"/>
    <w:next w:val="1"/>
    <w:link w:val="41"/>
    <w:qFormat/>
    <w:uiPriority w:val="0"/>
    <w:pPr>
      <w:keepNext/>
      <w:keepLines/>
      <w:tabs>
        <w:tab w:val="left" w:pos="1440"/>
      </w:tabs>
      <w:adjustRightInd w:val="0"/>
      <w:snapToGrid w:val="0"/>
      <w:spacing w:before="240" w:after="64" w:line="320" w:lineRule="auto"/>
      <w:ind w:left="1440" w:hanging="1440"/>
      <w:outlineLvl w:val="7"/>
    </w:pPr>
    <w:rPr>
      <w:rFonts w:ascii="Arial" w:hAnsi="Arial" w:eastAsia="黑体"/>
      <w:sz w:val="24"/>
      <w:szCs w:val="20"/>
    </w:rPr>
  </w:style>
  <w:style w:type="paragraph" w:styleId="12">
    <w:name w:val="heading 9"/>
    <w:basedOn w:val="1"/>
    <w:next w:val="1"/>
    <w:link w:val="42"/>
    <w:qFormat/>
    <w:uiPriority w:val="0"/>
    <w:pPr>
      <w:keepNext/>
      <w:keepLines/>
      <w:tabs>
        <w:tab w:val="left" w:pos="1584"/>
      </w:tabs>
      <w:adjustRightInd w:val="0"/>
      <w:snapToGrid w:val="0"/>
      <w:spacing w:before="240" w:after="64" w:line="320" w:lineRule="auto"/>
      <w:ind w:left="1584" w:hanging="1584"/>
      <w:outlineLvl w:val="8"/>
    </w:pPr>
    <w:rPr>
      <w:rFonts w:ascii="Arial" w:hAnsi="Arial" w:eastAsia="黑体"/>
      <w:sz w:val="24"/>
      <w:szCs w:val="21"/>
    </w:rPr>
  </w:style>
  <w:style w:type="character" w:default="1" w:styleId="33">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44"/>
    <w:qFormat/>
    <w:uiPriority w:val="0"/>
    <w:pPr>
      <w:spacing w:after="120"/>
      <w:ind w:firstLine="200" w:firstLineChars="200"/>
    </w:pPr>
    <w:rPr>
      <w:sz w:val="24"/>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13">
    <w:name w:val="Normal Indent"/>
    <w:basedOn w:val="1"/>
    <w:link w:val="43"/>
    <w:qFormat/>
    <w:uiPriority w:val="0"/>
    <w:pPr>
      <w:spacing w:line="300" w:lineRule="auto"/>
      <w:ind w:firstLine="420"/>
    </w:pPr>
    <w:rPr>
      <w:sz w:val="24"/>
      <w:szCs w:val="20"/>
    </w:rPr>
  </w:style>
  <w:style w:type="paragraph" w:styleId="14">
    <w:name w:val="caption"/>
    <w:basedOn w:val="1"/>
    <w:next w:val="1"/>
    <w:qFormat/>
    <w:uiPriority w:val="0"/>
    <w:pPr>
      <w:adjustRightInd w:val="0"/>
      <w:spacing w:before="152" w:after="160" w:line="360" w:lineRule="atLeast"/>
      <w:jc w:val="left"/>
      <w:textAlignment w:val="baseline"/>
    </w:pPr>
    <w:rPr>
      <w:rFonts w:ascii="Arial" w:hAnsi="Arial" w:eastAsia="黑体" w:cs="Arial"/>
      <w:kern w:val="0"/>
      <w:sz w:val="20"/>
      <w:szCs w:val="20"/>
    </w:rPr>
  </w:style>
  <w:style w:type="paragraph" w:styleId="15">
    <w:name w:val="Document Map"/>
    <w:basedOn w:val="1"/>
    <w:semiHidden/>
    <w:qFormat/>
    <w:uiPriority w:val="0"/>
    <w:pPr>
      <w:shd w:val="clear" w:color="auto" w:fill="000080"/>
    </w:pPr>
  </w:style>
  <w:style w:type="paragraph" w:styleId="16">
    <w:name w:val="annotation text"/>
    <w:basedOn w:val="1"/>
    <w:semiHidden/>
    <w:qFormat/>
    <w:uiPriority w:val="0"/>
    <w:pPr>
      <w:jc w:val="left"/>
    </w:pPr>
  </w:style>
  <w:style w:type="paragraph" w:styleId="17">
    <w:name w:val="Body Text Indent"/>
    <w:basedOn w:val="1"/>
    <w:qFormat/>
    <w:uiPriority w:val="0"/>
    <w:pPr>
      <w:spacing w:line="400" w:lineRule="atLeast"/>
      <w:ind w:left="900"/>
    </w:pPr>
    <w:rPr>
      <w:spacing w:val="10"/>
      <w:sz w:val="24"/>
    </w:rPr>
  </w:style>
  <w:style w:type="paragraph" w:styleId="18">
    <w:name w:val="toc 3"/>
    <w:basedOn w:val="1"/>
    <w:next w:val="1"/>
    <w:qFormat/>
    <w:uiPriority w:val="39"/>
    <w:pPr>
      <w:ind w:left="840" w:leftChars="400"/>
    </w:pPr>
  </w:style>
  <w:style w:type="paragraph" w:styleId="19">
    <w:name w:val="Plain Text"/>
    <w:basedOn w:val="1"/>
    <w:link w:val="45"/>
    <w:qFormat/>
    <w:uiPriority w:val="0"/>
    <w:pPr>
      <w:ind w:firstLine="200" w:firstLineChars="200"/>
    </w:pPr>
    <w:rPr>
      <w:rFonts w:ascii="宋体" w:hAnsi="Courier New"/>
      <w:sz w:val="24"/>
    </w:rPr>
  </w:style>
  <w:style w:type="paragraph" w:styleId="20">
    <w:name w:val="Date"/>
    <w:basedOn w:val="1"/>
    <w:next w:val="1"/>
    <w:qFormat/>
    <w:uiPriority w:val="0"/>
    <w:pPr>
      <w:ind w:firstLine="200" w:firstLineChars="200"/>
    </w:pPr>
    <w:rPr>
      <w:rFonts w:ascii="Arial" w:hAnsi="Arial"/>
      <w:sz w:val="24"/>
      <w:szCs w:val="21"/>
    </w:rPr>
  </w:style>
  <w:style w:type="paragraph" w:styleId="21">
    <w:name w:val="Body Text Indent 2"/>
    <w:basedOn w:val="1"/>
    <w:qFormat/>
    <w:uiPriority w:val="0"/>
    <w:pPr>
      <w:adjustRightInd w:val="0"/>
      <w:snapToGrid w:val="0"/>
      <w:spacing w:line="360" w:lineRule="auto"/>
      <w:ind w:firstLine="528"/>
      <w:jc w:val="left"/>
    </w:pPr>
  </w:style>
  <w:style w:type="paragraph" w:styleId="22">
    <w:name w:val="Balloon Text"/>
    <w:basedOn w:val="1"/>
    <w:semiHidden/>
    <w:qFormat/>
    <w:uiPriority w:val="0"/>
    <w:rPr>
      <w:sz w:val="18"/>
      <w:szCs w:val="18"/>
    </w:rPr>
  </w:style>
  <w:style w:type="paragraph" w:styleId="23">
    <w:name w:val="footer"/>
    <w:basedOn w:val="1"/>
    <w:link w:val="46"/>
    <w:qFormat/>
    <w:uiPriority w:val="99"/>
    <w:pPr>
      <w:tabs>
        <w:tab w:val="center" w:pos="4153"/>
        <w:tab w:val="right" w:pos="8306"/>
      </w:tabs>
      <w:snapToGrid w:val="0"/>
      <w:jc w:val="left"/>
    </w:pPr>
    <w:rPr>
      <w:sz w:val="18"/>
      <w:szCs w:val="18"/>
    </w:rPr>
  </w:style>
  <w:style w:type="paragraph" w:styleId="24">
    <w:name w:val="header"/>
    <w:basedOn w:val="1"/>
    <w:link w:val="47"/>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style>
  <w:style w:type="paragraph" w:styleId="26">
    <w:name w:val="Body Text Indent 3"/>
    <w:basedOn w:val="1"/>
    <w:qFormat/>
    <w:uiPriority w:val="0"/>
    <w:pPr>
      <w:spacing w:after="120" w:line="480" w:lineRule="exact"/>
      <w:ind w:left="420" w:leftChars="200" w:firstLine="200" w:firstLineChars="200"/>
    </w:pPr>
    <w:rPr>
      <w:sz w:val="16"/>
      <w:szCs w:val="16"/>
    </w:rPr>
  </w:style>
  <w:style w:type="paragraph" w:styleId="27">
    <w:name w:val="toc 2"/>
    <w:basedOn w:val="1"/>
    <w:next w:val="1"/>
    <w:qFormat/>
    <w:uiPriority w:val="39"/>
    <w:pPr>
      <w:ind w:left="420" w:leftChars="200"/>
    </w:pPr>
  </w:style>
  <w:style w:type="paragraph" w:styleId="28">
    <w:name w:val="Body Text 2"/>
    <w:basedOn w:val="1"/>
    <w:qFormat/>
    <w:uiPriority w:val="0"/>
    <w:pPr>
      <w:spacing w:after="120" w:line="480" w:lineRule="auto"/>
    </w:pPr>
    <w:rPr>
      <w:sz w:val="24"/>
    </w:rPr>
  </w:style>
  <w:style w:type="paragraph" w:styleId="29">
    <w:name w:val="annotation subject"/>
    <w:basedOn w:val="16"/>
    <w:next w:val="16"/>
    <w:semiHidden/>
    <w:qFormat/>
    <w:uiPriority w:val="0"/>
    <w:rPr>
      <w:b/>
      <w:bCs/>
    </w:rPr>
  </w:style>
  <w:style w:type="table" w:styleId="31">
    <w:name w:val="Table Grid"/>
    <w:basedOn w:val="30"/>
    <w:qFormat/>
    <w:uiPriority w:val="0"/>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2">
    <w:name w:val="Table List 1"/>
    <w:basedOn w:val="30"/>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34">
    <w:name w:val="page number"/>
    <w:basedOn w:val="33"/>
    <w:qFormat/>
    <w:uiPriority w:val="0"/>
  </w:style>
  <w:style w:type="character" w:styleId="35">
    <w:name w:val="Hyperlink"/>
    <w:qFormat/>
    <w:uiPriority w:val="99"/>
    <w:rPr>
      <w:color w:val="0000FF"/>
      <w:u w:val="single"/>
    </w:rPr>
  </w:style>
  <w:style w:type="character" w:styleId="36">
    <w:name w:val="annotation reference"/>
    <w:semiHidden/>
    <w:qFormat/>
    <w:uiPriority w:val="0"/>
    <w:rPr>
      <w:sz w:val="21"/>
      <w:szCs w:val="21"/>
    </w:rPr>
  </w:style>
  <w:style w:type="character" w:customStyle="1" w:styleId="37">
    <w:name w:val="标题 2 Char"/>
    <w:link w:val="5"/>
    <w:qFormat/>
    <w:uiPriority w:val="9"/>
    <w:rPr>
      <w:rFonts w:ascii="仿宋_GB2312" w:hAnsi="仿宋_GB2312" w:eastAsia="仿宋_GB2312"/>
      <w:b/>
      <w:bCs/>
      <w:kern w:val="2"/>
      <w:sz w:val="32"/>
      <w:szCs w:val="28"/>
    </w:rPr>
  </w:style>
  <w:style w:type="character" w:customStyle="1" w:styleId="38">
    <w:name w:val="标题 3 Char"/>
    <w:link w:val="6"/>
    <w:qFormat/>
    <w:uiPriority w:val="0"/>
    <w:rPr>
      <w:rFonts w:ascii="仿宋" w:hAnsi="仿宋" w:eastAsia="仿宋_GB2312"/>
      <w:b/>
      <w:bCs/>
      <w:kern w:val="2"/>
      <w:sz w:val="32"/>
      <w:szCs w:val="32"/>
    </w:rPr>
  </w:style>
  <w:style w:type="character" w:customStyle="1" w:styleId="39">
    <w:name w:val="标题 6 Char"/>
    <w:link w:val="9"/>
    <w:qFormat/>
    <w:uiPriority w:val="0"/>
    <w:rPr>
      <w:rFonts w:ascii="Arial" w:hAnsi="Arial" w:eastAsia="黑体"/>
      <w:b/>
      <w:bCs/>
      <w:kern w:val="2"/>
      <w:sz w:val="24"/>
    </w:rPr>
  </w:style>
  <w:style w:type="character" w:customStyle="1" w:styleId="40">
    <w:name w:val="标题 7 Char"/>
    <w:link w:val="10"/>
    <w:qFormat/>
    <w:uiPriority w:val="0"/>
    <w:rPr>
      <w:b/>
      <w:bCs/>
      <w:kern w:val="2"/>
      <w:sz w:val="24"/>
    </w:rPr>
  </w:style>
  <w:style w:type="character" w:customStyle="1" w:styleId="41">
    <w:name w:val="标题 8 Char"/>
    <w:link w:val="11"/>
    <w:qFormat/>
    <w:uiPriority w:val="0"/>
    <w:rPr>
      <w:rFonts w:ascii="Arial" w:hAnsi="Arial" w:eastAsia="黑体"/>
      <w:kern w:val="2"/>
      <w:sz w:val="24"/>
    </w:rPr>
  </w:style>
  <w:style w:type="character" w:customStyle="1" w:styleId="42">
    <w:name w:val="标题 9 Char"/>
    <w:link w:val="12"/>
    <w:qFormat/>
    <w:uiPriority w:val="0"/>
    <w:rPr>
      <w:rFonts w:ascii="Arial" w:hAnsi="Arial" w:eastAsia="黑体"/>
      <w:kern w:val="2"/>
      <w:sz w:val="24"/>
      <w:szCs w:val="21"/>
    </w:rPr>
  </w:style>
  <w:style w:type="character" w:customStyle="1" w:styleId="43">
    <w:name w:val="正文缩进 Char"/>
    <w:link w:val="13"/>
    <w:qFormat/>
    <w:uiPriority w:val="0"/>
    <w:rPr>
      <w:kern w:val="2"/>
      <w:sz w:val="24"/>
    </w:rPr>
  </w:style>
  <w:style w:type="character" w:customStyle="1" w:styleId="44">
    <w:name w:val="正文文本 Char"/>
    <w:link w:val="2"/>
    <w:qFormat/>
    <w:uiPriority w:val="0"/>
    <w:rPr>
      <w:kern w:val="2"/>
      <w:sz w:val="24"/>
      <w:szCs w:val="24"/>
    </w:rPr>
  </w:style>
  <w:style w:type="character" w:customStyle="1" w:styleId="45">
    <w:name w:val="纯文本 Char"/>
    <w:link w:val="19"/>
    <w:qFormat/>
    <w:uiPriority w:val="0"/>
    <w:rPr>
      <w:rFonts w:ascii="宋体" w:hAnsi="Courier New"/>
      <w:kern w:val="2"/>
      <w:sz w:val="24"/>
      <w:szCs w:val="24"/>
    </w:rPr>
  </w:style>
  <w:style w:type="character" w:customStyle="1" w:styleId="46">
    <w:name w:val="页脚 Char"/>
    <w:link w:val="23"/>
    <w:qFormat/>
    <w:uiPriority w:val="99"/>
    <w:rPr>
      <w:kern w:val="2"/>
      <w:sz w:val="18"/>
      <w:szCs w:val="18"/>
    </w:rPr>
  </w:style>
  <w:style w:type="character" w:customStyle="1" w:styleId="47">
    <w:name w:val="页眉 Char"/>
    <w:link w:val="24"/>
    <w:qFormat/>
    <w:uiPriority w:val="0"/>
    <w:rPr>
      <w:kern w:val="2"/>
      <w:sz w:val="18"/>
      <w:szCs w:val="18"/>
    </w:rPr>
  </w:style>
  <w:style w:type="character" w:customStyle="1" w:styleId="48">
    <w:name w:val="封面“EPC联合体”西文文字 Char Char"/>
    <w:link w:val="49"/>
    <w:qFormat/>
    <w:uiPriority w:val="0"/>
    <w:rPr>
      <w:rFonts w:hAnsi="宋体" w:eastAsia="宋体"/>
      <w:b/>
      <w:kern w:val="2"/>
      <w:sz w:val="32"/>
      <w:szCs w:val="32"/>
      <w:lang w:val="en-US" w:eastAsia="zh-CN" w:bidi="ar-SA"/>
    </w:rPr>
  </w:style>
  <w:style w:type="paragraph" w:customStyle="1" w:styleId="49">
    <w:name w:val="封面“EPC联合体”西文文字"/>
    <w:basedOn w:val="50"/>
    <w:link w:val="48"/>
    <w:semiHidden/>
    <w:qFormat/>
    <w:uiPriority w:val="0"/>
  </w:style>
  <w:style w:type="paragraph" w:customStyle="1" w:styleId="50">
    <w:name w:val="封面“EPC联合体”中文文字"/>
    <w:basedOn w:val="51"/>
    <w:link w:val="53"/>
    <w:semiHidden/>
    <w:qFormat/>
    <w:uiPriority w:val="0"/>
    <w:pPr>
      <w:ind w:firstLine="0" w:firstLineChars="0"/>
      <w:jc w:val="center"/>
    </w:pPr>
    <w:rPr>
      <w:rFonts w:hAnsi="宋体"/>
      <w:b/>
      <w:sz w:val="32"/>
      <w:szCs w:val="32"/>
    </w:rPr>
  </w:style>
  <w:style w:type="paragraph" w:customStyle="1" w:styleId="51">
    <w:name w:val="正文文字样式"/>
    <w:basedOn w:val="1"/>
    <w:link w:val="52"/>
    <w:qFormat/>
    <w:uiPriority w:val="0"/>
    <w:pPr>
      <w:spacing w:line="480" w:lineRule="exact"/>
      <w:ind w:firstLine="480" w:firstLineChars="200"/>
    </w:pPr>
    <w:rPr>
      <w:sz w:val="24"/>
    </w:rPr>
  </w:style>
  <w:style w:type="character" w:customStyle="1" w:styleId="52">
    <w:name w:val="正文文字样式 Char Char"/>
    <w:link w:val="51"/>
    <w:qFormat/>
    <w:uiPriority w:val="0"/>
    <w:rPr>
      <w:rFonts w:eastAsia="宋体"/>
      <w:kern w:val="2"/>
      <w:sz w:val="24"/>
      <w:szCs w:val="24"/>
      <w:lang w:val="en-US" w:eastAsia="zh-CN" w:bidi="ar-SA"/>
    </w:rPr>
  </w:style>
  <w:style w:type="character" w:customStyle="1" w:styleId="53">
    <w:name w:val="封面“EPC联合体”中文文字 Char Char"/>
    <w:link w:val="50"/>
    <w:qFormat/>
    <w:uiPriority w:val="0"/>
    <w:rPr>
      <w:rFonts w:hAnsi="宋体" w:eastAsia="宋体"/>
      <w:b/>
      <w:kern w:val="2"/>
      <w:sz w:val="32"/>
      <w:szCs w:val="32"/>
      <w:lang w:val="en-US" w:eastAsia="zh-CN" w:bidi="ar-SA"/>
    </w:rPr>
  </w:style>
  <w:style w:type="character" w:customStyle="1" w:styleId="54">
    <w:name w:val="样式3 Char"/>
    <w:link w:val="55"/>
    <w:qFormat/>
    <w:uiPriority w:val="0"/>
    <w:rPr>
      <w:b/>
      <w:caps/>
      <w:sz w:val="28"/>
      <w:lang w:bidi="ar-SA"/>
    </w:rPr>
  </w:style>
  <w:style w:type="paragraph" w:customStyle="1" w:styleId="55">
    <w:name w:val="样式3"/>
    <w:basedOn w:val="56"/>
    <w:link w:val="54"/>
    <w:qFormat/>
    <w:uiPriority w:val="0"/>
    <w:pPr>
      <w:tabs>
        <w:tab w:val="left" w:pos="0"/>
      </w:tabs>
      <w:spacing w:line="240" w:lineRule="auto"/>
      <w:jc w:val="both"/>
    </w:pPr>
    <w:rPr>
      <w:bCs w:val="0"/>
      <w:kern w:val="0"/>
      <w:sz w:val="28"/>
    </w:rPr>
  </w:style>
  <w:style w:type="paragraph" w:customStyle="1" w:styleId="56">
    <w:name w:val="目录 11"/>
    <w:basedOn w:val="1"/>
    <w:next w:val="1"/>
    <w:qFormat/>
    <w:uiPriority w:val="39"/>
    <w:pPr>
      <w:spacing w:before="120" w:after="120" w:line="60" w:lineRule="auto"/>
      <w:jc w:val="left"/>
    </w:pPr>
    <w:rPr>
      <w:b/>
      <w:bCs/>
      <w:caps/>
      <w:sz w:val="20"/>
      <w:szCs w:val="20"/>
    </w:rPr>
  </w:style>
  <w:style w:type="character" w:customStyle="1" w:styleId="57">
    <w:name w:val="样式 Arial"/>
    <w:qFormat/>
    <w:uiPriority w:val="0"/>
    <w:rPr>
      <w:rFonts w:hint="default" w:ascii="Times New Roman" w:hAnsi="Times New Roman" w:eastAsia="宋体" w:cs="Times New Roman"/>
      <w:sz w:val="21"/>
      <w:szCs w:val="21"/>
    </w:rPr>
  </w:style>
  <w:style w:type="character" w:customStyle="1" w:styleId="58">
    <w:name w:val="标题 3 Char1"/>
    <w:qFormat/>
    <w:uiPriority w:val="0"/>
    <w:rPr>
      <w:rFonts w:ascii="宋体"/>
      <w:b/>
      <w:kern w:val="2"/>
      <w:sz w:val="28"/>
    </w:rPr>
  </w:style>
  <w:style w:type="character" w:customStyle="1" w:styleId="59">
    <w:name w:val="正文文本缩进 Char"/>
    <w:link w:val="60"/>
    <w:qFormat/>
    <w:uiPriority w:val="0"/>
    <w:rPr>
      <w:rFonts w:ascii="宋体" w:hAnsi="宋体"/>
      <w:sz w:val="24"/>
      <w:szCs w:val="24"/>
    </w:rPr>
  </w:style>
  <w:style w:type="paragraph" w:customStyle="1" w:styleId="60">
    <w:name w:val="正文文本缩进1"/>
    <w:basedOn w:val="1"/>
    <w:link w:val="59"/>
    <w:qFormat/>
    <w:uiPriority w:val="0"/>
    <w:pPr>
      <w:spacing w:line="300" w:lineRule="auto"/>
      <w:ind w:firstLine="480"/>
    </w:pPr>
    <w:rPr>
      <w:rFonts w:ascii="宋体" w:hAnsi="宋体"/>
      <w:kern w:val="0"/>
      <w:sz w:val="24"/>
    </w:rPr>
  </w:style>
  <w:style w:type="character" w:customStyle="1" w:styleId="61">
    <w:name w:val="“上标”样式"/>
    <w:qFormat/>
    <w:uiPriority w:val="0"/>
    <w:rPr>
      <w:rFonts w:ascii="Times New Roman" w:hAnsi="Times New Roman" w:eastAsia="宋体"/>
      <w:sz w:val="24"/>
      <w:vertAlign w:val="superscript"/>
    </w:rPr>
  </w:style>
  <w:style w:type="character" w:customStyle="1" w:styleId="62">
    <w:name w:val="GEDI正文样式 Char"/>
    <w:link w:val="63"/>
    <w:qFormat/>
    <w:uiPriority w:val="0"/>
    <w:rPr>
      <w:kern w:val="2"/>
      <w:sz w:val="24"/>
      <w:szCs w:val="24"/>
    </w:rPr>
  </w:style>
  <w:style w:type="paragraph" w:customStyle="1" w:styleId="63">
    <w:name w:val="GEDI正文样式"/>
    <w:basedOn w:val="1"/>
    <w:link w:val="62"/>
    <w:qFormat/>
    <w:uiPriority w:val="0"/>
    <w:pPr>
      <w:adjustRightInd w:val="0"/>
      <w:snapToGrid w:val="0"/>
      <w:spacing w:line="480" w:lineRule="atLeast"/>
      <w:ind w:firstLine="480" w:firstLineChars="200"/>
    </w:pPr>
    <w:rPr>
      <w:sz w:val="24"/>
    </w:rPr>
  </w:style>
  <w:style w:type="character" w:customStyle="1" w:styleId="64">
    <w:name w:val="正文首行缩进 Char"/>
    <w:link w:val="65"/>
    <w:qFormat/>
    <w:uiPriority w:val="0"/>
    <w:rPr>
      <w:kern w:val="2"/>
      <w:sz w:val="24"/>
      <w:szCs w:val="24"/>
    </w:rPr>
  </w:style>
  <w:style w:type="paragraph" w:customStyle="1" w:styleId="65">
    <w:name w:val="正文首行缩进1"/>
    <w:basedOn w:val="2"/>
    <w:link w:val="64"/>
    <w:qFormat/>
    <w:uiPriority w:val="0"/>
    <w:pPr>
      <w:spacing w:after="0" w:line="360" w:lineRule="auto"/>
    </w:pPr>
  </w:style>
  <w:style w:type="character" w:customStyle="1" w:styleId="66">
    <w:name w:val="GEDI一级项目编号 Char"/>
    <w:link w:val="67"/>
    <w:qFormat/>
    <w:uiPriority w:val="0"/>
    <w:rPr>
      <w:kern w:val="2"/>
      <w:sz w:val="24"/>
      <w:szCs w:val="24"/>
    </w:rPr>
  </w:style>
  <w:style w:type="paragraph" w:customStyle="1" w:styleId="67">
    <w:name w:val="GEDI一级项目编号"/>
    <w:basedOn w:val="1"/>
    <w:link w:val="66"/>
    <w:qFormat/>
    <w:uiPriority w:val="0"/>
    <w:pPr>
      <w:adjustRightInd w:val="0"/>
      <w:snapToGrid w:val="0"/>
      <w:spacing w:line="480" w:lineRule="atLeast"/>
    </w:pPr>
    <w:rPr>
      <w:sz w:val="24"/>
    </w:rPr>
  </w:style>
  <w:style w:type="character" w:customStyle="1" w:styleId="68">
    <w:name w:val="“下标”样式"/>
    <w:qFormat/>
    <w:uiPriority w:val="0"/>
    <w:rPr>
      <w:vertAlign w:val="subscript"/>
    </w:rPr>
  </w:style>
  <w:style w:type="character" w:customStyle="1" w:styleId="69">
    <w:name w:val="font11"/>
    <w:basedOn w:val="33"/>
    <w:unhideWhenUsed/>
    <w:qFormat/>
    <w:uiPriority w:val="0"/>
    <w:rPr>
      <w:rFonts w:hint="eastAsia" w:ascii="微软雅黑" w:hAnsi="微软雅黑" w:eastAsia="微软雅黑" w:cs="微软雅黑"/>
      <w:color w:val="000000"/>
      <w:sz w:val="22"/>
      <w:szCs w:val="22"/>
      <w:vertAlign w:val="superscript"/>
    </w:rPr>
  </w:style>
  <w:style w:type="paragraph" w:customStyle="1" w:styleId="70">
    <w:name w:val="目录 91"/>
    <w:basedOn w:val="1"/>
    <w:next w:val="1"/>
    <w:semiHidden/>
    <w:qFormat/>
    <w:uiPriority w:val="0"/>
    <w:pPr>
      <w:ind w:left="1680"/>
      <w:jc w:val="left"/>
    </w:pPr>
    <w:rPr>
      <w:sz w:val="18"/>
      <w:szCs w:val="18"/>
    </w:rPr>
  </w:style>
  <w:style w:type="paragraph" w:customStyle="1" w:styleId="71">
    <w:name w:val="样式 正文缩进正文（首行缩进两字）四号特点标题4表正文正文非缩进缩进ALT+Z段1正文不缩进特点 Char..."/>
    <w:basedOn w:val="13"/>
    <w:qFormat/>
    <w:uiPriority w:val="0"/>
    <w:pPr>
      <w:spacing w:line="360" w:lineRule="auto"/>
      <w:ind w:firstLine="480" w:firstLineChars="200"/>
    </w:pPr>
    <w:rPr>
      <w:rFonts w:ascii="宋体" w:hAnsi="宋体"/>
      <w:lang w:val="en-US" w:eastAsia="zh-CN"/>
    </w:rPr>
  </w:style>
  <w:style w:type="paragraph" w:customStyle="1" w:styleId="72">
    <w:name w:val="目录 31"/>
    <w:basedOn w:val="1"/>
    <w:next w:val="1"/>
    <w:qFormat/>
    <w:uiPriority w:val="39"/>
    <w:pPr>
      <w:ind w:left="420"/>
      <w:jc w:val="left"/>
    </w:pPr>
    <w:rPr>
      <w:i/>
      <w:iCs/>
      <w:sz w:val="20"/>
      <w:szCs w:val="20"/>
    </w:rPr>
  </w:style>
  <w:style w:type="paragraph" w:customStyle="1" w:styleId="73">
    <w:name w:val="目录 51"/>
    <w:basedOn w:val="1"/>
    <w:next w:val="1"/>
    <w:semiHidden/>
    <w:qFormat/>
    <w:uiPriority w:val="0"/>
    <w:pPr>
      <w:ind w:left="840"/>
      <w:jc w:val="left"/>
    </w:pPr>
    <w:rPr>
      <w:sz w:val="18"/>
      <w:szCs w:val="18"/>
    </w:rPr>
  </w:style>
  <w:style w:type="paragraph" w:customStyle="1" w:styleId="74">
    <w:name w:val="图名/表名/表头样式"/>
    <w:basedOn w:val="51"/>
    <w:qFormat/>
    <w:uiPriority w:val="0"/>
    <w:pPr>
      <w:ind w:firstLine="0" w:firstLineChars="0"/>
      <w:jc w:val="center"/>
    </w:pPr>
    <w:rPr>
      <w:b/>
      <w:sz w:val="21"/>
      <w:szCs w:val="21"/>
    </w:rPr>
  </w:style>
  <w:style w:type="paragraph" w:styleId="75">
    <w:name w:val="List Paragraph"/>
    <w:basedOn w:val="1"/>
    <w:qFormat/>
    <w:uiPriority w:val="34"/>
    <w:pPr>
      <w:ind w:firstLine="420" w:firstLineChars="200"/>
    </w:pPr>
  </w:style>
  <w:style w:type="paragraph" w:customStyle="1" w:styleId="76">
    <w:name w:val="1级列项"/>
    <w:basedOn w:val="51"/>
    <w:qFormat/>
    <w:uiPriority w:val="0"/>
    <w:pPr>
      <w:numPr>
        <w:ilvl w:val="0"/>
        <w:numId w:val="2"/>
      </w:numPr>
      <w:ind w:firstLine="0" w:firstLineChars="0"/>
    </w:pPr>
  </w:style>
  <w:style w:type="paragraph" w:customStyle="1" w:styleId="77">
    <w:name w:val="表格文字样式"/>
    <w:basedOn w:val="51"/>
    <w:qFormat/>
    <w:uiPriority w:val="0"/>
    <w:pPr>
      <w:ind w:firstLine="0" w:firstLineChars="0"/>
    </w:pPr>
    <w:rPr>
      <w:sz w:val="21"/>
      <w:szCs w:val="21"/>
    </w:rPr>
  </w:style>
  <w:style w:type="paragraph" w:customStyle="1" w:styleId="78">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79">
    <w:name w:val="一级条标题"/>
    <w:basedOn w:val="80"/>
    <w:next w:val="78"/>
    <w:qFormat/>
    <w:uiPriority w:val="0"/>
    <w:pPr>
      <w:numPr>
        <w:ilvl w:val="2"/>
        <w:numId w:val="3"/>
      </w:numPr>
      <w:tabs>
        <w:tab w:val="left" w:pos="360"/>
        <w:tab w:val="left" w:pos="420"/>
        <w:tab w:val="left" w:pos="525"/>
      </w:tabs>
      <w:spacing w:before="0" w:beforeLines="0" w:after="0" w:afterLines="0"/>
      <w:outlineLvl w:val="2"/>
    </w:pPr>
  </w:style>
  <w:style w:type="paragraph" w:customStyle="1" w:styleId="80">
    <w:name w:val="章标题"/>
    <w:next w:val="78"/>
    <w:qFormat/>
    <w:uiPriority w:val="0"/>
    <w:pPr>
      <w:numPr>
        <w:ilvl w:val="1"/>
        <w:numId w:val="3"/>
      </w:numPr>
      <w:tabs>
        <w:tab w:val="left" w:pos="420"/>
      </w:tabs>
      <w:spacing w:before="50" w:beforeLines="50" w:after="50" w:afterLines="50"/>
      <w:jc w:val="both"/>
      <w:outlineLvl w:val="1"/>
    </w:pPr>
    <w:rPr>
      <w:rFonts w:ascii="黑体" w:hAnsi="Times New Roman" w:eastAsia="黑体" w:cs="Times New Roman"/>
      <w:b/>
      <w:sz w:val="21"/>
      <w:lang w:val="en-US" w:eastAsia="zh-CN" w:bidi="ar-SA"/>
    </w:rPr>
  </w:style>
  <w:style w:type="paragraph" w:customStyle="1" w:styleId="81">
    <w:name w:val="二级条标题"/>
    <w:basedOn w:val="79"/>
    <w:next w:val="78"/>
    <w:qFormat/>
    <w:uiPriority w:val="0"/>
    <w:pPr>
      <w:numPr>
        <w:ilvl w:val="3"/>
        <w:numId w:val="3"/>
      </w:numPr>
      <w:tabs>
        <w:tab w:val="left" w:pos="1245"/>
        <w:tab w:val="clear" w:pos="525"/>
      </w:tabs>
      <w:ind w:left="525"/>
      <w:outlineLvl w:val="3"/>
    </w:pPr>
  </w:style>
  <w:style w:type="paragraph" w:customStyle="1" w:styleId="82">
    <w:name w:val="默认段落字体 Para Char Char Char1 Char"/>
    <w:basedOn w:val="1"/>
    <w:qFormat/>
    <w:uiPriority w:val="0"/>
    <w:pPr>
      <w:ind w:firstLine="200" w:firstLineChars="200"/>
    </w:pPr>
    <w:rPr>
      <w:sz w:val="24"/>
    </w:rPr>
  </w:style>
  <w:style w:type="paragraph" w:customStyle="1" w:styleId="83">
    <w:name w:val="五级条标题"/>
    <w:basedOn w:val="84"/>
    <w:next w:val="78"/>
    <w:qFormat/>
    <w:uiPriority w:val="0"/>
    <w:pPr>
      <w:numPr>
        <w:ilvl w:val="6"/>
        <w:numId w:val="3"/>
      </w:numPr>
      <w:tabs>
        <w:tab w:val="left" w:pos="360"/>
        <w:tab w:val="left" w:pos="420"/>
        <w:tab w:val="left" w:pos="720"/>
        <w:tab w:val="left" w:pos="945"/>
        <w:tab w:val="left" w:pos="1021"/>
        <w:tab w:val="left" w:pos="1080"/>
        <w:tab w:val="left" w:pos="1155"/>
        <w:tab w:val="left" w:pos="1245"/>
        <w:tab w:val="left" w:pos="1407"/>
      </w:tabs>
      <w:outlineLvl w:val="6"/>
    </w:pPr>
  </w:style>
  <w:style w:type="paragraph" w:customStyle="1" w:styleId="84">
    <w:name w:val="四级条标题"/>
    <w:basedOn w:val="85"/>
    <w:next w:val="78"/>
    <w:qFormat/>
    <w:uiPriority w:val="0"/>
    <w:pPr>
      <w:numPr>
        <w:ilvl w:val="5"/>
        <w:numId w:val="3"/>
      </w:numPr>
      <w:tabs>
        <w:tab w:val="left" w:pos="360"/>
        <w:tab w:val="left" w:pos="420"/>
        <w:tab w:val="left" w:pos="720"/>
        <w:tab w:val="left" w:pos="945"/>
        <w:tab w:val="left" w:pos="1080"/>
        <w:tab w:val="left" w:pos="1155"/>
        <w:tab w:val="left" w:pos="1245"/>
      </w:tabs>
      <w:outlineLvl w:val="5"/>
    </w:pPr>
  </w:style>
  <w:style w:type="paragraph" w:customStyle="1" w:styleId="85">
    <w:name w:val="三级条标题"/>
    <w:basedOn w:val="81"/>
    <w:next w:val="78"/>
    <w:qFormat/>
    <w:uiPriority w:val="0"/>
    <w:pPr>
      <w:numPr>
        <w:ilvl w:val="4"/>
        <w:numId w:val="3"/>
      </w:numPr>
      <w:tabs>
        <w:tab w:val="left" w:pos="945"/>
      </w:tabs>
      <w:outlineLvl w:val="4"/>
    </w:pPr>
  </w:style>
  <w:style w:type="paragraph" w:customStyle="1" w:styleId="86">
    <w:name w:val="正文文本缩进11"/>
    <w:basedOn w:val="1"/>
    <w:qFormat/>
    <w:uiPriority w:val="0"/>
    <w:pPr>
      <w:spacing w:line="300" w:lineRule="auto"/>
      <w:ind w:firstLine="480"/>
    </w:pPr>
    <w:rPr>
      <w:rFonts w:ascii="宋体" w:hAnsi="宋体"/>
      <w:kern w:val="0"/>
      <w:sz w:val="24"/>
    </w:rPr>
  </w:style>
  <w:style w:type="paragraph" w:customStyle="1" w:styleId="87">
    <w:name w:val="样式 Arial 首行缩进:  2 字符"/>
    <w:basedOn w:val="1"/>
    <w:qFormat/>
    <w:uiPriority w:val="0"/>
    <w:pPr>
      <w:ind w:firstLine="403" w:firstLineChars="200"/>
    </w:pPr>
    <w:rPr>
      <w:rFonts w:cs="华文新魏"/>
      <w:sz w:val="24"/>
      <w:szCs w:val="21"/>
    </w:rPr>
  </w:style>
  <w:style w:type="paragraph" w:customStyle="1" w:styleId="88">
    <w:name w:val="样式 首行缩进:  1.71 字符"/>
    <w:basedOn w:val="1"/>
    <w:qFormat/>
    <w:uiPriority w:val="0"/>
    <w:pPr>
      <w:spacing w:line="360" w:lineRule="auto"/>
      <w:ind w:firstLine="200" w:firstLineChars="200"/>
    </w:pPr>
    <w:rPr>
      <w:rFonts w:cs="宋体"/>
      <w:sz w:val="24"/>
    </w:rPr>
  </w:style>
  <w:style w:type="paragraph" w:customStyle="1" w:styleId="89">
    <w:name w:val="2级列项"/>
    <w:basedOn w:val="76"/>
    <w:qFormat/>
    <w:uiPriority w:val="0"/>
    <w:pPr>
      <w:numPr>
        <w:ilvl w:val="1"/>
        <w:numId w:val="2"/>
      </w:numPr>
    </w:pPr>
  </w:style>
  <w:style w:type="paragraph" w:customStyle="1" w:styleId="90">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91">
    <w:name w:val="默认段落字体 Para Char Char Char Char"/>
    <w:basedOn w:val="1"/>
    <w:qFormat/>
    <w:uiPriority w:val="0"/>
    <w:pPr>
      <w:ind w:firstLine="200" w:firstLineChars="200"/>
    </w:pPr>
    <w:rPr>
      <w:sz w:val="24"/>
    </w:rPr>
  </w:style>
  <w:style w:type="paragraph" w:customStyle="1" w:styleId="92">
    <w:name w:val="版本记录标题文字"/>
    <w:basedOn w:val="1"/>
    <w:semiHidden/>
    <w:qFormat/>
    <w:uiPriority w:val="0"/>
    <w:pPr>
      <w:spacing w:line="480" w:lineRule="exact"/>
    </w:pPr>
    <w:rPr>
      <w:sz w:val="24"/>
    </w:rPr>
  </w:style>
  <w:style w:type="paragraph" w:customStyle="1" w:styleId="93">
    <w:name w:val="封面二级标题文字"/>
    <w:basedOn w:val="51"/>
    <w:semiHidden/>
    <w:qFormat/>
    <w:uiPriority w:val="0"/>
    <w:pPr>
      <w:ind w:firstLine="0" w:firstLineChars="0"/>
      <w:jc w:val="center"/>
    </w:pPr>
    <w:rPr>
      <w:rFonts w:ascii="黑体" w:eastAsia="黑体"/>
      <w:b/>
      <w:sz w:val="44"/>
      <w:szCs w:val="44"/>
    </w:rPr>
  </w:style>
  <w:style w:type="paragraph" w:customStyle="1" w:styleId="94">
    <w:name w:val="样式 样式 标题 2 + 段前: 0.5 行 段后: 0.5 行 + 首行缩进:  2 字符 段前: 0.5 行 段后: 0..."/>
    <w:basedOn w:val="1"/>
    <w:qFormat/>
    <w:uiPriority w:val="0"/>
    <w:pPr>
      <w:keepNext/>
      <w:keepLines/>
      <w:spacing w:beforeLines="50" w:afterLines="50"/>
      <w:ind w:firstLine="200" w:firstLineChars="200"/>
      <w:jc w:val="left"/>
      <w:outlineLvl w:val="1"/>
    </w:pPr>
    <w:rPr>
      <w:rFonts w:eastAsia="黑体" w:cs="华文新魏"/>
      <w:sz w:val="24"/>
    </w:rPr>
  </w:style>
  <w:style w:type="paragraph" w:customStyle="1" w:styleId="95">
    <w:name w:val="三级无标题条"/>
    <w:basedOn w:val="1"/>
    <w:qFormat/>
    <w:uiPriority w:val="0"/>
    <w:pPr>
      <w:numPr>
        <w:ilvl w:val="4"/>
        <w:numId w:val="4"/>
      </w:numPr>
    </w:pPr>
    <w:rPr>
      <w:b/>
      <w:szCs w:val="20"/>
    </w:rPr>
  </w:style>
  <w:style w:type="paragraph" w:customStyle="1" w:styleId="96">
    <w:name w:val="_Style 88"/>
    <w:basedOn w:val="1"/>
    <w:next w:val="75"/>
    <w:qFormat/>
    <w:uiPriority w:val="99"/>
    <w:pPr>
      <w:ind w:firstLine="420" w:firstLineChars="200"/>
    </w:pPr>
    <w:rPr>
      <w:rFonts w:ascii="Calibri" w:hAnsi="Calibri"/>
      <w:sz w:val="28"/>
      <w:szCs w:val="28"/>
    </w:rPr>
  </w:style>
  <w:style w:type="paragraph" w:customStyle="1" w:styleId="97">
    <w:name w:val="五级无标题条"/>
    <w:basedOn w:val="1"/>
    <w:qFormat/>
    <w:uiPriority w:val="0"/>
    <w:pPr>
      <w:numPr>
        <w:ilvl w:val="6"/>
        <w:numId w:val="4"/>
      </w:numPr>
    </w:pPr>
    <w:rPr>
      <w:rFonts w:ascii="黑体" w:eastAsia="黑体"/>
      <w:b/>
      <w:szCs w:val="20"/>
    </w:rPr>
  </w:style>
  <w:style w:type="paragraph" w:customStyle="1" w:styleId="98">
    <w:name w:val="封面日期地点文字"/>
    <w:basedOn w:val="51"/>
    <w:semiHidden/>
    <w:qFormat/>
    <w:uiPriority w:val="0"/>
    <w:pPr>
      <w:spacing w:line="360" w:lineRule="exact"/>
      <w:ind w:firstLine="0" w:firstLineChars="0"/>
      <w:jc w:val="center"/>
    </w:pPr>
    <w:rPr>
      <w:sz w:val="32"/>
      <w:szCs w:val="32"/>
    </w:rPr>
  </w:style>
  <w:style w:type="paragraph" w:customStyle="1" w:styleId="99">
    <w:name w:val="目录 21"/>
    <w:basedOn w:val="1"/>
    <w:next w:val="1"/>
    <w:qFormat/>
    <w:uiPriority w:val="39"/>
    <w:pPr>
      <w:ind w:left="210"/>
      <w:jc w:val="left"/>
    </w:pPr>
    <w:rPr>
      <w:smallCaps/>
      <w:sz w:val="20"/>
      <w:szCs w:val="20"/>
    </w:rPr>
  </w:style>
  <w:style w:type="paragraph" w:customStyle="1" w:styleId="100">
    <w:name w:val="四级无标题条"/>
    <w:basedOn w:val="1"/>
    <w:qFormat/>
    <w:uiPriority w:val="0"/>
    <w:pPr>
      <w:numPr>
        <w:ilvl w:val="5"/>
        <w:numId w:val="4"/>
      </w:numPr>
    </w:pPr>
    <w:rPr>
      <w:rFonts w:eastAsia="黑体"/>
      <w:b/>
      <w:szCs w:val="20"/>
    </w:rPr>
  </w:style>
  <w:style w:type="paragraph" w:customStyle="1" w:styleId="101">
    <w:name w:val="bodycopy"/>
    <w:basedOn w:val="1"/>
    <w:qFormat/>
    <w:uiPriority w:val="0"/>
    <w:pPr>
      <w:widowControl/>
      <w:spacing w:before="100" w:beforeAutospacing="1" w:after="100" w:afterAutospacing="1" w:line="210" w:lineRule="atLeast"/>
      <w:jc w:val="left"/>
    </w:pPr>
    <w:rPr>
      <w:rFonts w:ascii="Arial" w:hAnsi="Arial" w:cs="Arial"/>
      <w:color w:val="000000"/>
      <w:kern w:val="0"/>
      <w:sz w:val="18"/>
      <w:szCs w:val="18"/>
    </w:rPr>
  </w:style>
  <w:style w:type="paragraph" w:customStyle="1" w:styleId="102">
    <w:name w:val="项目符号"/>
    <w:basedOn w:val="1"/>
    <w:qFormat/>
    <w:uiPriority w:val="0"/>
    <w:pPr>
      <w:numPr>
        <w:ilvl w:val="0"/>
        <w:numId w:val="5"/>
      </w:numPr>
      <w:spacing w:line="480" w:lineRule="exact"/>
    </w:pPr>
    <w:rPr>
      <w:sz w:val="24"/>
    </w:rPr>
  </w:style>
  <w:style w:type="paragraph" w:customStyle="1" w:styleId="103">
    <w:name w:val="Char"/>
    <w:basedOn w:val="1"/>
    <w:qFormat/>
    <w:uiPriority w:val="0"/>
    <w:pPr>
      <w:spacing w:line="240" w:lineRule="atLeast"/>
      <w:ind w:left="420" w:firstLine="420"/>
    </w:pPr>
    <w:rPr>
      <w:kern w:val="0"/>
      <w:szCs w:val="21"/>
    </w:rPr>
  </w:style>
  <w:style w:type="paragraph" w:customStyle="1" w:styleId="104">
    <w:name w:val="版本记录表格内文字"/>
    <w:basedOn w:val="1"/>
    <w:semiHidden/>
    <w:qFormat/>
    <w:uiPriority w:val="0"/>
    <w:pPr>
      <w:spacing w:line="360" w:lineRule="auto"/>
      <w:jc w:val="center"/>
    </w:pPr>
    <w:rPr>
      <w:sz w:val="24"/>
    </w:rPr>
  </w:style>
  <w:style w:type="paragraph" w:customStyle="1" w:styleId="105">
    <w:name w:val="目录 61"/>
    <w:basedOn w:val="1"/>
    <w:next w:val="1"/>
    <w:semiHidden/>
    <w:qFormat/>
    <w:uiPriority w:val="0"/>
    <w:pPr>
      <w:ind w:left="1050"/>
      <w:jc w:val="left"/>
    </w:pPr>
    <w:rPr>
      <w:sz w:val="18"/>
      <w:szCs w:val="18"/>
    </w:rPr>
  </w:style>
  <w:style w:type="paragraph" w:customStyle="1" w:styleId="106">
    <w:name w:val="“目录”"/>
    <w:basedOn w:val="51"/>
    <w:semiHidden/>
    <w:qFormat/>
    <w:uiPriority w:val="0"/>
    <w:pPr>
      <w:ind w:firstLine="0" w:firstLineChars="0"/>
      <w:jc w:val="center"/>
    </w:pPr>
    <w:rPr>
      <w:b/>
      <w:sz w:val="44"/>
    </w:rPr>
  </w:style>
  <w:style w:type="paragraph" w:customStyle="1" w:styleId="107">
    <w:name w:val="_Style 106"/>
    <w:semiHidden/>
    <w:qFormat/>
    <w:uiPriority w:val="99"/>
    <w:rPr>
      <w:rFonts w:ascii="Times New Roman" w:hAnsi="Times New Roman" w:eastAsia="宋体" w:cs="Times New Roman"/>
      <w:kern w:val="2"/>
      <w:sz w:val="21"/>
      <w:szCs w:val="24"/>
      <w:lang w:val="en-US" w:eastAsia="zh-CN" w:bidi="ar-SA"/>
    </w:rPr>
  </w:style>
  <w:style w:type="paragraph" w:customStyle="1" w:styleId="108">
    <w:name w:val="目录 81"/>
    <w:basedOn w:val="1"/>
    <w:next w:val="1"/>
    <w:semiHidden/>
    <w:qFormat/>
    <w:uiPriority w:val="0"/>
    <w:pPr>
      <w:ind w:left="1470"/>
      <w:jc w:val="left"/>
    </w:pPr>
    <w:rPr>
      <w:sz w:val="18"/>
      <w:szCs w:val="18"/>
    </w:rPr>
  </w:style>
  <w:style w:type="paragraph" w:customStyle="1" w:styleId="109">
    <w:name w:val="样式 首行缩进:  0 厘米 行距: 单倍行距 Char"/>
    <w:basedOn w:val="1"/>
    <w:qFormat/>
    <w:uiPriority w:val="0"/>
    <w:pPr>
      <w:ind w:firstLine="200" w:firstLineChars="200"/>
    </w:pPr>
    <w:rPr>
      <w:sz w:val="24"/>
      <w:szCs w:val="21"/>
    </w:rPr>
  </w:style>
  <w:style w:type="paragraph" w:customStyle="1" w:styleId="110">
    <w:name w:val="默认段落字体 Para Char Char Char Char Char Char1 Char"/>
    <w:basedOn w:val="1"/>
    <w:qFormat/>
    <w:uiPriority w:val="0"/>
    <w:pPr>
      <w:spacing w:line="360" w:lineRule="auto"/>
    </w:pPr>
    <w:rPr>
      <w:rFonts w:ascii="Tahoma" w:hAnsi="Tahoma"/>
      <w:sz w:val="28"/>
      <w:szCs w:val="20"/>
    </w:rPr>
  </w:style>
  <w:style w:type="paragraph" w:customStyle="1" w:styleId="111">
    <w:name w:val="样式 标题 1 + 首行缩进:  2 字符 段前: 1 行 段后: 1 行"/>
    <w:basedOn w:val="4"/>
    <w:qFormat/>
    <w:uiPriority w:val="0"/>
    <w:pPr>
      <w:widowControl w:val="0"/>
      <w:topLinePunct/>
      <w:snapToGrid w:val="0"/>
      <w:spacing w:before="0" w:beforeLines="100" w:after="0" w:afterLines="100" w:line="240" w:lineRule="auto"/>
      <w:ind w:left="0" w:firstLine="0"/>
      <w:jc w:val="left"/>
    </w:pPr>
    <w:rPr>
      <w:rFonts w:eastAsia="黑体" w:cs="华文新魏"/>
      <w:b w:val="0"/>
      <w:bCs w:val="0"/>
      <w:snapToGrid/>
      <w:kern w:val="0"/>
      <w:szCs w:val="20"/>
    </w:rPr>
  </w:style>
  <w:style w:type="paragraph" w:customStyle="1" w:styleId="112">
    <w:name w:val="目录 41"/>
    <w:basedOn w:val="1"/>
    <w:next w:val="1"/>
    <w:semiHidden/>
    <w:qFormat/>
    <w:uiPriority w:val="0"/>
    <w:pPr>
      <w:ind w:left="630"/>
      <w:jc w:val="left"/>
    </w:pPr>
    <w:rPr>
      <w:sz w:val="18"/>
      <w:szCs w:val="18"/>
    </w:rPr>
  </w:style>
  <w:style w:type="paragraph" w:customStyle="1" w:styleId="113">
    <w:name w:val="二级无标题条"/>
    <w:basedOn w:val="1"/>
    <w:qFormat/>
    <w:uiPriority w:val="0"/>
    <w:pPr>
      <w:numPr>
        <w:ilvl w:val="3"/>
        <w:numId w:val="4"/>
      </w:numPr>
    </w:pPr>
    <w:rPr>
      <w:b/>
      <w:szCs w:val="20"/>
    </w:rPr>
  </w:style>
  <w:style w:type="paragraph" w:customStyle="1" w:styleId="114">
    <w:name w:val="参考文献、索引标题"/>
    <w:basedOn w:val="1"/>
    <w:next w:val="1"/>
    <w:qFormat/>
    <w:uiPriority w:val="0"/>
    <w:pPr>
      <w:widowControl/>
      <w:shd w:val="clear" w:color="FFFFFF" w:fill="FFFFFF"/>
      <w:spacing w:before="640" w:after="200"/>
      <w:jc w:val="center"/>
      <w:outlineLvl w:val="0"/>
    </w:pPr>
    <w:rPr>
      <w:rFonts w:ascii="黑体" w:eastAsia="黑体"/>
      <w:b/>
      <w:kern w:val="0"/>
      <w:szCs w:val="20"/>
    </w:rPr>
  </w:style>
  <w:style w:type="paragraph" w:customStyle="1" w:styleId="115">
    <w:name w:val="一级无标题条"/>
    <w:basedOn w:val="1"/>
    <w:qFormat/>
    <w:uiPriority w:val="0"/>
    <w:pPr>
      <w:numPr>
        <w:ilvl w:val="2"/>
        <w:numId w:val="4"/>
      </w:numPr>
      <w:tabs>
        <w:tab w:val="left" w:pos="420"/>
      </w:tabs>
    </w:pPr>
    <w:rPr>
      <w:b/>
      <w:szCs w:val="20"/>
    </w:rPr>
  </w:style>
  <w:style w:type="paragraph" w:customStyle="1" w:styleId="116">
    <w:name w:val="封面文档编号"/>
    <w:basedOn w:val="51"/>
    <w:semiHidden/>
    <w:qFormat/>
    <w:uiPriority w:val="0"/>
    <w:pPr>
      <w:spacing w:line="640" w:lineRule="exact"/>
      <w:ind w:firstLine="0" w:firstLineChars="0"/>
      <w:jc w:val="center"/>
    </w:pPr>
    <w:rPr>
      <w:rFonts w:ascii="黑体" w:eastAsia="黑体"/>
      <w:b/>
      <w:sz w:val="32"/>
      <w:szCs w:val="32"/>
    </w:rPr>
  </w:style>
  <w:style w:type="paragraph" w:customStyle="1" w:styleId="117">
    <w:name w:val="正文表标题"/>
    <w:next w:val="78"/>
    <w:qFormat/>
    <w:uiPriority w:val="0"/>
    <w:pPr>
      <w:widowControl w:val="0"/>
      <w:tabs>
        <w:tab w:val="left" w:pos="420"/>
      </w:tabs>
      <w:spacing w:before="120" w:beforeLines="50" w:after="120" w:afterLines="50"/>
      <w:jc w:val="center"/>
    </w:pPr>
    <w:rPr>
      <w:rFonts w:ascii="黑体" w:hAnsi="Times New Roman" w:eastAsia="黑体" w:cs="Times New Roman"/>
      <w:b/>
      <w:bCs/>
      <w:kern w:val="2"/>
      <w:sz w:val="21"/>
      <w:szCs w:val="21"/>
      <w:lang w:val="en-US" w:eastAsia="zh-CN" w:bidi="ar-SA"/>
    </w:rPr>
  </w:style>
  <w:style w:type="paragraph" w:customStyle="1" w:styleId="118">
    <w:name w:val="封面一级标题文字"/>
    <w:basedOn w:val="51"/>
    <w:semiHidden/>
    <w:qFormat/>
    <w:uiPriority w:val="0"/>
    <w:pPr>
      <w:spacing w:line="640" w:lineRule="exact"/>
      <w:ind w:firstLine="0" w:firstLineChars="0"/>
      <w:jc w:val="center"/>
    </w:pPr>
    <w:rPr>
      <w:rFonts w:ascii="黑体" w:hAnsi="黑体" w:eastAsia="黑体"/>
      <w:b/>
      <w:bCs/>
      <w:sz w:val="52"/>
    </w:rPr>
  </w:style>
  <w:style w:type="paragraph" w:customStyle="1" w:styleId="119">
    <w:name w:val="目录 71"/>
    <w:basedOn w:val="1"/>
    <w:next w:val="1"/>
    <w:semiHidden/>
    <w:qFormat/>
    <w:uiPriority w:val="0"/>
    <w:pPr>
      <w:ind w:left="1260"/>
      <w:jc w:val="left"/>
    </w:pPr>
    <w:rPr>
      <w:sz w:val="18"/>
      <w:szCs w:val="18"/>
    </w:rPr>
  </w:style>
  <w:style w:type="paragraph" w:customStyle="1" w:styleId="120">
    <w:name w:val="签名页文字"/>
    <w:basedOn w:val="51"/>
    <w:semiHidden/>
    <w:qFormat/>
    <w:uiPriority w:val="0"/>
    <w:pPr>
      <w:spacing w:line="600" w:lineRule="exact"/>
      <w:ind w:left="1100" w:leftChars="1100" w:firstLine="0" w:firstLineChars="0"/>
    </w:pPr>
    <w:rPr>
      <w:sz w:val="32"/>
      <w:szCs w:val="32"/>
    </w:rPr>
  </w:style>
  <w:style w:type="paragraph" w:customStyle="1" w:styleId="121">
    <w:name w:val="Char1"/>
    <w:basedOn w:val="1"/>
    <w:semiHidden/>
    <w:qFormat/>
    <w:uiPriority w:val="0"/>
  </w:style>
  <w:style w:type="paragraph" w:customStyle="1" w:styleId="122">
    <w:name w:val="！正文"/>
    <w:basedOn w:val="1"/>
    <w:qFormat/>
    <w:uiPriority w:val="0"/>
    <w:pPr>
      <w:spacing w:before="120" w:line="360" w:lineRule="auto"/>
      <w:ind w:firstLine="200" w:firstLineChars="200"/>
    </w:pPr>
    <w:rPr>
      <w:rFonts w:ascii="Calibri" w:hAnsi="Calibri" w:cs="Times New Roman"/>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gedi</Company>
  <Pages>10</Pages>
  <Words>3320</Words>
  <Characters>3550</Characters>
  <Lines>48</Lines>
  <Paragraphs>13</Paragraphs>
  <TotalTime>2</TotalTime>
  <ScaleCrop>false</ScaleCrop>
  <LinksUpToDate>false</LinksUpToDate>
  <CharactersWithSpaces>3623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2022-07-28T03:09:00Z</dcterms:created>
  <dc:creator>刘通</dc:creator>
  <cp:lastModifiedBy>何恒靖</cp:lastModifiedBy>
  <cp:lastPrinted>2026-04-13T08:44:00Z</cp:lastPrinted>
  <dcterms:modified xsi:type="dcterms:W3CDTF">2026-05-11T06:34:16Z</dcterms:modified>
  <dc:title>海底电缆在线监测</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93F7D0BFDCEE4553A143D6FD120C5F42</vt:lpwstr>
  </property>
  <property fmtid="{D5CDD505-2E9C-101B-9397-08002B2CF9AE}" pid="5" name="KSOTemplateDocerSaveRecord">
    <vt:lpwstr>eyJoZGlkIjoiMjgwMTI0Y2Q2M2Y2OWJkNDNmNDhiZTY2YTA5MDExYjYiLCJ1c2VySWQiOiI0MzY4ODM5NjYifQ==</vt:lpwstr>
  </property>
</Properties>
</file>