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E1C1A">
      <w:pPr>
        <w:jc w:val="center"/>
        <w:rPr>
          <w:b/>
          <w:sz w:val="32"/>
          <w:szCs w:val="32"/>
        </w:rPr>
      </w:pPr>
      <w:r>
        <w:rPr>
          <w:rFonts w:hint="eastAsia"/>
          <w:b/>
          <w:sz w:val="32"/>
          <w:szCs w:val="32"/>
        </w:rPr>
        <w:t>南方电网</w:t>
      </w:r>
      <w:bookmarkStart w:id="3" w:name="_GoBack"/>
      <w:bookmarkEnd w:id="3"/>
      <w:r>
        <w:rPr>
          <w:rFonts w:hint="eastAsia"/>
          <w:b/>
          <w:sz w:val="32"/>
          <w:szCs w:val="32"/>
        </w:rPr>
        <w:t>科学研究院有限责任公司</w:t>
      </w:r>
    </w:p>
    <w:p w14:paraId="6619C232">
      <w:pPr>
        <w:jc w:val="center"/>
        <w:rPr>
          <w:b/>
          <w:sz w:val="32"/>
          <w:szCs w:val="32"/>
        </w:rPr>
      </w:pPr>
      <w:bookmarkStart w:id="0" w:name="_Hlk229659018"/>
      <w:r>
        <w:rPr>
          <w:rFonts w:hint="eastAsia"/>
          <w:b/>
          <w:sz w:val="32"/>
          <w:szCs w:val="32"/>
        </w:rPr>
        <w:t>2026金砖国家新工业革命展览会布展服务</w:t>
      </w:r>
    </w:p>
    <w:bookmarkEnd w:id="0"/>
    <w:p w14:paraId="41FB26BB">
      <w:pPr>
        <w:jc w:val="center"/>
        <w:rPr>
          <w:b/>
          <w:sz w:val="32"/>
          <w:szCs w:val="32"/>
        </w:rPr>
      </w:pPr>
      <w:r>
        <w:rPr>
          <w:rFonts w:hint="eastAsia"/>
          <w:b/>
          <w:sz w:val="32"/>
          <w:szCs w:val="32"/>
        </w:rPr>
        <w:t>零星采购技术附件</w:t>
      </w:r>
    </w:p>
    <w:p w14:paraId="6F408B7F">
      <w:pPr>
        <w:pStyle w:val="12"/>
        <w:numPr>
          <w:ilvl w:val="0"/>
          <w:numId w:val="1"/>
        </w:numPr>
        <w:ind w:firstLineChars="0"/>
        <w:outlineLvl w:val="0"/>
        <w:rPr>
          <w:rFonts w:ascii="仿宋_GB2312" w:hAnsi="宋体" w:eastAsia="仿宋_GB2312"/>
          <w:b/>
          <w:sz w:val="28"/>
          <w:szCs w:val="28"/>
        </w:rPr>
      </w:pPr>
      <w:r>
        <w:rPr>
          <w:rFonts w:hint="eastAsia" w:ascii="仿宋_GB2312" w:hAnsi="宋体" w:eastAsia="仿宋_GB2312"/>
          <w:b/>
          <w:sz w:val="28"/>
          <w:szCs w:val="28"/>
        </w:rPr>
        <w:t>采购范围及要求</w:t>
      </w:r>
    </w:p>
    <w:p w14:paraId="6461009E">
      <w:pPr>
        <w:adjustRightInd w:val="0"/>
        <w:snapToGrid w:val="0"/>
        <w:spacing w:line="560" w:lineRule="atLeast"/>
        <w:ind w:firstLine="720" w:firstLineChars="3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南方电网科学研究院有限责任公司拟参加5月2</w:t>
      </w:r>
      <w:r>
        <w:rPr>
          <w:rFonts w:asciiTheme="minorEastAsia" w:hAnsiTheme="minorEastAsia" w:eastAsiaTheme="minorEastAsia" w:cstheme="minorEastAsia"/>
          <w:snapToGrid w:val="0"/>
          <w:kern w:val="0"/>
          <w:sz w:val="24"/>
        </w:rPr>
        <w:t>7</w:t>
      </w:r>
      <w:r>
        <w:rPr>
          <w:rFonts w:hint="eastAsia" w:asciiTheme="minorEastAsia" w:hAnsiTheme="minorEastAsia" w:eastAsiaTheme="minorEastAsia" w:cstheme="minorEastAsia"/>
          <w:snapToGrid w:val="0"/>
          <w:kern w:val="0"/>
          <w:sz w:val="24"/>
        </w:rPr>
        <w:t>日-</w:t>
      </w:r>
      <w:r>
        <w:rPr>
          <w:rFonts w:asciiTheme="minorEastAsia" w:hAnsiTheme="minorEastAsia" w:eastAsiaTheme="minorEastAsia" w:cstheme="minorEastAsia"/>
          <w:snapToGrid w:val="0"/>
          <w:kern w:val="0"/>
          <w:sz w:val="24"/>
        </w:rPr>
        <w:t>29</w:t>
      </w:r>
      <w:r>
        <w:rPr>
          <w:rFonts w:hint="eastAsia" w:asciiTheme="minorEastAsia" w:hAnsiTheme="minorEastAsia" w:eastAsiaTheme="minorEastAsia" w:cstheme="minorEastAsia"/>
          <w:snapToGrid w:val="0"/>
          <w:kern w:val="0"/>
          <w:sz w:val="24"/>
        </w:rPr>
        <w:t>日由工业和信息化部主办的2026金砖国家新工业革命展览会，展示主题为南网科研院工业软件代表性成果集中展示，包括驭电、RES、DSP、TRSim等，展位总面积约45平米。为保证展览会我方展示区呈现效果，现通过零星采购方式采购2026金砖国家新工业革命展览会布展服务，包括展会相关的视觉创意设计、展台主体制作（接待台、异形结构造型、地面结构、背墙造型、门头造型等）、照明电器（灯具、电料等）、互联网、电视、音响、美工装饰（发光字、美工字等）、宣传册</w:t>
      </w:r>
      <w:r>
        <w:rPr>
          <w:rFonts w:hint="eastAsia" w:asciiTheme="minorEastAsia" w:hAnsiTheme="minorEastAsia" w:eastAsiaTheme="minorEastAsia" w:cstheme="minorEastAsia"/>
          <w:snapToGrid w:val="0"/>
          <w:kern w:val="0"/>
          <w:sz w:val="24"/>
          <w:lang w:eastAsia="zh-CN"/>
        </w:rPr>
        <w:t>、</w:t>
      </w:r>
      <w:r>
        <w:rPr>
          <w:rFonts w:hint="eastAsia" w:asciiTheme="minorEastAsia" w:hAnsiTheme="minorEastAsia" w:eastAsiaTheme="minorEastAsia" w:cstheme="minorEastAsia"/>
          <w:snapToGrid w:val="0"/>
          <w:kern w:val="0"/>
          <w:sz w:val="24"/>
        </w:rPr>
        <w:t>易拉宝、LED电子屏、成品租赁（洽谈桌椅、吧椅、饮水机、饮用水、绿色植物、台面鲜花等）、布撤展及运输（运输费用、安装、维护、撤展）、必要的展馆费用（管理费、展期用费、临时用电、证件、保险等）。详细要求如下：</w:t>
      </w:r>
    </w:p>
    <w:p w14:paraId="2ECBA533">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（一）音响系统服务</w:t>
      </w:r>
    </w:p>
    <w:p w14:paraId="0A5D4E35">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1.音响系统服务包括超低音箱、全频音箱、功放及线材、单15寸音箱、单12寸返听音箱、数字调音台、无线话筒服务、头戴话筒服务共8项服务。</w:t>
      </w:r>
    </w:p>
    <w:p w14:paraId="020A2C63">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2.供应商在活动前</w:t>
      </w:r>
      <w:r>
        <w:rPr>
          <w:rFonts w:asciiTheme="minorEastAsia" w:hAnsiTheme="minorEastAsia" w:eastAsiaTheme="minorEastAsia" w:cstheme="minorEastAsia"/>
          <w:snapToGrid w:val="0"/>
          <w:kern w:val="0"/>
          <w:sz w:val="24"/>
        </w:rPr>
        <w:t>2</w:t>
      </w:r>
      <w:r>
        <w:rPr>
          <w:rFonts w:hint="eastAsia" w:asciiTheme="minorEastAsia" w:hAnsiTheme="minorEastAsia" w:eastAsiaTheme="minorEastAsia" w:cstheme="minorEastAsia"/>
          <w:snapToGrid w:val="0"/>
          <w:kern w:val="0"/>
          <w:sz w:val="24"/>
        </w:rPr>
        <w:t>天必须完成设备进场及隐藏布线，提供全天候技术驻场支持（含彩排及正式活动）。</w:t>
      </w:r>
    </w:p>
    <w:p w14:paraId="4D8E9AF6">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3.供应商按采购方要求提供专业的设备和一站式服务，备机冗余率≧20%，设备故障响应时间≦30分钟，以确保活动顺利进行。</w:t>
      </w:r>
    </w:p>
    <w:p w14:paraId="785D958D">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（二）灯光系统服务</w:t>
      </w:r>
    </w:p>
    <w:p w14:paraId="7EE9467B">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1.灯光系统服务包括LED PAR灯、灯光控制台、灯光太空架共3项服务。</w:t>
      </w:r>
    </w:p>
    <w:p w14:paraId="045528D3">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2.供应商按采购方要求提供原装正品设备，根据场地布置、提供安装调试服务（含布线规划、控制系统集成），并进行24小时满载压力测试无故障。</w:t>
      </w:r>
    </w:p>
    <w:p w14:paraId="01C27BB4">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（三）LED显示系统服务</w:t>
      </w:r>
    </w:p>
    <w:p w14:paraId="63D9E8DF">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1.LED显示系统服务主要包括2项：LED显示屏P3和可开合的LED显示屏P3服务。</w:t>
      </w:r>
    </w:p>
    <w:p w14:paraId="78711B5D">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2.供应商在活动前</w:t>
      </w:r>
      <w:r>
        <w:rPr>
          <w:rFonts w:asciiTheme="minorEastAsia" w:hAnsiTheme="minorEastAsia" w:eastAsiaTheme="minorEastAsia" w:cstheme="minorEastAsia"/>
          <w:snapToGrid w:val="0"/>
          <w:kern w:val="0"/>
          <w:sz w:val="24"/>
        </w:rPr>
        <w:t>2</w:t>
      </w:r>
      <w:r>
        <w:rPr>
          <w:rFonts w:hint="eastAsia" w:asciiTheme="minorEastAsia" w:hAnsiTheme="minorEastAsia" w:eastAsiaTheme="minorEastAsia" w:cstheme="minorEastAsia"/>
          <w:snapToGrid w:val="0"/>
          <w:kern w:val="0"/>
          <w:sz w:val="24"/>
        </w:rPr>
        <w:t>天完成设备搭建，全屏点亮无死灯、色差（坏点率≦0.0001%）。</w:t>
      </w:r>
    </w:p>
    <w:p w14:paraId="2BFD90F6">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3.可开合显示屏重复定位精度≦1mm，运行轨迹无卡顿。</w:t>
      </w:r>
    </w:p>
    <w:p w14:paraId="74110908">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4.每场活动期间，供应商安排专人巡检，确保设备持续稳定运行。</w:t>
      </w:r>
    </w:p>
    <w:p w14:paraId="2F99425B">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（四）物料服务</w:t>
      </w:r>
    </w:p>
    <w:p w14:paraId="4A096A32">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1.物料服务包括宣传册、铝合金舞台、地毯、桁架+黑底灯布、桁架+KT板、星星幕布、IBM签到桌子、椅子、彩旗、讲台服务。</w:t>
      </w:r>
    </w:p>
    <w:p w14:paraId="1E1E9B1E">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2.铝合金舞台必须是高强度的铝合金，表面阳极氧化处理，边缘带防滑条及警示标识，配备防倾倒锁扣。</w:t>
      </w:r>
    </w:p>
    <w:p w14:paraId="53E765A9">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3.地毯边缘包边处理，平整无褶皱，接缝处用专业胶带固定。</w:t>
      </w:r>
    </w:p>
    <w:p w14:paraId="1DC38A7C">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4.桁架+黑底灯布中黑底灯布要求拼接无缝隙、桁架+KT板安装隐形卡扣安装，边缘无毛刺。</w:t>
      </w:r>
    </w:p>
    <w:p w14:paraId="4912E696">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5.星星幕布带LED灯串，通电后呈现均匀星点效果，支持亮度调节。</w:t>
      </w:r>
    </w:p>
    <w:p w14:paraId="42BF3DEC">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6.IBM签到桌子可提供各种颜色桌布，桌面印采购方Logo，并按要求摆放签到设备。</w:t>
      </w:r>
    </w:p>
    <w:p w14:paraId="54215C99">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（五）时间要求</w:t>
      </w:r>
    </w:p>
    <w:p w14:paraId="1EEA4615">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供应商应在2</w:t>
      </w:r>
      <w:r>
        <w:rPr>
          <w:rFonts w:asciiTheme="minorEastAsia" w:hAnsiTheme="minorEastAsia" w:eastAsiaTheme="minorEastAsia" w:cstheme="minorEastAsia"/>
          <w:snapToGrid w:val="0"/>
          <w:kern w:val="0"/>
          <w:sz w:val="24"/>
        </w:rPr>
        <w:t>026</w:t>
      </w:r>
      <w:r>
        <w:rPr>
          <w:rFonts w:hint="eastAsia" w:asciiTheme="minorEastAsia" w:hAnsiTheme="minorEastAsia" w:eastAsiaTheme="minorEastAsia" w:cstheme="minorEastAsia"/>
          <w:snapToGrid w:val="0"/>
          <w:kern w:val="0"/>
          <w:sz w:val="24"/>
        </w:rPr>
        <w:t>年5月2</w:t>
      </w:r>
      <w:r>
        <w:rPr>
          <w:rFonts w:asciiTheme="minorEastAsia" w:hAnsiTheme="minorEastAsia" w:eastAsiaTheme="minorEastAsia" w:cstheme="minorEastAsia"/>
          <w:snapToGrid w:val="0"/>
          <w:kern w:val="0"/>
          <w:sz w:val="24"/>
        </w:rPr>
        <w:t>6</w:t>
      </w:r>
      <w:r>
        <w:rPr>
          <w:rFonts w:hint="eastAsia" w:asciiTheme="minorEastAsia" w:hAnsiTheme="minorEastAsia" w:eastAsiaTheme="minorEastAsia" w:cstheme="minorEastAsia"/>
          <w:snapToGrid w:val="0"/>
          <w:kern w:val="0"/>
          <w:sz w:val="24"/>
        </w:rPr>
        <w:t>日前完成展位的现场布置以及各种资源的调试。以发出成交通知书当天为T</w:t>
      </w:r>
      <w:r>
        <w:rPr>
          <w:rFonts w:asciiTheme="minorEastAsia" w:hAnsiTheme="minorEastAsia" w:eastAsiaTheme="minorEastAsia" w:cstheme="minorEastAsia"/>
          <w:snapToGrid w:val="0"/>
          <w:kern w:val="0"/>
          <w:sz w:val="24"/>
        </w:rPr>
        <w:t>0</w:t>
      </w:r>
      <w:r>
        <w:rPr>
          <w:rFonts w:hint="eastAsia" w:asciiTheme="minorEastAsia" w:hAnsiTheme="minorEastAsia" w:eastAsiaTheme="minorEastAsia" w:cstheme="minorEastAsia"/>
          <w:snapToGrid w:val="0"/>
          <w:kern w:val="0"/>
          <w:sz w:val="24"/>
        </w:rPr>
        <w:t>，过程中的时间要求如下：</w:t>
      </w:r>
    </w:p>
    <w:p w14:paraId="1C8F47B5">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1</w:t>
      </w:r>
      <w:r>
        <w:rPr>
          <w:rFonts w:asciiTheme="minorEastAsia" w:hAnsiTheme="minorEastAsia" w:eastAsiaTheme="minorEastAsia" w:cstheme="minorEastAsia"/>
          <w:snapToGrid w:val="0"/>
          <w:kern w:val="0"/>
          <w:sz w:val="24"/>
        </w:rPr>
        <w:t>.T0+1</w:t>
      </w:r>
      <w:r>
        <w:rPr>
          <w:rFonts w:hint="eastAsia" w:asciiTheme="minorEastAsia" w:hAnsiTheme="minorEastAsia" w:eastAsiaTheme="minorEastAsia" w:cstheme="minorEastAsia"/>
          <w:snapToGrid w:val="0"/>
          <w:kern w:val="0"/>
          <w:sz w:val="24"/>
        </w:rPr>
        <w:t>，供应商向采购方发出提资要求；</w:t>
      </w:r>
    </w:p>
    <w:p w14:paraId="3FBEA772">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t>2.T0+2,</w:t>
      </w:r>
      <w:r>
        <w:rPr>
          <w:rFonts w:hint="eastAsia" w:asciiTheme="minorEastAsia" w:hAnsiTheme="minorEastAsia" w:eastAsiaTheme="minorEastAsia" w:cstheme="minorEastAsia"/>
          <w:snapToGrid w:val="0"/>
          <w:kern w:val="0"/>
          <w:sz w:val="24"/>
        </w:rPr>
        <w:t>供应商提交初步设计方案和初步效果图；</w:t>
      </w:r>
    </w:p>
    <w:p w14:paraId="102A9F34">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3</w:t>
      </w:r>
      <w:r>
        <w:rPr>
          <w:rFonts w:asciiTheme="minorEastAsia" w:hAnsiTheme="minorEastAsia" w:eastAsiaTheme="minorEastAsia" w:cstheme="minorEastAsia"/>
          <w:snapToGrid w:val="0"/>
          <w:kern w:val="0"/>
          <w:sz w:val="24"/>
        </w:rPr>
        <w:t>.T0+3</w:t>
      </w:r>
      <w:r>
        <w:rPr>
          <w:rFonts w:hint="eastAsia" w:asciiTheme="minorEastAsia" w:hAnsiTheme="minorEastAsia" w:eastAsiaTheme="minorEastAsia" w:cstheme="minorEastAsia"/>
          <w:snapToGrid w:val="0"/>
          <w:kern w:val="0"/>
          <w:sz w:val="24"/>
        </w:rPr>
        <w:t>，完成设计方案和效果图定稿；</w:t>
      </w:r>
    </w:p>
    <w:p w14:paraId="4E2A38C0">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4</w:t>
      </w:r>
      <w:r>
        <w:rPr>
          <w:rFonts w:asciiTheme="minorEastAsia" w:hAnsiTheme="minorEastAsia" w:eastAsiaTheme="minorEastAsia" w:cstheme="minorEastAsia"/>
          <w:snapToGrid w:val="0"/>
          <w:kern w:val="0"/>
          <w:sz w:val="24"/>
        </w:rPr>
        <w:t>.T0+5</w:t>
      </w:r>
      <w:r>
        <w:rPr>
          <w:rFonts w:hint="eastAsia" w:asciiTheme="minorEastAsia" w:hAnsiTheme="minorEastAsia" w:eastAsiaTheme="minorEastAsia" w:cstheme="minorEastAsia"/>
          <w:snapToGrid w:val="0"/>
          <w:kern w:val="0"/>
          <w:sz w:val="24"/>
        </w:rPr>
        <w:t>，完成制作物料准备。</w:t>
      </w:r>
    </w:p>
    <w:p w14:paraId="44CFF3B1">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（六）采购方配合事项</w:t>
      </w:r>
    </w:p>
    <w:p w14:paraId="78C4B440">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t>1.</w:t>
      </w:r>
      <w:r>
        <w:rPr>
          <w:rFonts w:hint="eastAsia" w:asciiTheme="minorEastAsia" w:hAnsiTheme="minorEastAsia" w:eastAsiaTheme="minorEastAsia" w:cstheme="minorEastAsia"/>
          <w:snapToGrid w:val="0"/>
          <w:kern w:val="0"/>
          <w:sz w:val="24"/>
        </w:rPr>
        <w:t>采购方配合提供参展产品相关的技术资料，包括文字、视频、图片等。</w:t>
      </w:r>
    </w:p>
    <w:p w14:paraId="141759C9">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（七）展示区信息</w:t>
      </w:r>
    </w:p>
    <w:p w14:paraId="2AAC31B8">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t>1.</w:t>
      </w:r>
      <w:r>
        <w:rPr>
          <w:rFonts w:hint="eastAsia" w:asciiTheme="minorEastAsia" w:hAnsiTheme="minorEastAsia" w:eastAsiaTheme="minorEastAsia" w:cstheme="minorEastAsia"/>
          <w:snapToGrid w:val="0"/>
          <w:kern w:val="0"/>
          <w:sz w:val="24"/>
        </w:rPr>
        <w:t>展会名称：2026 金砖国家新工业革命展览会；</w:t>
      </w:r>
    </w:p>
    <w:p w14:paraId="2649C243">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2</w:t>
      </w:r>
      <w:r>
        <w:rPr>
          <w:rFonts w:asciiTheme="minorEastAsia" w:hAnsiTheme="minorEastAsia" w:eastAsiaTheme="minorEastAsia" w:cstheme="minorEastAsia"/>
          <w:snapToGrid w:val="0"/>
          <w:kern w:val="0"/>
          <w:sz w:val="24"/>
        </w:rPr>
        <w:t>.</w:t>
      </w:r>
      <w:r>
        <w:rPr>
          <w:rFonts w:hint="eastAsia" w:asciiTheme="minorEastAsia" w:hAnsiTheme="minorEastAsia" w:eastAsiaTheme="minorEastAsia" w:cstheme="minorEastAsia"/>
          <w:snapToGrid w:val="0"/>
          <w:kern w:val="0"/>
          <w:sz w:val="24"/>
        </w:rPr>
        <w:t>展会时间：2026年5月27—29日；</w:t>
      </w:r>
    </w:p>
    <w:p w14:paraId="063E892D">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3</w:t>
      </w:r>
      <w:r>
        <w:rPr>
          <w:rFonts w:asciiTheme="minorEastAsia" w:hAnsiTheme="minorEastAsia" w:eastAsiaTheme="minorEastAsia" w:cstheme="minorEastAsia"/>
          <w:snapToGrid w:val="0"/>
          <w:kern w:val="0"/>
          <w:sz w:val="24"/>
        </w:rPr>
        <w:t>.</w:t>
      </w:r>
      <w:r>
        <w:rPr>
          <w:rFonts w:hint="eastAsia" w:asciiTheme="minorEastAsia" w:hAnsiTheme="minorEastAsia" w:eastAsiaTheme="minorEastAsia" w:cstheme="minorEastAsia"/>
          <w:snapToGrid w:val="0"/>
          <w:kern w:val="0"/>
          <w:sz w:val="24"/>
        </w:rPr>
        <w:t>举办地点：厦门国际会展中心A3馆；</w:t>
      </w:r>
    </w:p>
    <w:p w14:paraId="641B29E4">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4</w:t>
      </w:r>
      <w:r>
        <w:rPr>
          <w:rFonts w:asciiTheme="minorEastAsia" w:hAnsiTheme="minorEastAsia" w:eastAsiaTheme="minorEastAsia" w:cstheme="minorEastAsia"/>
          <w:snapToGrid w:val="0"/>
          <w:kern w:val="0"/>
          <w:sz w:val="24"/>
        </w:rPr>
        <w:t>.</w:t>
      </w:r>
      <w:r>
        <w:rPr>
          <w:rFonts w:hint="eastAsia" w:asciiTheme="minorEastAsia" w:hAnsiTheme="minorEastAsia" w:eastAsiaTheme="minorEastAsia" w:cstheme="minorEastAsia"/>
          <w:snapToGrid w:val="0"/>
          <w:kern w:val="0"/>
          <w:sz w:val="24"/>
        </w:rPr>
        <w:t>展览时间：2</w:t>
      </w:r>
      <w:r>
        <w:rPr>
          <w:rFonts w:asciiTheme="minorEastAsia" w:hAnsiTheme="minorEastAsia" w:eastAsiaTheme="minorEastAsia" w:cstheme="minorEastAsia"/>
          <w:snapToGrid w:val="0"/>
          <w:kern w:val="0"/>
          <w:sz w:val="24"/>
        </w:rPr>
        <w:t>026</w:t>
      </w:r>
      <w:r>
        <w:rPr>
          <w:rFonts w:hint="eastAsia" w:asciiTheme="minorEastAsia" w:hAnsiTheme="minorEastAsia" w:eastAsiaTheme="minorEastAsia" w:cstheme="minorEastAsia"/>
          <w:snapToGrid w:val="0"/>
          <w:kern w:val="0"/>
          <w:sz w:val="24"/>
        </w:rPr>
        <w:t>年5</w:t>
      </w:r>
      <w:r>
        <w:rPr>
          <w:rFonts w:asciiTheme="minorEastAsia" w:hAnsiTheme="minorEastAsia" w:eastAsiaTheme="minorEastAsia" w:cstheme="minorEastAsia"/>
          <w:snapToGrid w:val="0"/>
          <w:kern w:val="0"/>
          <w:sz w:val="24"/>
        </w:rPr>
        <w:t>.27-5.29</w:t>
      </w:r>
      <w:r>
        <w:rPr>
          <w:rFonts w:hint="eastAsia" w:asciiTheme="minorEastAsia" w:hAnsiTheme="minorEastAsia" w:eastAsiaTheme="minorEastAsia" w:cstheme="minorEastAsia"/>
          <w:snapToGrid w:val="0"/>
          <w:kern w:val="0"/>
          <w:sz w:val="24"/>
        </w:rPr>
        <w:t>日；</w:t>
      </w:r>
    </w:p>
    <w:p w14:paraId="5248E5B3">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5</w:t>
      </w:r>
      <w:r>
        <w:rPr>
          <w:rFonts w:asciiTheme="minorEastAsia" w:hAnsiTheme="minorEastAsia" w:eastAsiaTheme="minorEastAsia" w:cstheme="minorEastAsia"/>
          <w:snapToGrid w:val="0"/>
          <w:kern w:val="0"/>
          <w:sz w:val="24"/>
        </w:rPr>
        <w:t>.</w:t>
      </w:r>
      <w:r>
        <w:rPr>
          <w:rFonts w:hint="eastAsia" w:asciiTheme="minorEastAsia" w:hAnsiTheme="minorEastAsia" w:eastAsiaTheme="minorEastAsia" w:cstheme="minorEastAsia"/>
          <w:snapToGrid w:val="0"/>
          <w:kern w:val="0"/>
          <w:sz w:val="24"/>
        </w:rPr>
        <w:t>展览面积：4</w:t>
      </w:r>
      <w:r>
        <w:rPr>
          <w:rFonts w:asciiTheme="minorEastAsia" w:hAnsiTheme="minorEastAsia" w:eastAsiaTheme="minorEastAsia" w:cstheme="minorEastAsia"/>
          <w:snapToGrid w:val="0"/>
          <w:kern w:val="0"/>
          <w:sz w:val="24"/>
        </w:rPr>
        <w:t>5</w:t>
      </w:r>
      <w:r>
        <w:rPr>
          <w:rFonts w:hint="eastAsia" w:asciiTheme="minorEastAsia" w:hAnsiTheme="minorEastAsia" w:eastAsiaTheme="minorEastAsia" w:cstheme="minorEastAsia"/>
          <w:snapToGrid w:val="0"/>
          <w:kern w:val="0"/>
          <w:sz w:val="24"/>
        </w:rPr>
        <w:t>平方米，9m</w:t>
      </w:r>
      <w:r>
        <w:rPr>
          <w:rFonts w:asciiTheme="minorEastAsia" w:hAnsiTheme="minorEastAsia" w:eastAsiaTheme="minorEastAsia" w:cstheme="minorEastAsia"/>
          <w:snapToGrid w:val="0"/>
          <w:kern w:val="0"/>
          <w:sz w:val="24"/>
        </w:rPr>
        <w:t>*5</w:t>
      </w:r>
      <w:r>
        <w:rPr>
          <w:rFonts w:hint="eastAsia" w:asciiTheme="minorEastAsia" w:hAnsiTheme="minorEastAsia" w:eastAsiaTheme="minorEastAsia" w:cstheme="minorEastAsia"/>
          <w:snapToGrid w:val="0"/>
          <w:kern w:val="0"/>
          <w:sz w:val="24"/>
        </w:rPr>
        <w:t>m；</w:t>
      </w:r>
    </w:p>
    <w:p w14:paraId="4395D007">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t>6.</w:t>
      </w:r>
      <w:r>
        <w:rPr>
          <w:rFonts w:hint="eastAsia" w:asciiTheme="minorEastAsia" w:hAnsiTheme="minorEastAsia" w:eastAsiaTheme="minorEastAsia" w:cstheme="minorEastAsia"/>
          <w:snapToGrid w:val="0"/>
          <w:kern w:val="0"/>
          <w:sz w:val="24"/>
        </w:rPr>
        <w:t>预期效果图参考如下。</w:t>
      </w:r>
    </w:p>
    <w:p w14:paraId="78E89A7E">
      <w:pPr>
        <w:adjustRightInd w:val="0"/>
        <w:snapToGrid w:val="0"/>
        <w:spacing w:line="560" w:lineRule="atLeast"/>
        <w:jc w:val="center"/>
        <w:rPr>
          <w:rFonts w:hint="eastAsia"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drawing>
          <wp:inline distT="0" distB="0" distL="0" distR="0">
            <wp:extent cx="3339465" cy="2908935"/>
            <wp:effectExtent l="0" t="0" r="0" b="5715"/>
            <wp:docPr id="1" name="图片 1" descr="C:\Users\chengjw\xwechat_files\wxid_bb0ipqrtqbee22_4364\temp\RWTemp\2026-05\f6799116717d619c87e8419c74f29d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chengjw\xwechat_files\wxid_bb0ipqrtqbee22_4364\temp\RWTemp\2026-05\f6799116717d619c87e8419c74f29dae.jpg"/>
                    <pic:cNvPicPr>
                      <a:picLocks noChangeAspect="1" noChangeArrowheads="1"/>
                    </pic:cNvPicPr>
                  </pic:nvPicPr>
                  <pic:blipFill>
                    <a:blip r:embed="rId4" cstate="print">
                      <a:extLst>
                        <a:ext uri="{28A0092B-C50C-407E-A947-70E740481C1C}">
                          <a14:useLocalDpi xmlns:a14="http://schemas.microsoft.com/office/drawing/2010/main" val="0"/>
                        </a:ext>
                      </a:extLst>
                    </a:blip>
                    <a:srcRect l="23385" t="5431" r="18600" b="4725"/>
                    <a:stretch>
                      <a:fillRect/>
                    </a:stretch>
                  </pic:blipFill>
                  <pic:spPr>
                    <a:xfrm>
                      <a:off x="0" y="0"/>
                      <a:ext cx="3341336" cy="2910591"/>
                    </a:xfrm>
                    <a:prstGeom prst="rect">
                      <a:avLst/>
                    </a:prstGeom>
                    <a:noFill/>
                    <a:ln>
                      <a:noFill/>
                    </a:ln>
                  </pic:spPr>
                </pic:pic>
              </a:graphicData>
            </a:graphic>
          </wp:inline>
        </w:drawing>
      </w:r>
    </w:p>
    <w:p w14:paraId="700989EF">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napToGrid w:val="0"/>
          <w:kern w:val="0"/>
          <w:sz w:val="24"/>
        </w:rPr>
        <w:t>（八）付款条件</w:t>
      </w:r>
    </w:p>
    <w:p w14:paraId="1E884EA6">
      <w:pPr>
        <w:adjustRightInd w:val="0"/>
        <w:snapToGrid w:val="0"/>
        <w:spacing w:line="560" w:lineRule="atLeast"/>
        <w:ind w:firstLine="480" w:firstLineChars="200"/>
        <w:rPr>
          <w:rFonts w:asciiTheme="minorEastAsia" w:hAnsiTheme="minorEastAsia" w:eastAsiaTheme="minorEastAsia" w:cstheme="minorEastAsia"/>
          <w:snapToGrid w:val="0"/>
          <w:kern w:val="0"/>
          <w:sz w:val="24"/>
        </w:rPr>
      </w:pPr>
      <w:r>
        <w:rPr>
          <w:rFonts w:asciiTheme="minorEastAsia" w:hAnsiTheme="minorEastAsia" w:eastAsiaTheme="minorEastAsia" w:cstheme="minorEastAsia"/>
          <w:snapToGrid w:val="0"/>
          <w:kern w:val="0"/>
          <w:sz w:val="24"/>
        </w:rPr>
        <w:t>1.</w:t>
      </w:r>
      <w:r>
        <w:rPr>
          <w:rFonts w:hint="eastAsia" w:asciiTheme="minorEastAsia" w:hAnsiTheme="minorEastAsia" w:eastAsiaTheme="minorEastAsia" w:cstheme="minorEastAsia"/>
          <w:snapToGrid w:val="0"/>
          <w:kern w:val="0"/>
          <w:sz w:val="24"/>
        </w:rPr>
        <w:t>供应商配合完成布展及展会期间的技术支持，展会结束后1个月内，供应商提交布展总结报告和相应发票，南网科研院在收到发票后1个月内支付。</w:t>
      </w:r>
    </w:p>
    <w:p w14:paraId="17EFB700">
      <w:pPr>
        <w:pStyle w:val="12"/>
        <w:numPr>
          <w:ilvl w:val="0"/>
          <w:numId w:val="1"/>
        </w:numPr>
        <w:ind w:firstLineChars="0"/>
        <w:outlineLvl w:val="0"/>
        <w:rPr>
          <w:rFonts w:ascii="仿宋_GB2312" w:hAnsi="宋体" w:eastAsia="仿宋_GB2312"/>
          <w:b/>
          <w:sz w:val="28"/>
          <w:szCs w:val="28"/>
        </w:rPr>
      </w:pPr>
      <w:r>
        <w:rPr>
          <w:rFonts w:hint="eastAsia" w:ascii="仿宋_GB2312" w:hAnsi="宋体" w:eastAsia="仿宋_GB2312"/>
          <w:b/>
          <w:sz w:val="28"/>
          <w:szCs w:val="28"/>
        </w:rPr>
        <w:t>资格条件</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14:paraId="7BF5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shd w:val="clear" w:color="auto" w:fill="FFFFFF"/>
            <w:vAlign w:val="center"/>
          </w:tcPr>
          <w:p w14:paraId="6019F4D3">
            <w:pPr>
              <w:jc w:val="center"/>
              <w:rPr>
                <w:rFonts w:ascii="仿宋" w:hAnsi="仿宋" w:eastAsia="仿宋" w:cs="仿宋"/>
                <w:sz w:val="24"/>
              </w:rPr>
            </w:pPr>
            <w:r>
              <w:rPr>
                <w:rFonts w:hint="eastAsia" w:ascii="仿宋" w:hAnsi="仿宋" w:eastAsia="仿宋" w:cs="仿宋"/>
                <w:b/>
                <w:sz w:val="24"/>
              </w:rPr>
              <w:t>序号</w:t>
            </w:r>
          </w:p>
        </w:tc>
        <w:tc>
          <w:tcPr>
            <w:tcW w:w="7699" w:type="dxa"/>
            <w:shd w:val="clear" w:color="auto" w:fill="FFFFFF"/>
            <w:vAlign w:val="center"/>
          </w:tcPr>
          <w:p w14:paraId="10228700">
            <w:pPr>
              <w:jc w:val="center"/>
              <w:rPr>
                <w:rFonts w:ascii="仿宋" w:hAnsi="仿宋" w:eastAsia="仿宋" w:cs="仿宋"/>
                <w:sz w:val="24"/>
              </w:rPr>
            </w:pPr>
            <w:r>
              <w:rPr>
                <w:rFonts w:hint="eastAsia" w:ascii="仿宋" w:hAnsi="仿宋" w:eastAsia="仿宋" w:cs="仿宋"/>
                <w:b/>
                <w:sz w:val="24"/>
              </w:rPr>
              <w:t>内容</w:t>
            </w:r>
          </w:p>
        </w:tc>
      </w:tr>
      <w:tr w14:paraId="6780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14:paraId="1F51D62A">
            <w:pPr>
              <w:jc w:val="center"/>
              <w:rPr>
                <w:rFonts w:ascii="仿宋" w:hAnsi="仿宋" w:eastAsia="仿宋" w:cs="仿宋"/>
                <w:sz w:val="24"/>
              </w:rPr>
            </w:pPr>
            <w:r>
              <w:rPr>
                <w:rFonts w:hint="eastAsia" w:ascii="仿宋" w:hAnsi="仿宋" w:eastAsia="仿宋" w:cs="仿宋"/>
                <w:sz w:val="24"/>
              </w:rPr>
              <w:t>1</w:t>
            </w:r>
          </w:p>
        </w:tc>
        <w:tc>
          <w:tcPr>
            <w:tcW w:w="7699" w:type="dxa"/>
            <w:shd w:val="clear" w:color="auto" w:fill="FFFFFF"/>
            <w:vAlign w:val="center"/>
          </w:tcPr>
          <w:p w14:paraId="62E2C5EC">
            <w:pPr>
              <w:jc w:val="left"/>
              <w:rPr>
                <w:rFonts w:ascii="仿宋" w:hAnsi="仿宋" w:eastAsia="仿宋" w:cs="仿宋"/>
                <w:sz w:val="24"/>
              </w:rPr>
            </w:pPr>
            <w:r>
              <w:rPr>
                <w:rFonts w:hint="eastAsia" w:ascii="仿宋" w:hAnsi="仿宋" w:eastAsia="仿宋" w:cs="仿宋"/>
                <w:sz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5647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14:paraId="19198AEC">
            <w:pPr>
              <w:jc w:val="center"/>
              <w:rPr>
                <w:rFonts w:ascii="仿宋" w:hAnsi="仿宋" w:eastAsia="仿宋" w:cs="仿宋"/>
                <w:sz w:val="24"/>
              </w:rPr>
            </w:pPr>
            <w:r>
              <w:rPr>
                <w:rFonts w:hint="eastAsia" w:ascii="仿宋" w:hAnsi="仿宋" w:eastAsia="仿宋" w:cs="仿宋"/>
                <w:sz w:val="24"/>
              </w:rPr>
              <w:t>2</w:t>
            </w:r>
          </w:p>
        </w:tc>
        <w:tc>
          <w:tcPr>
            <w:tcW w:w="7699" w:type="dxa"/>
            <w:shd w:val="clear" w:color="auto" w:fill="FFFFFF"/>
            <w:vAlign w:val="center"/>
          </w:tcPr>
          <w:p w14:paraId="337294D7">
            <w:pPr>
              <w:jc w:val="left"/>
              <w:rPr>
                <w:rFonts w:ascii="仿宋" w:hAnsi="仿宋" w:eastAsia="仿宋" w:cs="仿宋"/>
                <w:sz w:val="24"/>
              </w:rPr>
            </w:pPr>
            <w:r>
              <w:rPr>
                <w:rFonts w:hint="eastAsia" w:ascii="仿宋" w:hAnsi="仿宋" w:eastAsia="仿宋" w:cs="仿宋"/>
                <w:sz w:val="24"/>
              </w:rPr>
              <w:t>单位负责人为同一人或者存在控股、管理关系的不同单位，不得同时参加报价；</w:t>
            </w:r>
          </w:p>
        </w:tc>
      </w:tr>
      <w:tr w14:paraId="5EFC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14:paraId="6D73EF88">
            <w:pPr>
              <w:jc w:val="center"/>
              <w:rPr>
                <w:rFonts w:ascii="仿宋" w:hAnsi="仿宋" w:eastAsia="仿宋" w:cs="仿宋"/>
                <w:sz w:val="24"/>
              </w:rPr>
            </w:pPr>
            <w:r>
              <w:rPr>
                <w:rFonts w:hint="eastAsia" w:ascii="仿宋" w:hAnsi="仿宋" w:eastAsia="仿宋" w:cs="仿宋"/>
                <w:sz w:val="24"/>
              </w:rPr>
              <w:t>3</w:t>
            </w:r>
          </w:p>
        </w:tc>
        <w:tc>
          <w:tcPr>
            <w:tcW w:w="7699" w:type="dxa"/>
            <w:shd w:val="clear" w:color="auto" w:fill="FFFFFF"/>
            <w:vAlign w:val="center"/>
          </w:tcPr>
          <w:p w14:paraId="09ECB8A9">
            <w:pPr>
              <w:jc w:val="left"/>
              <w:rPr>
                <w:rFonts w:ascii="仿宋" w:hAnsi="仿宋" w:eastAsia="仿宋" w:cs="仿宋"/>
                <w:sz w:val="24"/>
              </w:rPr>
            </w:pPr>
            <w:r>
              <w:rPr>
                <w:rFonts w:hint="eastAsia" w:ascii="仿宋" w:hAnsi="仿宋" w:eastAsia="仿宋" w:cs="仿宋"/>
                <w:sz w:val="24"/>
              </w:rPr>
              <w:t>报价单位没有被中国南方电网有限责任公司暂停或取消其投标资格的。</w:t>
            </w:r>
          </w:p>
        </w:tc>
      </w:tr>
    </w:tbl>
    <w:p w14:paraId="408A1B73">
      <w:pPr>
        <w:rPr>
          <w:rFonts w:ascii="仿宋_GB2312" w:hAnsi="宋体" w:eastAsia="仿宋_GB2312"/>
          <w:b/>
          <w:sz w:val="28"/>
          <w:szCs w:val="28"/>
        </w:rPr>
      </w:pPr>
      <w:r>
        <w:rPr>
          <w:rFonts w:hint="eastAsia" w:ascii="仿宋_GB2312" w:hAnsi="宋体" w:eastAsia="仿宋_GB2312"/>
          <w:b/>
          <w:sz w:val="28"/>
          <w:szCs w:val="28"/>
        </w:rPr>
        <w:br w:type="page"/>
      </w:r>
    </w:p>
    <w:p w14:paraId="1ECA862F">
      <w:pPr>
        <w:pStyle w:val="12"/>
        <w:numPr>
          <w:ilvl w:val="0"/>
          <w:numId w:val="1"/>
        </w:numPr>
        <w:ind w:left="1288" w:firstLineChars="0"/>
        <w:outlineLvl w:val="0"/>
        <w:rPr>
          <w:rFonts w:ascii="仿宋_GB2312" w:hAnsi="宋体" w:eastAsia="仿宋_GB2312"/>
          <w:b/>
          <w:sz w:val="28"/>
          <w:szCs w:val="28"/>
        </w:rPr>
      </w:pPr>
      <w:r>
        <w:rPr>
          <w:rFonts w:hint="eastAsia" w:ascii="仿宋_GB2312" w:hAnsi="宋体" w:eastAsia="仿宋_GB2312"/>
          <w:b/>
          <w:sz w:val="28"/>
          <w:szCs w:val="28"/>
        </w:rPr>
        <w:t>成交办法</w:t>
      </w:r>
    </w:p>
    <w:p w14:paraId="17712B0A">
      <w:pPr>
        <w:ind w:firstLine="560" w:firstLineChars="200"/>
        <w:rPr>
          <w:rFonts w:ascii="仿宋_GB2312" w:hAnsi="宋体" w:eastAsia="仿宋_GB2312"/>
          <w:sz w:val="28"/>
          <w:szCs w:val="28"/>
        </w:rPr>
      </w:pPr>
      <w:r>
        <w:rPr>
          <w:rFonts w:hint="eastAsia" w:ascii="仿宋_GB2312" w:hAnsi="宋体" w:eastAsia="仿宋_GB2312"/>
          <w:sz w:val="28"/>
          <w:szCs w:val="28"/>
        </w:rPr>
        <w:t>根据各家响应文件进行综合评分，评分办法详见下表，选择综合得分最高为首选签约对象。若综合得分相同，按照报价得分最高推荐。若综合得分和报价得分均相同，按照“业绩得分最高—资质得分最高—人员得分最高”的优先级推荐。</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023"/>
        <w:gridCol w:w="820"/>
        <w:gridCol w:w="4961"/>
        <w:gridCol w:w="1665"/>
      </w:tblGrid>
      <w:tr w14:paraId="6416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17" w:type="dxa"/>
            <w:shd w:val="clear" w:color="auto" w:fill="FFFFFF"/>
            <w:vAlign w:val="center"/>
          </w:tcPr>
          <w:p w14:paraId="38E691F1">
            <w:pPr>
              <w:jc w:val="center"/>
              <w:rPr>
                <w:rFonts w:ascii="仿宋" w:hAnsi="仿宋" w:eastAsia="仿宋" w:cs="仿宋"/>
                <w:sz w:val="24"/>
              </w:rPr>
            </w:pPr>
            <w:r>
              <w:rPr>
                <w:rFonts w:hint="eastAsia" w:ascii="仿宋" w:hAnsi="仿宋" w:eastAsia="仿宋" w:cs="仿宋"/>
                <w:b/>
                <w:sz w:val="24"/>
              </w:rPr>
              <w:t>序号</w:t>
            </w:r>
          </w:p>
        </w:tc>
        <w:tc>
          <w:tcPr>
            <w:tcW w:w="1023" w:type="dxa"/>
            <w:shd w:val="clear" w:color="auto" w:fill="FFFFFF"/>
            <w:vAlign w:val="center"/>
          </w:tcPr>
          <w:p w14:paraId="5FE704EE">
            <w:pPr>
              <w:jc w:val="center"/>
              <w:rPr>
                <w:rFonts w:ascii="仿宋" w:hAnsi="仿宋" w:eastAsia="仿宋" w:cs="仿宋"/>
                <w:sz w:val="24"/>
              </w:rPr>
            </w:pPr>
            <w:r>
              <w:rPr>
                <w:rFonts w:hint="eastAsia" w:ascii="仿宋" w:hAnsi="仿宋" w:eastAsia="仿宋" w:cs="仿宋"/>
                <w:sz w:val="24"/>
              </w:rPr>
              <w:t>评分项</w:t>
            </w:r>
          </w:p>
        </w:tc>
        <w:tc>
          <w:tcPr>
            <w:tcW w:w="820" w:type="dxa"/>
            <w:shd w:val="clear" w:color="auto" w:fill="FFFFFF"/>
            <w:vAlign w:val="center"/>
          </w:tcPr>
          <w:p w14:paraId="65BE7130">
            <w:pPr>
              <w:jc w:val="center"/>
              <w:rPr>
                <w:rFonts w:ascii="仿宋" w:hAnsi="仿宋" w:eastAsia="仿宋" w:cs="仿宋"/>
                <w:sz w:val="24"/>
              </w:rPr>
            </w:pPr>
            <w:r>
              <w:rPr>
                <w:rFonts w:hint="eastAsia" w:ascii="仿宋" w:hAnsi="仿宋" w:eastAsia="仿宋" w:cs="仿宋"/>
                <w:sz w:val="24"/>
              </w:rPr>
              <w:t>分值</w:t>
            </w:r>
          </w:p>
        </w:tc>
        <w:tc>
          <w:tcPr>
            <w:tcW w:w="4961" w:type="dxa"/>
            <w:shd w:val="clear" w:color="auto" w:fill="FFFFFF"/>
            <w:vAlign w:val="center"/>
          </w:tcPr>
          <w:p w14:paraId="03782C34">
            <w:pPr>
              <w:jc w:val="center"/>
              <w:rPr>
                <w:rFonts w:ascii="仿宋" w:hAnsi="仿宋" w:eastAsia="仿宋" w:cs="仿宋"/>
                <w:sz w:val="24"/>
              </w:rPr>
            </w:pPr>
            <w:r>
              <w:rPr>
                <w:rFonts w:hint="eastAsia" w:ascii="仿宋" w:hAnsi="仿宋" w:eastAsia="仿宋" w:cs="仿宋"/>
                <w:sz w:val="24"/>
              </w:rPr>
              <w:t>评分细则</w:t>
            </w:r>
          </w:p>
        </w:tc>
        <w:tc>
          <w:tcPr>
            <w:tcW w:w="1665" w:type="dxa"/>
            <w:shd w:val="clear" w:color="auto" w:fill="FFFFFF"/>
            <w:vAlign w:val="center"/>
          </w:tcPr>
          <w:p w14:paraId="5D8DF827">
            <w:pPr>
              <w:jc w:val="center"/>
              <w:rPr>
                <w:rFonts w:ascii="仿宋" w:hAnsi="仿宋" w:eastAsia="仿宋" w:cs="仿宋"/>
                <w:sz w:val="24"/>
              </w:rPr>
            </w:pPr>
            <w:r>
              <w:rPr>
                <w:rFonts w:hint="eastAsia" w:ascii="仿宋" w:hAnsi="仿宋" w:eastAsia="仿宋" w:cs="仿宋"/>
                <w:sz w:val="24"/>
              </w:rPr>
              <w:t>备注</w:t>
            </w:r>
          </w:p>
        </w:tc>
      </w:tr>
      <w:tr w14:paraId="6020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7" w:type="dxa"/>
            <w:shd w:val="clear" w:color="auto" w:fill="FFFFFF"/>
            <w:vAlign w:val="center"/>
          </w:tcPr>
          <w:p w14:paraId="6AFBC3B1">
            <w:pPr>
              <w:jc w:val="center"/>
              <w:rPr>
                <w:rFonts w:ascii="仿宋" w:hAnsi="仿宋" w:eastAsia="仿宋" w:cs="仿宋"/>
                <w:sz w:val="24"/>
              </w:rPr>
            </w:pPr>
            <w:r>
              <w:rPr>
                <w:rFonts w:hint="eastAsia" w:ascii="仿宋" w:hAnsi="仿宋" w:eastAsia="仿宋" w:cs="仿宋"/>
                <w:sz w:val="24"/>
              </w:rPr>
              <w:t>1</w:t>
            </w:r>
          </w:p>
        </w:tc>
        <w:tc>
          <w:tcPr>
            <w:tcW w:w="1023" w:type="dxa"/>
            <w:shd w:val="clear" w:color="auto" w:fill="FFFFFF"/>
            <w:vAlign w:val="center"/>
          </w:tcPr>
          <w:p w14:paraId="6AD976E3">
            <w:pPr>
              <w:jc w:val="center"/>
              <w:rPr>
                <w:rFonts w:ascii="仿宋" w:hAnsi="仿宋" w:eastAsia="仿宋" w:cs="仿宋"/>
                <w:sz w:val="24"/>
              </w:rPr>
            </w:pPr>
            <w:r>
              <w:rPr>
                <w:rFonts w:hint="eastAsia" w:ascii="仿宋" w:hAnsi="仿宋" w:eastAsia="仿宋" w:cs="仿宋"/>
                <w:sz w:val="24"/>
              </w:rPr>
              <w:t>报价</w:t>
            </w:r>
          </w:p>
        </w:tc>
        <w:tc>
          <w:tcPr>
            <w:tcW w:w="820" w:type="dxa"/>
            <w:shd w:val="clear" w:color="auto" w:fill="FFFFFF"/>
            <w:vAlign w:val="center"/>
          </w:tcPr>
          <w:p w14:paraId="71D3D3CE">
            <w:pPr>
              <w:jc w:val="center"/>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0</w:t>
            </w:r>
          </w:p>
        </w:tc>
        <w:tc>
          <w:tcPr>
            <w:tcW w:w="4961" w:type="dxa"/>
            <w:shd w:val="clear" w:color="auto" w:fill="FFFFFF"/>
            <w:vAlign w:val="center"/>
          </w:tcPr>
          <w:p w14:paraId="645626B3">
            <w:pPr>
              <w:jc w:val="left"/>
              <w:rPr>
                <w:rFonts w:ascii="仿宋" w:hAnsi="仿宋" w:eastAsia="仿宋" w:cs="仿宋"/>
                <w:sz w:val="24"/>
              </w:rPr>
            </w:pPr>
            <w:r>
              <w:rPr>
                <w:rFonts w:hint="eastAsia" w:ascii="仿宋" w:hAnsi="仿宋" w:eastAsia="仿宋" w:cs="仿宋"/>
                <w:sz w:val="24"/>
              </w:rPr>
              <w:t>取最低有效报价作为基准价Y基。</w:t>
            </w:r>
          </w:p>
          <w:p w14:paraId="58178B59">
            <w:pPr>
              <w:jc w:val="left"/>
              <w:rPr>
                <w:rFonts w:ascii="仿宋" w:hAnsi="仿宋" w:eastAsia="仿宋" w:cs="仿宋"/>
                <w:sz w:val="24"/>
              </w:rPr>
            </w:pPr>
            <w:r>
              <w:rPr>
                <w:rFonts w:hint="eastAsia" w:ascii="仿宋" w:hAnsi="仿宋" w:eastAsia="仿宋" w:cs="仿宋"/>
                <w:sz w:val="24"/>
              </w:rPr>
              <w:t>报价得分计算方法为：</w:t>
            </w:r>
          </w:p>
          <w:p w14:paraId="0E217B1F">
            <w:pPr>
              <w:jc w:val="left"/>
              <w:rPr>
                <w:rFonts w:ascii="仿宋" w:hAnsi="仿宋" w:eastAsia="仿宋" w:cs="仿宋"/>
                <w:sz w:val="24"/>
              </w:rPr>
            </w:pPr>
            <w:r>
              <w:rPr>
                <w:rFonts w:hint="eastAsia" w:ascii="仿宋" w:hAnsi="仿宋" w:eastAsia="仿宋" w:cs="仿宋"/>
                <w:sz w:val="24"/>
              </w:rPr>
              <w:t>报价分＝Y基/报价×</w:t>
            </w:r>
            <w:r>
              <w:rPr>
                <w:rFonts w:ascii="仿宋" w:hAnsi="仿宋" w:eastAsia="仿宋" w:cs="仿宋"/>
                <w:sz w:val="24"/>
              </w:rPr>
              <w:t>5</w:t>
            </w:r>
            <w:r>
              <w:rPr>
                <w:rFonts w:hint="eastAsia" w:ascii="仿宋" w:hAnsi="仿宋" w:eastAsia="仿宋" w:cs="仿宋"/>
                <w:sz w:val="24"/>
              </w:rPr>
              <w:t>0。</w:t>
            </w:r>
          </w:p>
        </w:tc>
        <w:tc>
          <w:tcPr>
            <w:tcW w:w="1665" w:type="dxa"/>
            <w:shd w:val="clear" w:color="auto" w:fill="FFFFFF"/>
            <w:vAlign w:val="center"/>
          </w:tcPr>
          <w:p w14:paraId="5A0BE70A">
            <w:pPr>
              <w:jc w:val="left"/>
              <w:rPr>
                <w:rFonts w:ascii="仿宋" w:hAnsi="仿宋" w:eastAsia="仿宋" w:cs="仿宋"/>
                <w:sz w:val="24"/>
              </w:rPr>
            </w:pPr>
            <w:r>
              <w:rPr>
                <w:rFonts w:hint="eastAsia" w:ascii="仿宋" w:hAnsi="仿宋" w:eastAsia="仿宋" w:cs="仿宋"/>
                <w:sz w:val="24"/>
              </w:rPr>
              <w:t>报价应是完成服务的含税总价，且包含所有必要费用。</w:t>
            </w:r>
          </w:p>
        </w:tc>
      </w:tr>
      <w:tr w14:paraId="4857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7" w:type="dxa"/>
            <w:shd w:val="clear" w:color="auto" w:fill="FFFFFF"/>
            <w:vAlign w:val="center"/>
          </w:tcPr>
          <w:p w14:paraId="7E09EDC1">
            <w:pPr>
              <w:jc w:val="center"/>
              <w:rPr>
                <w:rFonts w:ascii="仿宋" w:hAnsi="仿宋" w:eastAsia="仿宋" w:cs="仿宋"/>
                <w:sz w:val="24"/>
              </w:rPr>
            </w:pPr>
            <w:r>
              <w:rPr>
                <w:rFonts w:hint="eastAsia" w:ascii="仿宋" w:hAnsi="仿宋" w:eastAsia="仿宋" w:cs="仿宋"/>
                <w:sz w:val="24"/>
              </w:rPr>
              <w:t>2</w:t>
            </w:r>
          </w:p>
        </w:tc>
        <w:tc>
          <w:tcPr>
            <w:tcW w:w="1023" w:type="dxa"/>
            <w:shd w:val="clear" w:color="auto" w:fill="FFFFFF"/>
            <w:vAlign w:val="center"/>
          </w:tcPr>
          <w:p w14:paraId="495488F0">
            <w:pPr>
              <w:jc w:val="center"/>
              <w:rPr>
                <w:rFonts w:ascii="仿宋" w:hAnsi="仿宋" w:eastAsia="仿宋" w:cs="仿宋"/>
                <w:sz w:val="24"/>
              </w:rPr>
            </w:pPr>
            <w:r>
              <w:rPr>
                <w:rFonts w:hint="eastAsia" w:ascii="仿宋" w:hAnsi="仿宋" w:eastAsia="仿宋" w:cs="仿宋"/>
                <w:sz w:val="24"/>
              </w:rPr>
              <w:t>业绩</w:t>
            </w:r>
          </w:p>
        </w:tc>
        <w:tc>
          <w:tcPr>
            <w:tcW w:w="820" w:type="dxa"/>
            <w:shd w:val="clear" w:color="auto" w:fill="FFFFFF"/>
            <w:vAlign w:val="center"/>
          </w:tcPr>
          <w:p w14:paraId="2334CC23">
            <w:pPr>
              <w:jc w:val="center"/>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0</w:t>
            </w:r>
          </w:p>
        </w:tc>
        <w:tc>
          <w:tcPr>
            <w:tcW w:w="4961" w:type="dxa"/>
            <w:shd w:val="clear" w:color="auto" w:fill="FFFFFF"/>
            <w:vAlign w:val="center"/>
          </w:tcPr>
          <w:p w14:paraId="1AC00313">
            <w:pPr>
              <w:jc w:val="left"/>
              <w:rPr>
                <w:rFonts w:ascii="仿宋" w:hAnsi="仿宋" w:eastAsia="仿宋" w:cs="仿宋"/>
                <w:sz w:val="24"/>
              </w:rPr>
            </w:pPr>
            <w:r>
              <w:rPr>
                <w:rFonts w:hint="eastAsia" w:ascii="仿宋" w:hAnsi="仿宋" w:eastAsia="仿宋" w:cs="仿宋"/>
                <w:sz w:val="24"/>
              </w:rPr>
              <w:t>提供报价截止日前三年内布展服务的相关业绩清单</w:t>
            </w:r>
            <w:bookmarkStart w:id="1" w:name="OLE_LINK1"/>
            <w:r>
              <w:rPr>
                <w:rFonts w:hint="eastAsia" w:ascii="仿宋" w:hAnsi="仿宋" w:eastAsia="仿宋" w:cs="仿宋"/>
                <w:sz w:val="24"/>
              </w:rPr>
              <w:t>（格式详见附件1</w:t>
            </w:r>
            <w:bookmarkEnd w:id="1"/>
            <w:r>
              <w:rPr>
                <w:rFonts w:hint="eastAsia" w:ascii="仿宋" w:hAnsi="仿宋" w:eastAsia="仿宋" w:cs="仿宋"/>
                <w:sz w:val="24"/>
              </w:rPr>
              <w:t>）及其证明材料（合同首页、内容页、金额页、签字页，以及至少一张结算发票等能证明相关业绩的证明材料）。按照有效业绩数量从高到低排序，</w:t>
            </w:r>
            <w:bookmarkStart w:id="2" w:name="OLE_LINK4"/>
            <w:r>
              <w:rPr>
                <w:rFonts w:hint="eastAsia" w:ascii="仿宋" w:hAnsi="仿宋" w:eastAsia="仿宋" w:cs="仿宋"/>
                <w:sz w:val="24"/>
              </w:rPr>
              <w:t>每6分1档，业绩相同者并列。业绩最多排序第1者得3</w:t>
            </w:r>
            <w:r>
              <w:rPr>
                <w:rFonts w:ascii="仿宋" w:hAnsi="仿宋" w:eastAsia="仿宋" w:cs="仿宋"/>
                <w:sz w:val="24"/>
              </w:rPr>
              <w:t>0</w:t>
            </w:r>
            <w:r>
              <w:rPr>
                <w:rFonts w:hint="eastAsia" w:ascii="仿宋" w:hAnsi="仿宋" w:eastAsia="仿宋" w:cs="仿宋"/>
                <w:sz w:val="24"/>
              </w:rPr>
              <w:t>分，排序第2得2</w:t>
            </w:r>
            <w:r>
              <w:rPr>
                <w:rFonts w:ascii="仿宋" w:hAnsi="仿宋" w:eastAsia="仿宋" w:cs="仿宋"/>
                <w:sz w:val="24"/>
              </w:rPr>
              <w:t>4</w:t>
            </w:r>
            <w:r>
              <w:rPr>
                <w:rFonts w:hint="eastAsia" w:ascii="仿宋" w:hAnsi="仿宋" w:eastAsia="仿宋" w:cs="仿宋"/>
                <w:sz w:val="24"/>
              </w:rPr>
              <w:t>分，排序第3得</w:t>
            </w:r>
            <w:r>
              <w:rPr>
                <w:rFonts w:ascii="仿宋" w:hAnsi="仿宋" w:eastAsia="仿宋" w:cs="仿宋"/>
                <w:sz w:val="24"/>
              </w:rPr>
              <w:t>18</w:t>
            </w:r>
            <w:r>
              <w:rPr>
                <w:rFonts w:hint="eastAsia" w:ascii="仿宋" w:hAnsi="仿宋" w:eastAsia="仿宋" w:cs="仿宋"/>
                <w:sz w:val="24"/>
              </w:rPr>
              <w:t>分，排序第4得1</w:t>
            </w:r>
            <w:r>
              <w:rPr>
                <w:rFonts w:ascii="仿宋" w:hAnsi="仿宋" w:eastAsia="仿宋" w:cs="仿宋"/>
                <w:sz w:val="24"/>
              </w:rPr>
              <w:t>2</w:t>
            </w:r>
            <w:r>
              <w:rPr>
                <w:rFonts w:hint="eastAsia" w:ascii="仿宋" w:hAnsi="仿宋" w:eastAsia="仿宋" w:cs="仿宋"/>
                <w:sz w:val="24"/>
              </w:rPr>
              <w:t>分，排序第5得6分，排序第6及以后得0分。</w:t>
            </w:r>
            <w:bookmarkEnd w:id="2"/>
          </w:p>
        </w:tc>
        <w:tc>
          <w:tcPr>
            <w:tcW w:w="1665" w:type="dxa"/>
            <w:shd w:val="clear" w:color="auto" w:fill="FFFFFF"/>
            <w:vAlign w:val="center"/>
          </w:tcPr>
          <w:p w14:paraId="67545BFF">
            <w:pPr>
              <w:jc w:val="left"/>
              <w:rPr>
                <w:rFonts w:ascii="仿宋" w:hAnsi="仿宋" w:eastAsia="仿宋" w:cs="仿宋"/>
                <w:sz w:val="24"/>
              </w:rPr>
            </w:pPr>
            <w:r>
              <w:rPr>
                <w:rFonts w:hint="eastAsia" w:ascii="仿宋" w:hAnsi="仿宋" w:eastAsia="仿宋" w:cs="仿宋"/>
                <w:sz w:val="24"/>
              </w:rPr>
              <w:t>需提供相关证明材料，未提供得0分。</w:t>
            </w:r>
          </w:p>
        </w:tc>
      </w:tr>
      <w:tr w14:paraId="7178D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7" w:type="dxa"/>
            <w:shd w:val="clear" w:color="auto" w:fill="FFFFFF"/>
            <w:vAlign w:val="center"/>
          </w:tcPr>
          <w:p w14:paraId="7DB86558">
            <w:pPr>
              <w:jc w:val="center"/>
              <w:rPr>
                <w:rFonts w:ascii="仿宋" w:hAnsi="仿宋" w:eastAsia="仿宋" w:cs="仿宋"/>
                <w:sz w:val="24"/>
              </w:rPr>
            </w:pPr>
            <w:r>
              <w:rPr>
                <w:rFonts w:hint="eastAsia" w:ascii="仿宋" w:hAnsi="仿宋" w:eastAsia="仿宋" w:cs="仿宋"/>
                <w:sz w:val="24"/>
              </w:rPr>
              <w:t>3</w:t>
            </w:r>
          </w:p>
        </w:tc>
        <w:tc>
          <w:tcPr>
            <w:tcW w:w="1023" w:type="dxa"/>
            <w:shd w:val="clear" w:color="auto" w:fill="FFFFFF"/>
            <w:vAlign w:val="center"/>
          </w:tcPr>
          <w:p w14:paraId="1B32D340">
            <w:pPr>
              <w:jc w:val="center"/>
              <w:rPr>
                <w:rFonts w:ascii="仿宋" w:hAnsi="仿宋" w:eastAsia="仿宋" w:cs="仿宋"/>
                <w:sz w:val="24"/>
              </w:rPr>
            </w:pPr>
            <w:r>
              <w:rPr>
                <w:rFonts w:hint="eastAsia" w:ascii="仿宋" w:hAnsi="仿宋" w:eastAsia="仿宋" w:cs="仿宋"/>
                <w:sz w:val="24"/>
              </w:rPr>
              <w:t>资质</w:t>
            </w:r>
          </w:p>
        </w:tc>
        <w:tc>
          <w:tcPr>
            <w:tcW w:w="820" w:type="dxa"/>
            <w:shd w:val="clear" w:color="auto" w:fill="FFFFFF"/>
            <w:vAlign w:val="center"/>
          </w:tcPr>
          <w:p w14:paraId="0CD72774">
            <w:pPr>
              <w:jc w:val="center"/>
              <w:rPr>
                <w:rFonts w:ascii="仿宋" w:hAnsi="仿宋" w:eastAsia="仿宋" w:cs="仿宋"/>
                <w:sz w:val="24"/>
              </w:rPr>
            </w:pPr>
            <w:r>
              <w:rPr>
                <w:rFonts w:ascii="仿宋" w:hAnsi="仿宋" w:eastAsia="仿宋" w:cs="仿宋"/>
                <w:sz w:val="24"/>
              </w:rPr>
              <w:t>1</w:t>
            </w:r>
            <w:r>
              <w:rPr>
                <w:rFonts w:hint="eastAsia" w:ascii="仿宋" w:hAnsi="仿宋" w:eastAsia="仿宋" w:cs="仿宋"/>
                <w:sz w:val="24"/>
              </w:rPr>
              <w:t>0</w:t>
            </w:r>
          </w:p>
        </w:tc>
        <w:tc>
          <w:tcPr>
            <w:tcW w:w="4961" w:type="dxa"/>
            <w:shd w:val="clear" w:color="auto" w:fill="FFFFFF"/>
            <w:vAlign w:val="center"/>
          </w:tcPr>
          <w:p w14:paraId="12261823">
            <w:pPr>
              <w:jc w:val="left"/>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w:t>
            </w:r>
            <w:r>
              <w:rPr>
                <w:rFonts w:hint="eastAsia" w:ascii="仿宋" w:hAnsi="仿宋" w:eastAsia="仿宋" w:cs="仿宋"/>
                <w:sz w:val="24"/>
              </w:rPr>
              <w:t>同时拥有在有效期内的相关的质量、环境、职业健康标准体系认证证书，得5分。</w:t>
            </w:r>
          </w:p>
          <w:p w14:paraId="5DC6EC00">
            <w:pPr>
              <w:jc w:val="left"/>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属于中国展览馆协会会员单位，得5分。</w:t>
            </w:r>
          </w:p>
          <w:p w14:paraId="0BB3CB11">
            <w:pPr>
              <w:jc w:val="left"/>
              <w:rPr>
                <w:rFonts w:hint="eastAsia" w:ascii="仿宋" w:hAnsi="仿宋" w:eastAsia="仿宋" w:cs="仿宋"/>
                <w:sz w:val="24"/>
              </w:rPr>
            </w:pPr>
            <w:r>
              <w:rPr>
                <w:rFonts w:hint="eastAsia" w:ascii="仿宋" w:hAnsi="仿宋" w:eastAsia="仿宋" w:cs="仿宋"/>
                <w:sz w:val="24"/>
              </w:rPr>
              <w:t>格式详见附件2。</w:t>
            </w:r>
          </w:p>
        </w:tc>
        <w:tc>
          <w:tcPr>
            <w:tcW w:w="1665" w:type="dxa"/>
            <w:shd w:val="clear" w:color="auto" w:fill="FFFFFF"/>
            <w:vAlign w:val="center"/>
          </w:tcPr>
          <w:p w14:paraId="1E128BB3">
            <w:pPr>
              <w:jc w:val="left"/>
              <w:rPr>
                <w:rFonts w:ascii="仿宋" w:hAnsi="仿宋" w:eastAsia="仿宋" w:cs="仿宋"/>
                <w:sz w:val="24"/>
              </w:rPr>
            </w:pPr>
            <w:r>
              <w:rPr>
                <w:rFonts w:hint="eastAsia" w:ascii="仿宋" w:hAnsi="仿宋" w:eastAsia="仿宋" w:cs="仿宋"/>
                <w:sz w:val="24"/>
              </w:rPr>
              <w:t>需提供相关证明材料，未提供得0分。</w:t>
            </w:r>
          </w:p>
        </w:tc>
      </w:tr>
      <w:tr w14:paraId="6B82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7" w:type="dxa"/>
            <w:shd w:val="clear" w:color="auto" w:fill="FFFFFF"/>
            <w:vAlign w:val="center"/>
          </w:tcPr>
          <w:p w14:paraId="2CFFBD1B">
            <w:pPr>
              <w:jc w:val="center"/>
              <w:rPr>
                <w:rFonts w:ascii="仿宋" w:hAnsi="仿宋" w:eastAsia="仿宋" w:cs="仿宋"/>
                <w:sz w:val="24"/>
              </w:rPr>
            </w:pPr>
            <w:r>
              <w:rPr>
                <w:rFonts w:ascii="仿宋" w:hAnsi="仿宋" w:eastAsia="仿宋" w:cs="仿宋"/>
                <w:sz w:val="24"/>
              </w:rPr>
              <w:t>4</w:t>
            </w:r>
          </w:p>
        </w:tc>
        <w:tc>
          <w:tcPr>
            <w:tcW w:w="1023" w:type="dxa"/>
            <w:shd w:val="clear" w:color="auto" w:fill="FFFFFF"/>
            <w:vAlign w:val="center"/>
          </w:tcPr>
          <w:p w14:paraId="212A101A">
            <w:pPr>
              <w:jc w:val="center"/>
              <w:rPr>
                <w:rFonts w:ascii="仿宋" w:hAnsi="仿宋" w:eastAsia="仿宋" w:cs="仿宋"/>
                <w:sz w:val="24"/>
              </w:rPr>
            </w:pPr>
            <w:r>
              <w:rPr>
                <w:rFonts w:hint="eastAsia" w:ascii="仿宋" w:hAnsi="仿宋" w:eastAsia="仿宋" w:cs="仿宋"/>
                <w:sz w:val="24"/>
              </w:rPr>
              <w:t>人员</w:t>
            </w:r>
          </w:p>
        </w:tc>
        <w:tc>
          <w:tcPr>
            <w:tcW w:w="820" w:type="dxa"/>
            <w:shd w:val="clear" w:color="auto" w:fill="FFFFFF"/>
            <w:vAlign w:val="center"/>
          </w:tcPr>
          <w:p w14:paraId="0D732673">
            <w:pPr>
              <w:jc w:val="center"/>
              <w:rPr>
                <w:rFonts w:ascii="仿宋" w:hAnsi="仿宋" w:eastAsia="仿宋" w:cs="仿宋"/>
                <w:sz w:val="24"/>
              </w:rPr>
            </w:pPr>
            <w:r>
              <w:rPr>
                <w:rFonts w:ascii="仿宋" w:hAnsi="仿宋" w:eastAsia="仿宋" w:cs="仿宋"/>
                <w:sz w:val="24"/>
              </w:rPr>
              <w:t>1</w:t>
            </w:r>
            <w:r>
              <w:rPr>
                <w:rFonts w:hint="eastAsia" w:ascii="仿宋" w:hAnsi="仿宋" w:eastAsia="仿宋" w:cs="仿宋"/>
                <w:sz w:val="24"/>
              </w:rPr>
              <w:t>0</w:t>
            </w:r>
          </w:p>
        </w:tc>
        <w:tc>
          <w:tcPr>
            <w:tcW w:w="4961" w:type="dxa"/>
            <w:shd w:val="clear" w:color="auto" w:fill="FFFFFF"/>
            <w:vAlign w:val="center"/>
          </w:tcPr>
          <w:p w14:paraId="1B2D161A">
            <w:pPr>
              <w:jc w:val="left"/>
              <w:rPr>
                <w:rFonts w:ascii="仿宋" w:hAnsi="仿宋" w:eastAsia="仿宋" w:cs="仿宋"/>
                <w:sz w:val="24"/>
              </w:rPr>
            </w:pPr>
            <w:r>
              <w:rPr>
                <w:rFonts w:hint="eastAsia" w:ascii="仿宋" w:hAnsi="仿宋" w:eastAsia="仿宋" w:cs="仿宋"/>
                <w:sz w:val="24"/>
              </w:rPr>
              <w:t>提供本项目服务的相关服务人员清单（格式详见附件3）及证明材料（包括身份证、学位证、职称证（如有），以及最近三个月的社保证明）（格式详见附件</w:t>
            </w:r>
            <w:r>
              <w:rPr>
                <w:rFonts w:ascii="仿宋" w:hAnsi="仿宋" w:eastAsia="仿宋" w:cs="仿宋"/>
                <w:sz w:val="24"/>
              </w:rPr>
              <w:t>3</w:t>
            </w:r>
            <w:r>
              <w:rPr>
                <w:rFonts w:hint="eastAsia" w:ascii="仿宋" w:hAnsi="仿宋" w:eastAsia="仿宋" w:cs="仿宋"/>
                <w:sz w:val="24"/>
              </w:rPr>
              <w:t>）。按照有效人员数量从高到低排序，每</w:t>
            </w:r>
            <w:r>
              <w:rPr>
                <w:rFonts w:ascii="仿宋" w:hAnsi="仿宋" w:eastAsia="仿宋" w:cs="仿宋"/>
                <w:sz w:val="24"/>
              </w:rPr>
              <w:t>5</w:t>
            </w:r>
            <w:r>
              <w:rPr>
                <w:rFonts w:hint="eastAsia" w:ascii="仿宋" w:hAnsi="仿宋" w:eastAsia="仿宋" w:cs="仿宋"/>
                <w:sz w:val="24"/>
              </w:rPr>
              <w:t>分1档，有效人员数量相同者并列。有效人员数量最多排序第1者得2</w:t>
            </w:r>
            <w:r>
              <w:rPr>
                <w:rFonts w:ascii="仿宋" w:hAnsi="仿宋" w:eastAsia="仿宋" w:cs="仿宋"/>
                <w:sz w:val="24"/>
              </w:rPr>
              <w:t>0</w:t>
            </w:r>
            <w:r>
              <w:rPr>
                <w:rFonts w:hint="eastAsia" w:ascii="仿宋" w:hAnsi="仿宋" w:eastAsia="仿宋" w:cs="仿宋"/>
                <w:sz w:val="24"/>
              </w:rPr>
              <w:t>分，排序第2得15分，排序第3得10分，排序第4得5分，排序第5得2分，排序第6及以后得0分。</w:t>
            </w:r>
          </w:p>
        </w:tc>
        <w:tc>
          <w:tcPr>
            <w:tcW w:w="1665" w:type="dxa"/>
            <w:shd w:val="clear" w:color="auto" w:fill="FFFFFF"/>
            <w:vAlign w:val="center"/>
          </w:tcPr>
          <w:p w14:paraId="23B98CA2">
            <w:pPr>
              <w:jc w:val="left"/>
              <w:rPr>
                <w:rFonts w:ascii="仿宋" w:hAnsi="仿宋" w:eastAsia="仿宋" w:cs="仿宋"/>
                <w:sz w:val="24"/>
              </w:rPr>
            </w:pPr>
            <w:r>
              <w:rPr>
                <w:rFonts w:hint="eastAsia" w:ascii="仿宋" w:hAnsi="仿宋" w:eastAsia="仿宋" w:cs="仿宋"/>
                <w:sz w:val="24"/>
              </w:rPr>
              <w:t>需提供相关证明材料，未提供得0分。</w:t>
            </w:r>
          </w:p>
        </w:tc>
      </w:tr>
    </w:tbl>
    <w:p w14:paraId="20217C97">
      <w:pPr>
        <w:rPr>
          <w:rFonts w:ascii="仿宋_GB2312" w:hAnsi="宋体" w:eastAsia="仿宋_GB2312"/>
          <w:b/>
          <w:sz w:val="28"/>
          <w:szCs w:val="28"/>
        </w:rPr>
      </w:pPr>
      <w:r>
        <w:rPr>
          <w:rFonts w:hint="eastAsia" w:ascii="仿宋_GB2312" w:hAnsi="宋体" w:eastAsia="仿宋_GB2312"/>
          <w:b/>
          <w:sz w:val="28"/>
          <w:szCs w:val="28"/>
        </w:rPr>
        <w:br w:type="page"/>
      </w:r>
    </w:p>
    <w:p w14:paraId="3EE3D9EA">
      <w:pPr>
        <w:pStyle w:val="2"/>
        <w:numPr>
          <w:ilvl w:val="255"/>
          <w:numId w:val="0"/>
        </w:numPr>
        <w:rPr>
          <w:rFonts w:ascii="仿宋_GB2312" w:hAnsi="宋体" w:eastAsia="仿宋_GB2312"/>
          <w:b/>
          <w:sz w:val="28"/>
          <w:szCs w:val="28"/>
        </w:rPr>
      </w:pPr>
      <w:r>
        <w:rPr>
          <w:rFonts w:hint="eastAsia" w:ascii="仿宋_GB2312" w:hAnsi="宋体" w:eastAsia="仿宋_GB2312"/>
          <w:b/>
          <w:sz w:val="28"/>
          <w:szCs w:val="28"/>
        </w:rPr>
        <w:t>附件1：相关项目业绩清单（格式）</w:t>
      </w:r>
    </w:p>
    <w:tbl>
      <w:tblPr>
        <w:tblStyle w:val="8"/>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14:paraId="04C47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14:paraId="44871376">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659" w:type="pct"/>
            <w:vAlign w:val="center"/>
          </w:tcPr>
          <w:p w14:paraId="3CF39140">
            <w:pPr>
              <w:widowControl/>
              <w:rPr>
                <w:rFonts w:ascii="仿宋_GB2312" w:hAnsi="Arial" w:eastAsia="仿宋_GB2312" w:cs="Arial"/>
                <w:sz w:val="24"/>
              </w:rPr>
            </w:pPr>
            <w:r>
              <w:rPr>
                <w:rFonts w:hint="eastAsia" w:ascii="仿宋_GB2312" w:hAnsi="Arial" w:eastAsia="仿宋_GB2312" w:cs="Arial"/>
                <w:sz w:val="24"/>
              </w:rPr>
              <w:t>业绩名称</w:t>
            </w:r>
          </w:p>
        </w:tc>
        <w:tc>
          <w:tcPr>
            <w:tcW w:w="846" w:type="pct"/>
            <w:vAlign w:val="center"/>
          </w:tcPr>
          <w:p w14:paraId="68AFE9EA">
            <w:pPr>
              <w:widowControl/>
              <w:jc w:val="center"/>
              <w:rPr>
                <w:rFonts w:ascii="仿宋_GB2312" w:hAnsi="Arial" w:eastAsia="仿宋_GB2312" w:cs="Arial"/>
                <w:sz w:val="24"/>
              </w:rPr>
            </w:pPr>
            <w:r>
              <w:rPr>
                <w:rFonts w:hint="eastAsia" w:ascii="仿宋_GB2312" w:hAnsi="Arial" w:eastAsia="仿宋_GB2312" w:cs="Arial"/>
                <w:sz w:val="24"/>
              </w:rPr>
              <w:t>主要内容</w:t>
            </w:r>
          </w:p>
        </w:tc>
        <w:tc>
          <w:tcPr>
            <w:tcW w:w="1055" w:type="pct"/>
            <w:vAlign w:val="center"/>
          </w:tcPr>
          <w:p w14:paraId="3C8A3E52">
            <w:pPr>
              <w:widowControl/>
              <w:jc w:val="center"/>
              <w:rPr>
                <w:rFonts w:ascii="仿宋_GB2312" w:hAnsi="Arial" w:eastAsia="仿宋_GB2312" w:cs="Arial"/>
                <w:sz w:val="24"/>
              </w:rPr>
            </w:pPr>
            <w:r>
              <w:rPr>
                <w:rFonts w:hint="eastAsia" w:ascii="仿宋_GB2312" w:hAnsi="Arial" w:eastAsia="仿宋_GB2312" w:cs="Arial"/>
                <w:sz w:val="24"/>
              </w:rPr>
              <w:t>委托方及证明人</w:t>
            </w:r>
          </w:p>
        </w:tc>
        <w:tc>
          <w:tcPr>
            <w:tcW w:w="988" w:type="pct"/>
            <w:vAlign w:val="center"/>
          </w:tcPr>
          <w:p w14:paraId="20DD047E">
            <w:pPr>
              <w:widowControl/>
              <w:jc w:val="center"/>
              <w:rPr>
                <w:rFonts w:ascii="仿宋_GB2312" w:hAnsi="Arial" w:eastAsia="仿宋_GB2312" w:cs="Arial"/>
                <w:sz w:val="24"/>
              </w:rPr>
            </w:pPr>
            <w:r>
              <w:rPr>
                <w:rFonts w:hint="eastAsia" w:ascii="仿宋_GB2312" w:hAnsi="Arial" w:eastAsia="仿宋_GB2312" w:cs="Arial"/>
                <w:sz w:val="24"/>
              </w:rPr>
              <w:t>委托时间</w:t>
            </w:r>
          </w:p>
        </w:tc>
        <w:tc>
          <w:tcPr>
            <w:tcW w:w="988" w:type="pct"/>
            <w:vAlign w:val="center"/>
          </w:tcPr>
          <w:p w14:paraId="3AF0B843">
            <w:pPr>
              <w:widowControl/>
              <w:jc w:val="center"/>
              <w:rPr>
                <w:rFonts w:ascii="仿宋_GB2312" w:hAnsi="Arial" w:eastAsia="仿宋_GB2312" w:cs="Arial"/>
                <w:sz w:val="24"/>
              </w:rPr>
            </w:pPr>
            <w:r>
              <w:rPr>
                <w:rFonts w:hint="eastAsia" w:ascii="仿宋_GB2312" w:hAnsi="Arial" w:eastAsia="仿宋_GB2312" w:cs="Arial"/>
                <w:sz w:val="24"/>
              </w:rPr>
              <w:t>完成时间</w:t>
            </w:r>
          </w:p>
        </w:tc>
      </w:tr>
      <w:tr w14:paraId="16B28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14:paraId="2E4FAE88">
            <w:pPr>
              <w:jc w:val="center"/>
              <w:rPr>
                <w:sz w:val="24"/>
              </w:rPr>
            </w:pPr>
            <w:r>
              <w:rPr>
                <w:rFonts w:hint="eastAsia"/>
                <w:sz w:val="24"/>
              </w:rPr>
              <w:t>1</w:t>
            </w:r>
          </w:p>
        </w:tc>
        <w:tc>
          <w:tcPr>
            <w:tcW w:w="659" w:type="pct"/>
            <w:vAlign w:val="center"/>
          </w:tcPr>
          <w:p w14:paraId="3DC9D671">
            <w:pPr>
              <w:jc w:val="center"/>
              <w:rPr>
                <w:b/>
                <w:bCs/>
                <w:sz w:val="24"/>
              </w:rPr>
            </w:pPr>
          </w:p>
        </w:tc>
        <w:tc>
          <w:tcPr>
            <w:tcW w:w="846" w:type="pct"/>
            <w:vAlign w:val="center"/>
          </w:tcPr>
          <w:p w14:paraId="3A52FDD9">
            <w:pPr>
              <w:jc w:val="center"/>
              <w:rPr>
                <w:sz w:val="24"/>
              </w:rPr>
            </w:pPr>
          </w:p>
        </w:tc>
        <w:tc>
          <w:tcPr>
            <w:tcW w:w="1055" w:type="pct"/>
            <w:vAlign w:val="center"/>
          </w:tcPr>
          <w:p w14:paraId="7CB0CE2A">
            <w:pPr>
              <w:rPr>
                <w:b/>
                <w:bCs/>
                <w:sz w:val="24"/>
              </w:rPr>
            </w:pPr>
          </w:p>
        </w:tc>
        <w:tc>
          <w:tcPr>
            <w:tcW w:w="988" w:type="pct"/>
            <w:vAlign w:val="center"/>
          </w:tcPr>
          <w:p w14:paraId="7C70D3FD">
            <w:pPr>
              <w:rPr>
                <w:b/>
                <w:bCs/>
                <w:sz w:val="24"/>
              </w:rPr>
            </w:pPr>
          </w:p>
        </w:tc>
        <w:tc>
          <w:tcPr>
            <w:tcW w:w="988" w:type="pct"/>
            <w:vAlign w:val="center"/>
          </w:tcPr>
          <w:p w14:paraId="6280B359">
            <w:pPr>
              <w:rPr>
                <w:b/>
                <w:bCs/>
                <w:sz w:val="24"/>
              </w:rPr>
            </w:pPr>
          </w:p>
        </w:tc>
      </w:tr>
      <w:tr w14:paraId="5E3C9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464" w:type="pct"/>
            <w:vAlign w:val="center"/>
          </w:tcPr>
          <w:p w14:paraId="4C2521A0">
            <w:pPr>
              <w:jc w:val="center"/>
              <w:rPr>
                <w:sz w:val="24"/>
              </w:rPr>
            </w:pPr>
            <w:r>
              <w:rPr>
                <w:rFonts w:hint="eastAsia"/>
                <w:sz w:val="24"/>
              </w:rPr>
              <w:t>2</w:t>
            </w:r>
          </w:p>
        </w:tc>
        <w:tc>
          <w:tcPr>
            <w:tcW w:w="659" w:type="pct"/>
            <w:vAlign w:val="center"/>
          </w:tcPr>
          <w:p w14:paraId="74AF0442">
            <w:pPr>
              <w:jc w:val="center"/>
              <w:rPr>
                <w:b/>
                <w:bCs/>
                <w:sz w:val="24"/>
              </w:rPr>
            </w:pPr>
          </w:p>
        </w:tc>
        <w:tc>
          <w:tcPr>
            <w:tcW w:w="846" w:type="pct"/>
            <w:vAlign w:val="center"/>
          </w:tcPr>
          <w:p w14:paraId="0FD1E027">
            <w:pPr>
              <w:jc w:val="center"/>
              <w:rPr>
                <w:sz w:val="24"/>
              </w:rPr>
            </w:pPr>
          </w:p>
        </w:tc>
        <w:tc>
          <w:tcPr>
            <w:tcW w:w="1055" w:type="pct"/>
            <w:vAlign w:val="center"/>
          </w:tcPr>
          <w:p w14:paraId="4906ED6A">
            <w:pPr>
              <w:jc w:val="center"/>
              <w:rPr>
                <w:b/>
                <w:bCs/>
                <w:i/>
                <w:iCs/>
                <w:sz w:val="24"/>
              </w:rPr>
            </w:pPr>
          </w:p>
        </w:tc>
        <w:tc>
          <w:tcPr>
            <w:tcW w:w="988" w:type="pct"/>
            <w:vAlign w:val="center"/>
          </w:tcPr>
          <w:p w14:paraId="02CCE9AF">
            <w:pPr>
              <w:jc w:val="center"/>
              <w:rPr>
                <w:b/>
                <w:bCs/>
                <w:i/>
                <w:iCs/>
                <w:sz w:val="24"/>
              </w:rPr>
            </w:pPr>
          </w:p>
        </w:tc>
        <w:tc>
          <w:tcPr>
            <w:tcW w:w="988" w:type="pct"/>
            <w:vAlign w:val="center"/>
          </w:tcPr>
          <w:p w14:paraId="3CF30053">
            <w:pPr>
              <w:jc w:val="center"/>
              <w:rPr>
                <w:b/>
                <w:bCs/>
                <w:i/>
                <w:iCs/>
                <w:sz w:val="24"/>
              </w:rPr>
            </w:pPr>
          </w:p>
        </w:tc>
      </w:tr>
      <w:tr w14:paraId="088FB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14:paraId="7244B75C">
            <w:pPr>
              <w:jc w:val="center"/>
              <w:rPr>
                <w:sz w:val="24"/>
              </w:rPr>
            </w:pPr>
            <w:r>
              <w:rPr>
                <w:rFonts w:hint="eastAsia"/>
                <w:sz w:val="24"/>
              </w:rPr>
              <w:t>3</w:t>
            </w:r>
          </w:p>
        </w:tc>
        <w:tc>
          <w:tcPr>
            <w:tcW w:w="659" w:type="pct"/>
            <w:vAlign w:val="center"/>
          </w:tcPr>
          <w:p w14:paraId="4F67DA62">
            <w:pPr>
              <w:jc w:val="center"/>
              <w:rPr>
                <w:b/>
                <w:bCs/>
                <w:sz w:val="24"/>
              </w:rPr>
            </w:pPr>
          </w:p>
        </w:tc>
        <w:tc>
          <w:tcPr>
            <w:tcW w:w="846" w:type="pct"/>
            <w:vAlign w:val="center"/>
          </w:tcPr>
          <w:p w14:paraId="1A1F8FDF">
            <w:pPr>
              <w:jc w:val="center"/>
              <w:rPr>
                <w:sz w:val="24"/>
              </w:rPr>
            </w:pPr>
          </w:p>
        </w:tc>
        <w:tc>
          <w:tcPr>
            <w:tcW w:w="1055" w:type="pct"/>
            <w:vAlign w:val="center"/>
          </w:tcPr>
          <w:p w14:paraId="5EE3C007">
            <w:pPr>
              <w:rPr>
                <w:b/>
                <w:bCs/>
                <w:i/>
                <w:iCs/>
                <w:sz w:val="24"/>
              </w:rPr>
            </w:pPr>
          </w:p>
        </w:tc>
        <w:tc>
          <w:tcPr>
            <w:tcW w:w="988" w:type="pct"/>
            <w:vAlign w:val="center"/>
          </w:tcPr>
          <w:p w14:paraId="7F83B39D">
            <w:pPr>
              <w:rPr>
                <w:b/>
                <w:bCs/>
                <w:i/>
                <w:iCs/>
                <w:sz w:val="24"/>
              </w:rPr>
            </w:pPr>
          </w:p>
        </w:tc>
        <w:tc>
          <w:tcPr>
            <w:tcW w:w="988" w:type="pct"/>
            <w:vAlign w:val="center"/>
          </w:tcPr>
          <w:p w14:paraId="727886C9">
            <w:pPr>
              <w:rPr>
                <w:b/>
                <w:bCs/>
                <w:i/>
                <w:iCs/>
                <w:sz w:val="24"/>
              </w:rPr>
            </w:pPr>
          </w:p>
        </w:tc>
      </w:tr>
      <w:tr w14:paraId="47859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14:paraId="51D18284">
            <w:pPr>
              <w:jc w:val="center"/>
              <w:rPr>
                <w:sz w:val="24"/>
              </w:rPr>
            </w:pPr>
            <w:r>
              <w:rPr>
                <w:rFonts w:hint="eastAsia"/>
                <w:sz w:val="24"/>
              </w:rPr>
              <w:t>.</w:t>
            </w:r>
            <w:r>
              <w:rPr>
                <w:sz w:val="24"/>
              </w:rPr>
              <w:t>..</w:t>
            </w:r>
          </w:p>
        </w:tc>
        <w:tc>
          <w:tcPr>
            <w:tcW w:w="659" w:type="pct"/>
            <w:vAlign w:val="center"/>
          </w:tcPr>
          <w:p w14:paraId="2D3A8710">
            <w:pPr>
              <w:jc w:val="center"/>
              <w:rPr>
                <w:b/>
                <w:bCs/>
                <w:sz w:val="24"/>
              </w:rPr>
            </w:pPr>
          </w:p>
        </w:tc>
        <w:tc>
          <w:tcPr>
            <w:tcW w:w="846" w:type="pct"/>
            <w:vAlign w:val="center"/>
          </w:tcPr>
          <w:p w14:paraId="2FA64B29">
            <w:pPr>
              <w:jc w:val="center"/>
              <w:rPr>
                <w:sz w:val="24"/>
              </w:rPr>
            </w:pPr>
          </w:p>
        </w:tc>
        <w:tc>
          <w:tcPr>
            <w:tcW w:w="1055" w:type="pct"/>
            <w:vAlign w:val="center"/>
          </w:tcPr>
          <w:p w14:paraId="3396CEDE">
            <w:pPr>
              <w:rPr>
                <w:b/>
                <w:bCs/>
                <w:i/>
                <w:iCs/>
                <w:sz w:val="24"/>
              </w:rPr>
            </w:pPr>
          </w:p>
        </w:tc>
        <w:tc>
          <w:tcPr>
            <w:tcW w:w="988" w:type="pct"/>
            <w:vAlign w:val="center"/>
          </w:tcPr>
          <w:p w14:paraId="11E569EB">
            <w:pPr>
              <w:rPr>
                <w:b/>
                <w:bCs/>
                <w:i/>
                <w:iCs/>
                <w:sz w:val="24"/>
              </w:rPr>
            </w:pPr>
          </w:p>
        </w:tc>
        <w:tc>
          <w:tcPr>
            <w:tcW w:w="988" w:type="pct"/>
            <w:vAlign w:val="center"/>
          </w:tcPr>
          <w:p w14:paraId="12A0AF5D">
            <w:pPr>
              <w:rPr>
                <w:b/>
                <w:bCs/>
                <w:i/>
                <w:iCs/>
                <w:sz w:val="24"/>
              </w:rPr>
            </w:pPr>
          </w:p>
        </w:tc>
      </w:tr>
    </w:tbl>
    <w:p w14:paraId="0E80A8D5">
      <w:pPr>
        <w:pStyle w:val="2"/>
        <w:numPr>
          <w:ilvl w:val="255"/>
          <w:numId w:val="0"/>
        </w:numPr>
        <w:rPr>
          <w:rFonts w:ascii="仿宋_GB2312" w:hAnsi="宋体" w:eastAsia="仿宋_GB2312"/>
          <w:b/>
          <w:sz w:val="28"/>
          <w:szCs w:val="28"/>
        </w:rPr>
      </w:pPr>
    </w:p>
    <w:p w14:paraId="15CB6734">
      <w:pPr>
        <w:sectPr>
          <w:pgSz w:w="11906" w:h="16838"/>
          <w:pgMar w:top="1418" w:right="1418" w:bottom="1134" w:left="1418" w:header="851" w:footer="992" w:gutter="0"/>
          <w:cols w:space="720" w:num="1"/>
          <w:docGrid w:type="lines" w:linePitch="312" w:charSpace="0"/>
        </w:sectPr>
      </w:pPr>
      <w:r>
        <w:rPr>
          <w:rFonts w:hint="eastAsia" w:ascii="仿宋_GB2312" w:eastAsia="仿宋_GB2312"/>
          <w:w w:val="90"/>
          <w:sz w:val="28"/>
          <w:szCs w:val="28"/>
        </w:rPr>
        <w:t>附证明材料。</w:t>
      </w:r>
    </w:p>
    <w:p w14:paraId="5D18474A">
      <w:pPr>
        <w:pStyle w:val="2"/>
        <w:numPr>
          <w:ilvl w:val="255"/>
          <w:numId w:val="0"/>
        </w:numPr>
        <w:rPr>
          <w:rFonts w:ascii="仿宋_GB2312" w:hAnsi="宋体" w:eastAsia="仿宋_GB2312"/>
          <w:b/>
          <w:sz w:val="28"/>
          <w:szCs w:val="28"/>
        </w:rPr>
      </w:pPr>
      <w:r>
        <w:rPr>
          <w:rFonts w:hint="eastAsia" w:ascii="仿宋_GB2312" w:hAnsi="宋体" w:eastAsia="仿宋_GB2312"/>
          <w:b/>
          <w:sz w:val="28"/>
          <w:szCs w:val="28"/>
        </w:rPr>
        <w:t>附件2：供应商资质（格式）</w:t>
      </w:r>
    </w:p>
    <w:tbl>
      <w:tblPr>
        <w:tblStyle w:val="8"/>
        <w:tblW w:w="8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2475"/>
        <w:gridCol w:w="1778"/>
        <w:gridCol w:w="2835"/>
      </w:tblGrid>
      <w:tr w14:paraId="34CE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49" w:type="dxa"/>
            <w:shd w:val="clear" w:color="auto" w:fill="auto"/>
            <w:vAlign w:val="center"/>
          </w:tcPr>
          <w:p w14:paraId="0FB98DC9">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2475" w:type="dxa"/>
            <w:shd w:val="clear" w:color="auto" w:fill="auto"/>
            <w:vAlign w:val="center"/>
          </w:tcPr>
          <w:p w14:paraId="4A28C814">
            <w:pPr>
              <w:widowControl/>
              <w:jc w:val="center"/>
              <w:rPr>
                <w:rFonts w:ascii="仿宋_GB2312" w:hAnsi="Arial" w:eastAsia="仿宋_GB2312" w:cs="Arial"/>
                <w:sz w:val="24"/>
              </w:rPr>
            </w:pPr>
            <w:r>
              <w:rPr>
                <w:rFonts w:hint="eastAsia" w:ascii="仿宋_GB2312" w:hAnsi="Arial" w:eastAsia="仿宋_GB2312" w:cs="Arial"/>
                <w:sz w:val="24"/>
              </w:rPr>
              <w:t>资质证书名称</w:t>
            </w:r>
          </w:p>
        </w:tc>
        <w:tc>
          <w:tcPr>
            <w:tcW w:w="1778" w:type="dxa"/>
            <w:shd w:val="clear" w:color="auto" w:fill="auto"/>
            <w:vAlign w:val="center"/>
          </w:tcPr>
          <w:p w14:paraId="3789567A">
            <w:pPr>
              <w:widowControl/>
              <w:jc w:val="center"/>
              <w:rPr>
                <w:rFonts w:hint="eastAsia" w:ascii="仿宋_GB2312" w:hAnsi="Arial" w:eastAsia="仿宋_GB2312" w:cs="Arial"/>
                <w:sz w:val="24"/>
              </w:rPr>
            </w:pPr>
            <w:r>
              <w:rPr>
                <w:rFonts w:hint="eastAsia" w:ascii="仿宋_GB2312" w:hAnsi="Arial" w:eastAsia="仿宋_GB2312" w:cs="Arial"/>
                <w:sz w:val="24"/>
              </w:rPr>
              <w:t>颁发单位</w:t>
            </w:r>
          </w:p>
        </w:tc>
        <w:tc>
          <w:tcPr>
            <w:tcW w:w="2835" w:type="dxa"/>
            <w:shd w:val="clear" w:color="auto" w:fill="auto"/>
            <w:vAlign w:val="center"/>
          </w:tcPr>
          <w:p w14:paraId="05FEA631">
            <w:pPr>
              <w:widowControl/>
              <w:jc w:val="center"/>
              <w:rPr>
                <w:rFonts w:ascii="仿宋_GB2312" w:hAnsi="Arial" w:eastAsia="仿宋_GB2312" w:cs="Arial"/>
                <w:sz w:val="24"/>
              </w:rPr>
            </w:pPr>
            <w:r>
              <w:rPr>
                <w:rFonts w:hint="eastAsia" w:ascii="仿宋_GB2312" w:hAnsi="Arial" w:eastAsia="仿宋_GB2312" w:cs="Arial"/>
                <w:sz w:val="24"/>
              </w:rPr>
              <w:t>有效期</w:t>
            </w:r>
          </w:p>
        </w:tc>
      </w:tr>
      <w:tr w14:paraId="74EC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49" w:type="dxa"/>
            <w:shd w:val="clear" w:color="auto" w:fill="auto"/>
            <w:vAlign w:val="center"/>
          </w:tcPr>
          <w:p w14:paraId="11D0BEDC">
            <w:pPr>
              <w:widowControl/>
              <w:jc w:val="center"/>
              <w:rPr>
                <w:rFonts w:ascii="仿宋_GB2312" w:hAnsi="Arial" w:eastAsia="仿宋_GB2312" w:cs="Arial"/>
                <w:sz w:val="24"/>
              </w:rPr>
            </w:pPr>
            <w:r>
              <w:rPr>
                <w:rFonts w:hint="eastAsia" w:ascii="仿宋_GB2312" w:hAnsi="Arial" w:eastAsia="仿宋_GB2312" w:cs="Arial"/>
                <w:sz w:val="24"/>
              </w:rPr>
              <w:t>1</w:t>
            </w:r>
          </w:p>
        </w:tc>
        <w:tc>
          <w:tcPr>
            <w:tcW w:w="2475" w:type="dxa"/>
            <w:shd w:val="clear" w:color="auto" w:fill="auto"/>
            <w:vAlign w:val="center"/>
          </w:tcPr>
          <w:p w14:paraId="028D6DAD">
            <w:pPr>
              <w:widowControl/>
              <w:jc w:val="center"/>
              <w:rPr>
                <w:rFonts w:ascii="仿宋_GB2312" w:hAnsi="Arial" w:eastAsia="仿宋_GB2312" w:cs="Arial"/>
                <w:sz w:val="24"/>
              </w:rPr>
            </w:pPr>
          </w:p>
        </w:tc>
        <w:tc>
          <w:tcPr>
            <w:tcW w:w="1778" w:type="dxa"/>
            <w:shd w:val="clear" w:color="auto" w:fill="auto"/>
            <w:vAlign w:val="center"/>
          </w:tcPr>
          <w:p w14:paraId="0CD3A3FD">
            <w:pPr>
              <w:widowControl/>
              <w:jc w:val="center"/>
              <w:rPr>
                <w:rFonts w:ascii="仿宋_GB2312" w:hAnsi="Arial" w:eastAsia="仿宋_GB2312" w:cs="Arial"/>
                <w:sz w:val="24"/>
              </w:rPr>
            </w:pPr>
          </w:p>
        </w:tc>
        <w:tc>
          <w:tcPr>
            <w:tcW w:w="2835" w:type="dxa"/>
            <w:shd w:val="clear" w:color="auto" w:fill="auto"/>
            <w:vAlign w:val="center"/>
          </w:tcPr>
          <w:p w14:paraId="48407BCB">
            <w:pPr>
              <w:widowControl/>
              <w:jc w:val="center"/>
              <w:rPr>
                <w:rFonts w:ascii="仿宋_GB2312" w:hAnsi="Arial" w:eastAsia="仿宋_GB2312" w:cs="Arial"/>
                <w:sz w:val="24"/>
              </w:rPr>
            </w:pPr>
          </w:p>
        </w:tc>
      </w:tr>
      <w:tr w14:paraId="2EAE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49" w:type="dxa"/>
            <w:shd w:val="clear" w:color="auto" w:fill="auto"/>
            <w:vAlign w:val="center"/>
          </w:tcPr>
          <w:p w14:paraId="36AFA23E">
            <w:pPr>
              <w:widowControl/>
              <w:jc w:val="center"/>
              <w:rPr>
                <w:rFonts w:ascii="仿宋_GB2312" w:hAnsi="Arial" w:eastAsia="仿宋_GB2312" w:cs="Arial"/>
                <w:sz w:val="24"/>
              </w:rPr>
            </w:pPr>
            <w:r>
              <w:rPr>
                <w:rFonts w:ascii="仿宋_GB2312" w:hAnsi="Arial" w:eastAsia="仿宋_GB2312" w:cs="Arial"/>
                <w:sz w:val="24"/>
              </w:rPr>
              <w:t>2</w:t>
            </w:r>
          </w:p>
        </w:tc>
        <w:tc>
          <w:tcPr>
            <w:tcW w:w="2475" w:type="dxa"/>
            <w:shd w:val="clear" w:color="auto" w:fill="auto"/>
            <w:vAlign w:val="center"/>
          </w:tcPr>
          <w:p w14:paraId="3CE582D6">
            <w:pPr>
              <w:widowControl/>
              <w:jc w:val="center"/>
              <w:rPr>
                <w:rFonts w:ascii="仿宋_GB2312" w:hAnsi="Arial" w:eastAsia="仿宋_GB2312" w:cs="Arial"/>
                <w:sz w:val="24"/>
              </w:rPr>
            </w:pPr>
          </w:p>
        </w:tc>
        <w:tc>
          <w:tcPr>
            <w:tcW w:w="1778" w:type="dxa"/>
            <w:shd w:val="clear" w:color="auto" w:fill="auto"/>
            <w:vAlign w:val="center"/>
          </w:tcPr>
          <w:p w14:paraId="1FAB9166">
            <w:pPr>
              <w:widowControl/>
              <w:jc w:val="center"/>
              <w:rPr>
                <w:rFonts w:ascii="仿宋_GB2312" w:hAnsi="Arial" w:eastAsia="仿宋_GB2312" w:cs="Arial"/>
                <w:sz w:val="24"/>
              </w:rPr>
            </w:pPr>
          </w:p>
        </w:tc>
        <w:tc>
          <w:tcPr>
            <w:tcW w:w="2835" w:type="dxa"/>
            <w:shd w:val="clear" w:color="auto" w:fill="auto"/>
            <w:vAlign w:val="center"/>
          </w:tcPr>
          <w:p w14:paraId="76447548">
            <w:pPr>
              <w:widowControl/>
              <w:jc w:val="center"/>
              <w:rPr>
                <w:rFonts w:ascii="仿宋_GB2312" w:hAnsi="Arial" w:eastAsia="仿宋_GB2312" w:cs="Arial"/>
                <w:sz w:val="24"/>
              </w:rPr>
            </w:pPr>
          </w:p>
        </w:tc>
      </w:tr>
      <w:tr w14:paraId="2FF7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49" w:type="dxa"/>
            <w:shd w:val="clear" w:color="auto" w:fill="auto"/>
            <w:vAlign w:val="center"/>
          </w:tcPr>
          <w:p w14:paraId="1AE43CF6">
            <w:pPr>
              <w:widowControl/>
              <w:jc w:val="center"/>
              <w:rPr>
                <w:rFonts w:ascii="仿宋_GB2312" w:hAnsi="Arial" w:eastAsia="仿宋_GB2312" w:cs="Arial"/>
                <w:sz w:val="24"/>
              </w:rPr>
            </w:pPr>
            <w:r>
              <w:rPr>
                <w:rFonts w:ascii="仿宋_GB2312" w:hAnsi="Arial" w:eastAsia="仿宋_GB2312" w:cs="Arial"/>
                <w:sz w:val="24"/>
              </w:rPr>
              <w:t>3</w:t>
            </w:r>
          </w:p>
        </w:tc>
        <w:tc>
          <w:tcPr>
            <w:tcW w:w="2475" w:type="dxa"/>
            <w:shd w:val="clear" w:color="auto" w:fill="auto"/>
            <w:vAlign w:val="center"/>
          </w:tcPr>
          <w:p w14:paraId="3C7DAA3E">
            <w:pPr>
              <w:widowControl/>
              <w:jc w:val="center"/>
              <w:rPr>
                <w:rFonts w:ascii="仿宋_GB2312" w:hAnsi="Arial" w:eastAsia="仿宋_GB2312" w:cs="Arial"/>
                <w:sz w:val="24"/>
              </w:rPr>
            </w:pPr>
          </w:p>
        </w:tc>
        <w:tc>
          <w:tcPr>
            <w:tcW w:w="1778" w:type="dxa"/>
            <w:shd w:val="clear" w:color="auto" w:fill="auto"/>
            <w:vAlign w:val="center"/>
          </w:tcPr>
          <w:p w14:paraId="1C477EEA">
            <w:pPr>
              <w:widowControl/>
              <w:jc w:val="center"/>
              <w:rPr>
                <w:rFonts w:ascii="仿宋_GB2312" w:hAnsi="Arial" w:eastAsia="仿宋_GB2312" w:cs="Arial"/>
                <w:sz w:val="24"/>
              </w:rPr>
            </w:pPr>
          </w:p>
        </w:tc>
        <w:tc>
          <w:tcPr>
            <w:tcW w:w="2835" w:type="dxa"/>
            <w:shd w:val="clear" w:color="auto" w:fill="auto"/>
            <w:vAlign w:val="center"/>
          </w:tcPr>
          <w:p w14:paraId="30FE2258">
            <w:pPr>
              <w:widowControl/>
              <w:jc w:val="center"/>
              <w:rPr>
                <w:rFonts w:ascii="仿宋_GB2312" w:hAnsi="Arial" w:eastAsia="仿宋_GB2312" w:cs="Arial"/>
                <w:sz w:val="24"/>
              </w:rPr>
            </w:pPr>
          </w:p>
        </w:tc>
      </w:tr>
      <w:tr w14:paraId="5962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49" w:type="dxa"/>
            <w:shd w:val="clear" w:color="auto" w:fill="auto"/>
            <w:vAlign w:val="center"/>
          </w:tcPr>
          <w:p w14:paraId="70654236">
            <w:pPr>
              <w:widowControl/>
              <w:jc w:val="center"/>
              <w:rPr>
                <w:rFonts w:ascii="仿宋_GB2312" w:hAnsi="Arial" w:eastAsia="仿宋_GB2312" w:cs="Arial"/>
                <w:sz w:val="24"/>
              </w:rPr>
            </w:pPr>
            <w:r>
              <w:rPr>
                <w:rFonts w:ascii="仿宋_GB2312" w:hAnsi="Arial" w:eastAsia="仿宋_GB2312" w:cs="Arial"/>
                <w:sz w:val="24"/>
              </w:rPr>
              <w:t>...</w:t>
            </w:r>
          </w:p>
        </w:tc>
        <w:tc>
          <w:tcPr>
            <w:tcW w:w="2475" w:type="dxa"/>
            <w:shd w:val="clear" w:color="auto" w:fill="auto"/>
            <w:vAlign w:val="center"/>
          </w:tcPr>
          <w:p w14:paraId="77AA0262">
            <w:pPr>
              <w:widowControl/>
              <w:jc w:val="center"/>
              <w:rPr>
                <w:rFonts w:hint="eastAsia" w:ascii="仿宋_GB2312" w:hAnsi="Arial" w:eastAsia="仿宋_GB2312" w:cs="Arial"/>
                <w:sz w:val="24"/>
              </w:rPr>
            </w:pPr>
          </w:p>
        </w:tc>
        <w:tc>
          <w:tcPr>
            <w:tcW w:w="1778" w:type="dxa"/>
            <w:shd w:val="clear" w:color="auto" w:fill="auto"/>
            <w:vAlign w:val="center"/>
          </w:tcPr>
          <w:p w14:paraId="502A51AD">
            <w:pPr>
              <w:widowControl/>
              <w:jc w:val="center"/>
              <w:rPr>
                <w:rFonts w:ascii="仿宋_GB2312" w:hAnsi="Arial" w:eastAsia="仿宋_GB2312" w:cs="Arial"/>
                <w:sz w:val="24"/>
              </w:rPr>
            </w:pPr>
          </w:p>
        </w:tc>
        <w:tc>
          <w:tcPr>
            <w:tcW w:w="2835" w:type="dxa"/>
            <w:shd w:val="clear" w:color="auto" w:fill="auto"/>
            <w:vAlign w:val="center"/>
          </w:tcPr>
          <w:p w14:paraId="028C3F3B">
            <w:pPr>
              <w:widowControl/>
              <w:jc w:val="center"/>
              <w:rPr>
                <w:rFonts w:ascii="仿宋_GB2312" w:hAnsi="Arial" w:eastAsia="仿宋_GB2312" w:cs="Arial"/>
                <w:sz w:val="24"/>
              </w:rPr>
            </w:pPr>
          </w:p>
        </w:tc>
      </w:tr>
    </w:tbl>
    <w:p w14:paraId="61290E92">
      <w:pPr>
        <w:rPr>
          <w:rFonts w:ascii="仿宋_GB2312" w:eastAsia="仿宋_GB2312"/>
          <w:w w:val="90"/>
          <w:sz w:val="28"/>
          <w:szCs w:val="28"/>
        </w:rPr>
      </w:pPr>
    </w:p>
    <w:p w14:paraId="00026B9E">
      <w:r>
        <w:rPr>
          <w:rFonts w:hint="eastAsia" w:ascii="仿宋_GB2312" w:eastAsia="仿宋_GB2312"/>
          <w:w w:val="90"/>
          <w:sz w:val="28"/>
          <w:szCs w:val="28"/>
        </w:rPr>
        <w:tab/>
      </w:r>
      <w:r>
        <w:rPr>
          <w:rFonts w:hint="eastAsia" w:ascii="仿宋_GB2312" w:eastAsia="仿宋_GB2312"/>
          <w:w w:val="90"/>
          <w:sz w:val="28"/>
          <w:szCs w:val="28"/>
        </w:rPr>
        <w:t>附证明材料。</w:t>
      </w:r>
    </w:p>
    <w:p w14:paraId="3E889032">
      <w:pPr>
        <w:tabs>
          <w:tab w:val="left" w:pos="425"/>
        </w:tabs>
        <w:spacing w:after="120" w:line="480" w:lineRule="atLeast"/>
        <w:ind w:firstLine="420" w:firstLineChars="200"/>
      </w:pPr>
    </w:p>
    <w:p w14:paraId="2DAC9BE8">
      <w:pPr>
        <w:ind w:firstLine="420" w:firstLineChars="200"/>
      </w:pPr>
    </w:p>
    <w:p w14:paraId="27CF84F7">
      <w:pPr>
        <w:pStyle w:val="11"/>
      </w:pPr>
    </w:p>
    <w:p w14:paraId="3B51CC5C"/>
    <w:p w14:paraId="1D544999"/>
    <w:p w14:paraId="2CCB5E3E">
      <w:pPr>
        <w:pStyle w:val="11"/>
      </w:pPr>
    </w:p>
    <w:p w14:paraId="29F31978"/>
    <w:p w14:paraId="07E3C854">
      <w:pPr>
        <w:pStyle w:val="2"/>
        <w:numPr>
          <w:ilvl w:val="255"/>
          <w:numId w:val="0"/>
        </w:numPr>
        <w:rPr>
          <w:rFonts w:ascii="仿宋_GB2312" w:hAnsi="宋体" w:eastAsia="仿宋_GB2312"/>
          <w:b/>
          <w:sz w:val="28"/>
          <w:szCs w:val="28"/>
        </w:rPr>
        <w:sectPr>
          <w:pgSz w:w="11906" w:h="16838"/>
          <w:pgMar w:top="1418" w:right="1418" w:bottom="1134" w:left="1418" w:header="851" w:footer="992" w:gutter="0"/>
          <w:cols w:space="720" w:num="1"/>
          <w:docGrid w:type="lines" w:linePitch="312" w:charSpace="0"/>
        </w:sectPr>
      </w:pPr>
    </w:p>
    <w:p w14:paraId="2E480672">
      <w:pPr>
        <w:pStyle w:val="2"/>
        <w:numPr>
          <w:ilvl w:val="255"/>
          <w:numId w:val="0"/>
        </w:numPr>
        <w:rPr>
          <w:rFonts w:ascii="仿宋_GB2312" w:hAnsi="宋体" w:eastAsia="仿宋_GB2312"/>
          <w:b/>
          <w:sz w:val="28"/>
          <w:szCs w:val="28"/>
        </w:rPr>
      </w:pPr>
      <w:r>
        <w:rPr>
          <w:rFonts w:hint="eastAsia" w:ascii="仿宋_GB2312" w:hAnsi="宋体" w:eastAsia="仿宋_GB2312"/>
          <w:b/>
          <w:sz w:val="28"/>
          <w:szCs w:val="28"/>
        </w:rPr>
        <w:t>附件3：相关人员清单（格式）</w:t>
      </w:r>
    </w:p>
    <w:tbl>
      <w:tblPr>
        <w:tblStyle w:val="8"/>
        <w:tblpPr w:leftFromText="180" w:rightFromText="180" w:vertAnchor="page" w:horzAnchor="margin" w:tblpXSpec="center" w:tblpY="2236"/>
        <w:tblW w:w="433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5"/>
        <w:gridCol w:w="1228"/>
        <w:gridCol w:w="1577"/>
        <w:gridCol w:w="2534"/>
        <w:gridCol w:w="1841"/>
      </w:tblGrid>
      <w:tr w14:paraId="07E8C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38" w:type="pct"/>
            <w:vAlign w:val="center"/>
          </w:tcPr>
          <w:p w14:paraId="4AD28572">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763" w:type="pct"/>
            <w:vAlign w:val="center"/>
          </w:tcPr>
          <w:p w14:paraId="2AF95383">
            <w:pPr>
              <w:widowControl/>
              <w:jc w:val="center"/>
              <w:rPr>
                <w:rFonts w:ascii="仿宋_GB2312" w:hAnsi="Arial" w:eastAsia="仿宋_GB2312" w:cs="Arial"/>
                <w:sz w:val="24"/>
              </w:rPr>
            </w:pPr>
            <w:r>
              <w:rPr>
                <w:rFonts w:hint="eastAsia" w:ascii="仿宋_GB2312" w:hAnsi="Arial" w:eastAsia="仿宋_GB2312" w:cs="Arial"/>
                <w:sz w:val="24"/>
              </w:rPr>
              <w:t>姓名</w:t>
            </w:r>
          </w:p>
        </w:tc>
        <w:tc>
          <w:tcPr>
            <w:tcW w:w="980" w:type="pct"/>
            <w:vAlign w:val="center"/>
          </w:tcPr>
          <w:p w14:paraId="416FF6D6">
            <w:pPr>
              <w:widowControl/>
              <w:jc w:val="center"/>
              <w:rPr>
                <w:rFonts w:ascii="仿宋_GB2312" w:hAnsi="Arial" w:eastAsia="仿宋_GB2312" w:cs="Arial"/>
                <w:sz w:val="24"/>
              </w:rPr>
            </w:pPr>
            <w:r>
              <w:rPr>
                <w:rFonts w:hint="eastAsia" w:ascii="仿宋_GB2312" w:hAnsi="Arial" w:eastAsia="仿宋_GB2312" w:cs="Arial"/>
                <w:sz w:val="24"/>
              </w:rPr>
              <w:t>学位</w:t>
            </w:r>
          </w:p>
        </w:tc>
        <w:tc>
          <w:tcPr>
            <w:tcW w:w="1575" w:type="pct"/>
            <w:vAlign w:val="center"/>
          </w:tcPr>
          <w:p w14:paraId="02335984">
            <w:pPr>
              <w:widowControl/>
              <w:jc w:val="center"/>
              <w:rPr>
                <w:rFonts w:ascii="仿宋_GB2312" w:hAnsi="Arial" w:eastAsia="仿宋_GB2312" w:cs="Arial"/>
                <w:sz w:val="24"/>
              </w:rPr>
            </w:pPr>
            <w:r>
              <w:rPr>
                <w:rFonts w:hint="eastAsia" w:ascii="仿宋_GB2312" w:hAnsi="Arial" w:eastAsia="仿宋_GB2312" w:cs="Arial"/>
                <w:sz w:val="24"/>
              </w:rPr>
              <w:t>职称</w:t>
            </w:r>
          </w:p>
        </w:tc>
        <w:tc>
          <w:tcPr>
            <w:tcW w:w="1144" w:type="pct"/>
            <w:vAlign w:val="center"/>
          </w:tcPr>
          <w:p w14:paraId="6DFC6367">
            <w:pPr>
              <w:widowControl/>
              <w:jc w:val="center"/>
              <w:rPr>
                <w:rFonts w:ascii="仿宋_GB2312" w:hAnsi="Arial" w:eastAsia="仿宋_GB2312" w:cs="Arial"/>
                <w:sz w:val="24"/>
              </w:rPr>
            </w:pPr>
            <w:r>
              <w:rPr>
                <w:rFonts w:hint="eastAsia" w:ascii="仿宋_GB2312" w:hAnsi="Arial" w:eastAsia="仿宋_GB2312" w:cs="Arial"/>
                <w:sz w:val="24"/>
              </w:rPr>
              <w:t>工作年限</w:t>
            </w:r>
          </w:p>
        </w:tc>
      </w:tr>
      <w:tr w14:paraId="464F2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538" w:type="pct"/>
            <w:vAlign w:val="center"/>
          </w:tcPr>
          <w:p w14:paraId="37A4849D">
            <w:pPr>
              <w:jc w:val="center"/>
              <w:rPr>
                <w:sz w:val="24"/>
              </w:rPr>
            </w:pPr>
            <w:r>
              <w:rPr>
                <w:rFonts w:hint="eastAsia"/>
                <w:sz w:val="24"/>
              </w:rPr>
              <w:t>1</w:t>
            </w:r>
          </w:p>
        </w:tc>
        <w:tc>
          <w:tcPr>
            <w:tcW w:w="763" w:type="pct"/>
            <w:vAlign w:val="center"/>
          </w:tcPr>
          <w:p w14:paraId="0A98C33E">
            <w:pPr>
              <w:jc w:val="center"/>
              <w:rPr>
                <w:b/>
                <w:bCs/>
                <w:sz w:val="24"/>
              </w:rPr>
            </w:pPr>
          </w:p>
        </w:tc>
        <w:tc>
          <w:tcPr>
            <w:tcW w:w="980" w:type="pct"/>
            <w:vAlign w:val="center"/>
          </w:tcPr>
          <w:p w14:paraId="20C9C3FF">
            <w:pPr>
              <w:jc w:val="center"/>
              <w:rPr>
                <w:sz w:val="24"/>
              </w:rPr>
            </w:pPr>
          </w:p>
        </w:tc>
        <w:tc>
          <w:tcPr>
            <w:tcW w:w="1575" w:type="pct"/>
            <w:vAlign w:val="center"/>
          </w:tcPr>
          <w:p w14:paraId="390E0D51">
            <w:pPr>
              <w:jc w:val="center"/>
              <w:rPr>
                <w:b/>
                <w:bCs/>
                <w:sz w:val="24"/>
              </w:rPr>
            </w:pPr>
          </w:p>
        </w:tc>
        <w:tc>
          <w:tcPr>
            <w:tcW w:w="1144" w:type="pct"/>
            <w:vAlign w:val="center"/>
          </w:tcPr>
          <w:p w14:paraId="393F8175">
            <w:pPr>
              <w:jc w:val="center"/>
              <w:rPr>
                <w:b/>
                <w:bCs/>
                <w:sz w:val="24"/>
              </w:rPr>
            </w:pPr>
          </w:p>
        </w:tc>
      </w:tr>
      <w:tr w14:paraId="35A70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538" w:type="pct"/>
            <w:vAlign w:val="center"/>
          </w:tcPr>
          <w:p w14:paraId="6727CD97">
            <w:pPr>
              <w:jc w:val="center"/>
              <w:rPr>
                <w:sz w:val="24"/>
              </w:rPr>
            </w:pPr>
            <w:r>
              <w:rPr>
                <w:rFonts w:hint="eastAsia"/>
                <w:sz w:val="24"/>
              </w:rPr>
              <w:t>2</w:t>
            </w:r>
          </w:p>
        </w:tc>
        <w:tc>
          <w:tcPr>
            <w:tcW w:w="763" w:type="pct"/>
            <w:vAlign w:val="center"/>
          </w:tcPr>
          <w:p w14:paraId="10BE5C5B">
            <w:pPr>
              <w:jc w:val="center"/>
              <w:rPr>
                <w:b/>
                <w:bCs/>
                <w:sz w:val="24"/>
              </w:rPr>
            </w:pPr>
          </w:p>
        </w:tc>
        <w:tc>
          <w:tcPr>
            <w:tcW w:w="980" w:type="pct"/>
            <w:vAlign w:val="center"/>
          </w:tcPr>
          <w:p w14:paraId="56595673">
            <w:pPr>
              <w:jc w:val="center"/>
              <w:rPr>
                <w:sz w:val="24"/>
              </w:rPr>
            </w:pPr>
          </w:p>
        </w:tc>
        <w:tc>
          <w:tcPr>
            <w:tcW w:w="1575" w:type="pct"/>
            <w:vAlign w:val="center"/>
          </w:tcPr>
          <w:p w14:paraId="6DC370D7">
            <w:pPr>
              <w:jc w:val="center"/>
              <w:rPr>
                <w:b/>
                <w:bCs/>
                <w:i/>
                <w:iCs/>
                <w:sz w:val="24"/>
              </w:rPr>
            </w:pPr>
          </w:p>
        </w:tc>
        <w:tc>
          <w:tcPr>
            <w:tcW w:w="1144" w:type="pct"/>
            <w:vAlign w:val="center"/>
          </w:tcPr>
          <w:p w14:paraId="1B26F375">
            <w:pPr>
              <w:jc w:val="center"/>
              <w:rPr>
                <w:b/>
                <w:bCs/>
                <w:i/>
                <w:iCs/>
                <w:sz w:val="24"/>
              </w:rPr>
            </w:pPr>
          </w:p>
        </w:tc>
      </w:tr>
      <w:tr w14:paraId="0B58C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14:paraId="174AF609">
            <w:pPr>
              <w:jc w:val="center"/>
              <w:rPr>
                <w:sz w:val="24"/>
              </w:rPr>
            </w:pPr>
            <w:r>
              <w:rPr>
                <w:rFonts w:hint="eastAsia"/>
                <w:sz w:val="24"/>
              </w:rPr>
              <w:t>3</w:t>
            </w:r>
          </w:p>
        </w:tc>
        <w:tc>
          <w:tcPr>
            <w:tcW w:w="763" w:type="pct"/>
            <w:vAlign w:val="center"/>
          </w:tcPr>
          <w:p w14:paraId="0EB32ABC">
            <w:pPr>
              <w:jc w:val="center"/>
              <w:rPr>
                <w:b/>
                <w:bCs/>
                <w:sz w:val="24"/>
              </w:rPr>
            </w:pPr>
          </w:p>
        </w:tc>
        <w:tc>
          <w:tcPr>
            <w:tcW w:w="980" w:type="pct"/>
            <w:vAlign w:val="center"/>
          </w:tcPr>
          <w:p w14:paraId="22DC1245">
            <w:pPr>
              <w:jc w:val="center"/>
              <w:rPr>
                <w:sz w:val="24"/>
              </w:rPr>
            </w:pPr>
          </w:p>
        </w:tc>
        <w:tc>
          <w:tcPr>
            <w:tcW w:w="1575" w:type="pct"/>
            <w:vAlign w:val="center"/>
          </w:tcPr>
          <w:p w14:paraId="65549164">
            <w:pPr>
              <w:jc w:val="center"/>
              <w:rPr>
                <w:b/>
                <w:bCs/>
                <w:i/>
                <w:iCs/>
                <w:sz w:val="24"/>
              </w:rPr>
            </w:pPr>
          </w:p>
        </w:tc>
        <w:tc>
          <w:tcPr>
            <w:tcW w:w="1144" w:type="pct"/>
            <w:vAlign w:val="center"/>
          </w:tcPr>
          <w:p w14:paraId="38B3E3E1">
            <w:pPr>
              <w:jc w:val="center"/>
              <w:rPr>
                <w:b/>
                <w:bCs/>
                <w:i/>
                <w:iCs/>
                <w:sz w:val="24"/>
              </w:rPr>
            </w:pPr>
          </w:p>
        </w:tc>
      </w:tr>
      <w:tr w14:paraId="7845D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14:paraId="4BCDE7EC">
            <w:pPr>
              <w:jc w:val="center"/>
              <w:rPr>
                <w:sz w:val="24"/>
              </w:rPr>
            </w:pPr>
            <w:r>
              <w:rPr>
                <w:rFonts w:hint="eastAsia"/>
                <w:sz w:val="24"/>
              </w:rPr>
              <w:t>.</w:t>
            </w:r>
            <w:r>
              <w:rPr>
                <w:sz w:val="24"/>
              </w:rPr>
              <w:t>..</w:t>
            </w:r>
          </w:p>
        </w:tc>
        <w:tc>
          <w:tcPr>
            <w:tcW w:w="763" w:type="pct"/>
            <w:vAlign w:val="center"/>
          </w:tcPr>
          <w:p w14:paraId="17BF4C22">
            <w:pPr>
              <w:jc w:val="center"/>
              <w:rPr>
                <w:b/>
                <w:bCs/>
                <w:sz w:val="24"/>
              </w:rPr>
            </w:pPr>
          </w:p>
        </w:tc>
        <w:tc>
          <w:tcPr>
            <w:tcW w:w="980" w:type="pct"/>
            <w:vAlign w:val="center"/>
          </w:tcPr>
          <w:p w14:paraId="713477BA">
            <w:pPr>
              <w:jc w:val="center"/>
              <w:rPr>
                <w:sz w:val="24"/>
              </w:rPr>
            </w:pPr>
          </w:p>
        </w:tc>
        <w:tc>
          <w:tcPr>
            <w:tcW w:w="1575" w:type="pct"/>
            <w:vAlign w:val="center"/>
          </w:tcPr>
          <w:p w14:paraId="179F76E5">
            <w:pPr>
              <w:jc w:val="center"/>
              <w:rPr>
                <w:b/>
                <w:bCs/>
                <w:i/>
                <w:iCs/>
                <w:sz w:val="24"/>
              </w:rPr>
            </w:pPr>
          </w:p>
        </w:tc>
        <w:tc>
          <w:tcPr>
            <w:tcW w:w="1144" w:type="pct"/>
            <w:vAlign w:val="center"/>
          </w:tcPr>
          <w:p w14:paraId="1B796476">
            <w:pPr>
              <w:jc w:val="center"/>
              <w:rPr>
                <w:b/>
                <w:bCs/>
                <w:i/>
                <w:iCs/>
                <w:sz w:val="24"/>
              </w:rPr>
            </w:pPr>
          </w:p>
        </w:tc>
      </w:tr>
    </w:tbl>
    <w:p w14:paraId="7E892DE0">
      <w:pPr>
        <w:rPr>
          <w:rFonts w:ascii="仿宋_GB2312" w:eastAsia="仿宋_GB2312"/>
          <w:w w:val="90"/>
          <w:sz w:val="28"/>
          <w:szCs w:val="28"/>
        </w:rPr>
      </w:pPr>
    </w:p>
    <w:p w14:paraId="27AA0D3B">
      <w:r>
        <w:rPr>
          <w:rFonts w:hint="eastAsia" w:ascii="仿宋_GB2312" w:eastAsia="仿宋_GB2312"/>
          <w:w w:val="90"/>
          <w:sz w:val="28"/>
          <w:szCs w:val="28"/>
        </w:rPr>
        <w:t>附证明材料。</w:t>
      </w:r>
    </w:p>
    <w:p w14:paraId="77F9D3E0">
      <w:pPr>
        <w:pStyle w:val="11"/>
      </w:pPr>
    </w:p>
    <w:p w14:paraId="755A4F40"/>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9715E"/>
    <w:multiLevelType w:val="multilevel"/>
    <w:tmpl w:val="4E59715E"/>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yMzNhNzI2MDBhNDE5N2I0ZjdhMmU3ZDljNmFjOTgifQ=="/>
  </w:docVars>
  <w:rsids>
    <w:rsidRoot w:val="00852516"/>
    <w:rsid w:val="00094EC9"/>
    <w:rsid w:val="00117E7E"/>
    <w:rsid w:val="001205F9"/>
    <w:rsid w:val="00142949"/>
    <w:rsid w:val="001451BF"/>
    <w:rsid w:val="00157439"/>
    <w:rsid w:val="0017759E"/>
    <w:rsid w:val="001C31AB"/>
    <w:rsid w:val="0029327F"/>
    <w:rsid w:val="002D4AE9"/>
    <w:rsid w:val="002E463A"/>
    <w:rsid w:val="002E6D64"/>
    <w:rsid w:val="002F1F1C"/>
    <w:rsid w:val="00336D07"/>
    <w:rsid w:val="00380E70"/>
    <w:rsid w:val="003A41E2"/>
    <w:rsid w:val="00403838"/>
    <w:rsid w:val="0042430D"/>
    <w:rsid w:val="00461AAD"/>
    <w:rsid w:val="00474E14"/>
    <w:rsid w:val="00483854"/>
    <w:rsid w:val="004B7484"/>
    <w:rsid w:val="004C1FE3"/>
    <w:rsid w:val="004E7DDD"/>
    <w:rsid w:val="005E00D3"/>
    <w:rsid w:val="00604EF6"/>
    <w:rsid w:val="0062707B"/>
    <w:rsid w:val="00672BC5"/>
    <w:rsid w:val="00682DA3"/>
    <w:rsid w:val="006B7419"/>
    <w:rsid w:val="00714F7A"/>
    <w:rsid w:val="007346D8"/>
    <w:rsid w:val="007731B9"/>
    <w:rsid w:val="007931F9"/>
    <w:rsid w:val="007E7343"/>
    <w:rsid w:val="008269DA"/>
    <w:rsid w:val="00852516"/>
    <w:rsid w:val="00872680"/>
    <w:rsid w:val="00885997"/>
    <w:rsid w:val="008B1BEE"/>
    <w:rsid w:val="008B5393"/>
    <w:rsid w:val="009A532A"/>
    <w:rsid w:val="009A6088"/>
    <w:rsid w:val="009D74B7"/>
    <w:rsid w:val="00A2087D"/>
    <w:rsid w:val="00A66C7D"/>
    <w:rsid w:val="00A92697"/>
    <w:rsid w:val="00AD193F"/>
    <w:rsid w:val="00B36780"/>
    <w:rsid w:val="00C01C78"/>
    <w:rsid w:val="00C26908"/>
    <w:rsid w:val="00C47FF0"/>
    <w:rsid w:val="00C85687"/>
    <w:rsid w:val="00C96167"/>
    <w:rsid w:val="00CB15FB"/>
    <w:rsid w:val="00CB642E"/>
    <w:rsid w:val="00CE00EB"/>
    <w:rsid w:val="00CE2ED3"/>
    <w:rsid w:val="00CE38F0"/>
    <w:rsid w:val="00CF0FE4"/>
    <w:rsid w:val="00D14C91"/>
    <w:rsid w:val="00D97CA5"/>
    <w:rsid w:val="00DA21F4"/>
    <w:rsid w:val="00E215C0"/>
    <w:rsid w:val="00EE2C79"/>
    <w:rsid w:val="00EF6146"/>
    <w:rsid w:val="00F3746E"/>
    <w:rsid w:val="00F46A77"/>
    <w:rsid w:val="00F940C4"/>
    <w:rsid w:val="00FA4E3A"/>
    <w:rsid w:val="00FE6274"/>
    <w:rsid w:val="013565B9"/>
    <w:rsid w:val="03122703"/>
    <w:rsid w:val="088A0E6D"/>
    <w:rsid w:val="0DAD75E6"/>
    <w:rsid w:val="13C91AA8"/>
    <w:rsid w:val="14DC63FE"/>
    <w:rsid w:val="17696212"/>
    <w:rsid w:val="19193E8E"/>
    <w:rsid w:val="271C492B"/>
    <w:rsid w:val="28855BC6"/>
    <w:rsid w:val="2ADE135B"/>
    <w:rsid w:val="2CC34E30"/>
    <w:rsid w:val="30A12166"/>
    <w:rsid w:val="34C04B85"/>
    <w:rsid w:val="369805C8"/>
    <w:rsid w:val="399724DB"/>
    <w:rsid w:val="3BC5702C"/>
    <w:rsid w:val="40320FC4"/>
    <w:rsid w:val="411732B0"/>
    <w:rsid w:val="461E4718"/>
    <w:rsid w:val="46315BF8"/>
    <w:rsid w:val="47584BB2"/>
    <w:rsid w:val="47993F84"/>
    <w:rsid w:val="4C38728A"/>
    <w:rsid w:val="4D602609"/>
    <w:rsid w:val="518C60C3"/>
    <w:rsid w:val="52076B27"/>
    <w:rsid w:val="5258041F"/>
    <w:rsid w:val="52D73B2D"/>
    <w:rsid w:val="54915121"/>
    <w:rsid w:val="5999038C"/>
    <w:rsid w:val="62EE2198"/>
    <w:rsid w:val="641A55BD"/>
    <w:rsid w:val="68D40024"/>
    <w:rsid w:val="69EA02D1"/>
    <w:rsid w:val="6D24486A"/>
    <w:rsid w:val="720B46F8"/>
    <w:rsid w:val="74D83457"/>
    <w:rsid w:val="7CAB1295"/>
    <w:rsid w:val="7E575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rFonts w:ascii="Calibri" w:hAnsi="Calibri"/>
      <w:kern w:val="0"/>
      <w:szCs w:val="20"/>
    </w:rPr>
  </w:style>
  <w:style w:type="paragraph" w:styleId="3">
    <w:name w:val="Body Text"/>
    <w:basedOn w:val="1"/>
    <w:next w:val="1"/>
    <w:link w:val="15"/>
    <w:qFormat/>
    <w:uiPriority w:val="99"/>
    <w:rPr>
      <w:rFonts w:ascii="Calibri" w:hAnsi="Calibri"/>
      <w:kern w:val="1"/>
    </w:rPr>
  </w:style>
  <w:style w:type="paragraph" w:styleId="4">
    <w:name w:val="Balloon Text"/>
    <w:basedOn w:val="1"/>
    <w:link w:val="17"/>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qFormat/>
    <w:uiPriority w:val="10"/>
    <w:pPr>
      <w:spacing w:before="240" w:after="60"/>
      <w:jc w:val="center"/>
      <w:outlineLvl w:val="0"/>
    </w:pPr>
    <w:rPr>
      <w:rFonts w:ascii="Cambria" w:hAnsi="Cambria"/>
      <w:b/>
      <w:bCs/>
      <w:sz w:val="32"/>
      <w:szCs w:val="32"/>
    </w:rPr>
  </w:style>
  <w:style w:type="character" w:styleId="10">
    <w:name w:val="Hyperlink"/>
    <w:qFormat/>
    <w:uiPriority w:val="0"/>
    <w:rPr>
      <w:color w:val="0563C1"/>
      <w:u w:val="single"/>
    </w:rPr>
  </w:style>
  <w:style w:type="paragraph" w:customStyle="1" w:styleId="11">
    <w:name w:val="目录 21"/>
    <w:basedOn w:val="1"/>
    <w:next w:val="1"/>
    <w:qFormat/>
    <w:uiPriority w:val="0"/>
    <w:pPr>
      <w:spacing w:before="100" w:beforeAutospacing="1" w:after="100" w:afterAutospacing="1"/>
      <w:ind w:left="420" w:leftChars="200"/>
    </w:pPr>
  </w:style>
  <w:style w:type="paragraph" w:styleId="12">
    <w:name w:val="List Paragraph"/>
    <w:basedOn w:val="1"/>
    <w:qFormat/>
    <w:uiPriority w:val="34"/>
    <w:pPr>
      <w:ind w:firstLine="420" w:firstLineChars="200"/>
    </w:pPr>
    <w:rPr>
      <w:rFonts w:ascii="Calibri" w:hAnsi="Calibri"/>
      <w:szCs w:val="22"/>
    </w:rPr>
  </w:style>
  <w:style w:type="character" w:customStyle="1" w:styleId="13">
    <w:name w:val="页眉 字符"/>
    <w:link w:val="6"/>
    <w:qFormat/>
    <w:uiPriority w:val="0"/>
    <w:rPr>
      <w:kern w:val="2"/>
      <w:sz w:val="18"/>
      <w:szCs w:val="18"/>
    </w:rPr>
  </w:style>
  <w:style w:type="character" w:customStyle="1" w:styleId="14">
    <w:name w:val="页脚 字符"/>
    <w:link w:val="5"/>
    <w:qFormat/>
    <w:uiPriority w:val="0"/>
    <w:rPr>
      <w:kern w:val="2"/>
      <w:sz w:val="18"/>
      <w:szCs w:val="18"/>
    </w:rPr>
  </w:style>
  <w:style w:type="character" w:customStyle="1" w:styleId="15">
    <w:name w:val="正文文本 字符"/>
    <w:link w:val="3"/>
    <w:qFormat/>
    <w:uiPriority w:val="99"/>
    <w:rPr>
      <w:rFonts w:ascii="Calibri" w:hAnsi="Calibri"/>
      <w:b/>
      <w:bCs/>
      <w:kern w:val="1"/>
      <w:sz w:val="32"/>
      <w:szCs w:val="32"/>
    </w:rPr>
  </w:style>
  <w:style w:type="character" w:customStyle="1" w:styleId="16">
    <w:name w:val="_Style 14"/>
    <w:semiHidden/>
    <w:unhideWhenUsed/>
    <w:uiPriority w:val="99"/>
    <w:rPr>
      <w:color w:val="605E5C"/>
      <w:shd w:val="clear" w:color="auto" w:fill="E1DFDD"/>
    </w:rPr>
  </w:style>
  <w:style w:type="character" w:customStyle="1" w:styleId="17">
    <w:name w:val="批注框文本 字符"/>
    <w:basedOn w:val="9"/>
    <w:link w:val="4"/>
    <w:qFormat/>
    <w:uiPriority w:val="0"/>
    <w:rPr>
      <w:kern w:val="2"/>
      <w:sz w:val="18"/>
      <w:szCs w:val="18"/>
    </w:rPr>
  </w:style>
  <w:style w:type="paragraph" w:customStyle="1" w:styleId="18">
    <w:name w:val="修订1"/>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2358</Words>
  <Characters>2518</Characters>
  <Lines>19</Lines>
  <Paragraphs>5</Paragraphs>
  <TotalTime>159</TotalTime>
  <ScaleCrop>false</ScaleCrop>
  <LinksUpToDate>false</LinksUpToDate>
  <CharactersWithSpaces>2521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2023-10-26T01:58:00Z</dcterms:created>
  <dc:creator>caocan</dc:creator>
  <cp:lastModifiedBy>雅俗共赏</cp:lastModifiedBy>
  <dcterms:modified xsi:type="dcterms:W3CDTF">2026-05-15T00:48:27Z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C27F239EF99E4F02BD05187A4A37DC92_13</vt:lpwstr>
  </property>
  <property fmtid="{D5CDD505-2E9C-101B-9397-08002B2CF9AE}" pid="4" name="KSOTemplateDocerSaveRecord">
    <vt:lpwstr>eyJoZGlkIjoiZDEwYjdkODZkZjJkNmFiNmEwMWMxZGEwNTBmZTczOTMiLCJ1c2VySWQiOiI2MzIxMTM5MzgifQ==</vt:lpwstr>
  </property>
</Properties>
</file>