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r>
        <w:rPr>
          <w:color w:val="auto"/>
        </w:rPr>
        <w:drawing>
          <wp:anchor distT="0" distB="0" distL="114300" distR="114300" simplePos="0" relativeHeight="251659264" behindDoc="1" locked="0" layoutInCell="1" allowOverlap="1">
            <wp:simplePos x="0" y="0"/>
            <wp:positionH relativeFrom="column">
              <wp:posOffset>-1118235</wp:posOffset>
            </wp:positionH>
            <wp:positionV relativeFrom="paragraph">
              <wp:posOffset>-823595</wp:posOffset>
            </wp:positionV>
            <wp:extent cx="7493000" cy="6257290"/>
            <wp:effectExtent l="0" t="0" r="5080" b="6350"/>
            <wp:wrapNone/>
            <wp:docPr id="3" name="图片 2"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未命名"/>
                    <pic:cNvPicPr>
                      <a:picLocks noChangeAspect="1"/>
                    </pic:cNvPicPr>
                  </pic:nvPicPr>
                  <pic:blipFill>
                    <a:blip r:embed="rId13"/>
                    <a:stretch>
                      <a:fillRect/>
                    </a:stretch>
                  </pic:blipFill>
                  <pic:spPr>
                    <a:xfrm>
                      <a:off x="0" y="0"/>
                      <a:ext cx="7493000" cy="6257290"/>
                    </a:xfrm>
                    <a:prstGeom prst="rect">
                      <a:avLst/>
                    </a:prstGeom>
                    <a:noFill/>
                    <a:ln>
                      <a:noFill/>
                    </a:ln>
                  </pic:spPr>
                </pic:pic>
              </a:graphicData>
            </a:graphic>
          </wp:anchor>
        </w:drawing>
      </w: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bookmarkStart w:id="15" w:name="_GoBack"/>
      <w:bookmarkEnd w:id="15"/>
      <w:r>
        <w:rPr>
          <w:color w:val="auto"/>
        </w:rP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192405</wp:posOffset>
                </wp:positionV>
                <wp:extent cx="6192520" cy="2376170"/>
                <wp:effectExtent l="0" t="0" r="0" b="0"/>
                <wp:wrapNone/>
                <wp:docPr id="5" name="矩形 5"/>
                <wp:cNvGraphicFramePr/>
                <a:graphic xmlns:a="http://schemas.openxmlformats.org/drawingml/2006/main">
                  <a:graphicData uri="http://schemas.microsoft.com/office/word/2010/wordprocessingShape">
                    <wps:wsp>
                      <wps:cNvSpPr/>
                      <wps:spPr>
                        <a:xfrm>
                          <a:off x="0" y="0"/>
                          <a:ext cx="6192520" cy="2376170"/>
                        </a:xfrm>
                        <a:prstGeom prst="rect">
                          <a:avLst/>
                        </a:prstGeom>
                        <a:noFill/>
                        <a:ln>
                          <a:noFill/>
                        </a:ln>
                      </wps:spPr>
                      <wps:txbx>
                        <w:txbxContent>
                          <w:p>
                            <w:pPr>
                              <w:pStyle w:val="2"/>
                              <w:numPr>
                                <w:ilvl w:val="0"/>
                                <w:numId w:val="0"/>
                              </w:numPr>
                              <w:ind w:leftChars="0"/>
                              <w:rPr>
                                <w:rFonts w:hint="eastAsia" w:ascii="黑体" w:hAnsi="黑体" w:eastAsia="黑体"/>
                                <w:b/>
                                <w:bCs/>
                                <w:color w:val="auto"/>
                                <w:sz w:val="52"/>
                                <w:szCs w:val="52"/>
                                <w:lang w:val="en-US" w:eastAsia="zh-CN"/>
                              </w:rPr>
                            </w:pPr>
                            <w:r>
                              <w:rPr>
                                <w:rFonts w:hint="eastAsia" w:ascii="黑体" w:hAnsi="黑体" w:eastAsia="黑体"/>
                                <w:b/>
                                <w:bCs/>
                                <w:color w:val="auto"/>
                                <w:sz w:val="52"/>
                                <w:szCs w:val="52"/>
                                <w:lang w:val="en-US" w:eastAsia="zh-CN"/>
                              </w:rPr>
                              <w:t>2026年云南电力试验研究院（集团）有限公司检验检测实验室信息管理系统集成接入南方电网数字身份与访问管理平台服务</w:t>
                            </w:r>
                          </w:p>
                          <w:p>
                            <w:pPr>
                              <w:ind w:firstLine="0" w:firstLineChars="0"/>
                              <w:jc w:val="right"/>
                              <w:rPr>
                                <w:rFonts w:hint="eastAsia" w:ascii="黑体" w:hAnsi="黑体" w:eastAsia="黑体"/>
                                <w:b/>
                                <w:bCs/>
                                <w:color w:val="auto"/>
                                <w:sz w:val="52"/>
                                <w:szCs w:val="52"/>
                                <w:lang w:val="en-US" w:eastAsia="zh-CN"/>
                              </w:rPr>
                            </w:pPr>
                          </w:p>
                        </w:txbxContent>
                      </wps:txbx>
                      <wps:bodyPr upright="1"/>
                    </wps:wsp>
                  </a:graphicData>
                </a:graphic>
              </wp:anchor>
            </w:drawing>
          </mc:Choice>
          <mc:Fallback>
            <w:pict>
              <v:rect id="_x0000_s1026" o:spid="_x0000_s1026" o:spt="1" style="position:absolute;left:0pt;margin-left:-64.15pt;margin-top:15.15pt;height:187.1pt;width:487.6pt;z-index:251660288;mso-width-relative:page;mso-height-relative:page;" filled="f" stroked="f" coordsize="21600,21600" o:gfxdata="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Vk6+V9wAAAALAQAA&#10;DwAAAAAAAAABACAAAAAiAAAAZHJzL2Rvd25yZXYueG1sUEsBAhQAFAAAAAgAh07iQJj/xr+jAQAA&#10;QgMAAA4AAAAAAAAAAQAgAAAAKwEAAGRycy9lMm9Eb2MueG1sUEsFBgAAAAAGAAYAWQEAAEAFAAAA&#10;AA==&#10;">
                <v:fill on="f" focussize="0,0"/>
                <v:stroke on="f"/>
                <v:imagedata o:title=""/>
                <o:lock v:ext="edit" aspectratio="f"/>
                <v:textbox>
                  <w:txbxContent>
                    <w:p>
                      <w:pPr>
                        <w:pStyle w:val="2"/>
                        <w:numPr>
                          <w:ilvl w:val="0"/>
                          <w:numId w:val="0"/>
                        </w:numPr>
                        <w:ind w:leftChars="0"/>
                        <w:rPr>
                          <w:rFonts w:hint="eastAsia" w:ascii="黑体" w:hAnsi="黑体" w:eastAsia="黑体"/>
                          <w:b/>
                          <w:bCs/>
                          <w:color w:val="auto"/>
                          <w:sz w:val="52"/>
                          <w:szCs w:val="52"/>
                          <w:lang w:val="en-US" w:eastAsia="zh-CN"/>
                        </w:rPr>
                      </w:pPr>
                      <w:r>
                        <w:rPr>
                          <w:rFonts w:hint="eastAsia" w:ascii="黑体" w:hAnsi="黑体" w:eastAsia="黑体"/>
                          <w:b/>
                          <w:bCs/>
                          <w:color w:val="auto"/>
                          <w:sz w:val="52"/>
                          <w:szCs w:val="52"/>
                          <w:lang w:val="en-US" w:eastAsia="zh-CN"/>
                        </w:rPr>
                        <w:t>2026年云南电力试验研究院（集团）有限公司检验检测实验室信息管理系统集成接入南方电网数字身份与访问管理平台服务</w:t>
                      </w:r>
                    </w:p>
                    <w:p>
                      <w:pPr>
                        <w:ind w:firstLine="0" w:firstLineChars="0"/>
                        <w:jc w:val="right"/>
                        <w:rPr>
                          <w:rFonts w:hint="eastAsia" w:ascii="黑体" w:hAnsi="黑体" w:eastAsia="黑体"/>
                          <w:b/>
                          <w:bCs/>
                          <w:color w:val="auto"/>
                          <w:sz w:val="52"/>
                          <w:szCs w:val="52"/>
                          <w:lang w:val="en-US" w:eastAsia="zh-CN"/>
                        </w:rPr>
                      </w:pPr>
                    </w:p>
                  </w:txbxContent>
                </v:textbox>
              </v:rect>
            </w:pict>
          </mc:Fallback>
        </mc:AlternateContent>
      </w: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r>
        <w:rPr>
          <w:color w:val="auto"/>
        </w:rPr>
        <mc:AlternateContent>
          <mc:Choice Requires="wps">
            <w:drawing>
              <wp:anchor distT="0" distB="0" distL="114300" distR="114300" simplePos="0" relativeHeight="251661312" behindDoc="0" locked="0" layoutInCell="1" allowOverlap="1">
                <wp:simplePos x="0" y="0"/>
                <wp:positionH relativeFrom="column">
                  <wp:posOffset>-8255</wp:posOffset>
                </wp:positionH>
                <wp:positionV relativeFrom="paragraph">
                  <wp:posOffset>225425</wp:posOffset>
                </wp:positionV>
                <wp:extent cx="6205855" cy="753745"/>
                <wp:effectExtent l="0" t="0" r="0" b="0"/>
                <wp:wrapNone/>
                <wp:docPr id="4" name="文本框 4"/>
                <wp:cNvGraphicFramePr/>
                <a:graphic xmlns:a="http://schemas.openxmlformats.org/drawingml/2006/main">
                  <a:graphicData uri="http://schemas.microsoft.com/office/word/2010/wordprocessingShape">
                    <wps:wsp>
                      <wps:cNvSpPr txBox="1"/>
                      <wps:spPr>
                        <a:xfrm>
                          <a:off x="0" y="0"/>
                          <a:ext cx="6205855" cy="753745"/>
                        </a:xfrm>
                        <a:prstGeom prst="rect">
                          <a:avLst/>
                        </a:prstGeom>
                        <a:noFill/>
                        <a:ln>
                          <a:noFill/>
                        </a:ln>
                      </wps:spPr>
                      <wps:txbx>
                        <w:txbxContent>
                          <w:p>
                            <w:pPr>
                              <w:wordWrap w:val="0"/>
                              <w:ind w:right="981" w:firstLine="0" w:firstLineChars="0"/>
                              <w:jc w:val="right"/>
                              <w:rPr>
                                <w:rFonts w:hint="eastAsia" w:ascii="文鼎CS大黑" w:eastAsia="文鼎CS大黑"/>
                                <w:b/>
                                <w:color w:val="003B77"/>
                                <w:sz w:val="84"/>
                              </w:rPr>
                            </w:pPr>
                            <w:r>
                              <w:rPr>
                                <w:rFonts w:hint="eastAsia" w:ascii="方正粗宋简体" w:eastAsia="方正粗宋简体"/>
                                <w:b/>
                                <w:color w:val="000080"/>
                                <w:sz w:val="84"/>
                              </w:rPr>
                              <w:t xml:space="preserve">技术规范和服务标准 </w:t>
                            </w:r>
                          </w:p>
                        </w:txbxContent>
                      </wps:txbx>
                      <wps:bodyPr upright="1"/>
                    </wps:wsp>
                  </a:graphicData>
                </a:graphic>
              </wp:anchor>
            </w:drawing>
          </mc:Choice>
          <mc:Fallback>
            <w:pict>
              <v:shape id="_x0000_s1026" o:spid="_x0000_s1026" o:spt="202" type="#_x0000_t202" style="position:absolute;left:0pt;margin-left:-0.65pt;margin-top:17.75pt;height:59.35pt;width:488.65pt;z-index:251661312;mso-width-relative:page;mso-height-relative:page;" filled="f" stroked="f" coordsize="21600,21600" o:gfxdata="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aJu4NcA&#10;AAAJAQAADwAAAAAAAAABACAAAAAiAAAAZHJzL2Rvd25yZXYueG1sUEsBAhQAFAAAAAgAh07iQATM&#10;R7uuAQAATgMAAA4AAAAAAAAAAQAgAAAAJgEAAGRycy9lMm9Eb2MueG1sUEsFBgAAAAAGAAYAWQEA&#10;AEYFAAAAAA==&#10;">
                <v:fill on="f" focussize="0,0"/>
                <v:stroke on="f"/>
                <v:imagedata o:title=""/>
                <o:lock v:ext="edit" aspectratio="f"/>
                <v:textbox>
                  <w:txbxContent>
                    <w:p>
                      <w:pPr>
                        <w:wordWrap w:val="0"/>
                        <w:ind w:right="981" w:firstLine="0" w:firstLineChars="0"/>
                        <w:jc w:val="right"/>
                        <w:rPr>
                          <w:rFonts w:hint="eastAsia" w:ascii="文鼎CS大黑" w:eastAsia="文鼎CS大黑"/>
                          <w:b/>
                          <w:color w:val="003B77"/>
                          <w:sz w:val="84"/>
                        </w:rPr>
                      </w:pPr>
                      <w:r>
                        <w:rPr>
                          <w:rFonts w:hint="eastAsia" w:ascii="方正粗宋简体" w:eastAsia="方正粗宋简体"/>
                          <w:b/>
                          <w:color w:val="000080"/>
                          <w:sz w:val="84"/>
                        </w:rPr>
                        <w:t xml:space="preserve">技术规范和服务标准 </w:t>
                      </w:r>
                    </w:p>
                  </w:txbxContent>
                </v:textbox>
              </v:shape>
            </w:pict>
          </mc:Fallback>
        </mc:AlternateContent>
      </w: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p>
    <w:p>
      <w:pPr>
        <w:pageBreakBefore w:val="0"/>
        <w:kinsoku/>
        <w:wordWrap/>
        <w:overflowPunct/>
        <w:topLinePunct w:val="0"/>
        <w:autoSpaceDE/>
        <w:autoSpaceDN/>
        <w:bidi w:val="0"/>
        <w:spacing w:line="360" w:lineRule="auto"/>
        <w:ind w:firstLine="0" w:firstLineChars="0"/>
        <w:jc w:val="center"/>
        <w:textAlignment w:val="auto"/>
        <w:rPr>
          <w:rFonts w:ascii="方正小标宋_GBK" w:hAnsi="方正小标宋_GBK" w:eastAsia="方正小标宋_GBK" w:cs="方正小标宋_GBK"/>
          <w:color w:val="auto"/>
          <w:sz w:val="36"/>
          <w:szCs w:val="44"/>
        </w:rPr>
      </w:pPr>
    </w:p>
    <w:p>
      <w:pPr>
        <w:pageBreakBefore w:val="0"/>
        <w:kinsoku/>
        <w:wordWrap/>
        <w:overflowPunct/>
        <w:topLinePunct w:val="0"/>
        <w:autoSpaceDE/>
        <w:autoSpaceDN/>
        <w:bidi w:val="0"/>
        <w:spacing w:line="360" w:lineRule="auto"/>
        <w:ind w:firstLine="643"/>
        <w:jc w:val="center"/>
        <w:textAlignment w:val="auto"/>
        <w:rPr>
          <w:rFonts w:hint="eastAsia"/>
          <w:b/>
          <w:bCs/>
          <w:color w:val="auto"/>
          <w:sz w:val="32"/>
          <w:szCs w:val="32"/>
        </w:rPr>
      </w:pPr>
      <w:r>
        <w:rPr>
          <w:rFonts w:hint="eastAsia"/>
          <w:b/>
          <w:bCs/>
          <w:color w:val="auto"/>
          <w:sz w:val="32"/>
          <w:szCs w:val="32"/>
        </w:rPr>
        <w:t>云南电力试验研究院（集团）有限公司</w:t>
      </w:r>
    </w:p>
    <w:p>
      <w:pPr>
        <w:pageBreakBefore w:val="0"/>
        <w:kinsoku/>
        <w:wordWrap/>
        <w:overflowPunct/>
        <w:topLinePunct w:val="0"/>
        <w:autoSpaceDE/>
        <w:autoSpaceDN/>
        <w:bidi w:val="0"/>
        <w:spacing w:line="360" w:lineRule="auto"/>
        <w:ind w:firstLine="562"/>
        <w:jc w:val="center"/>
        <w:textAlignment w:val="auto"/>
        <w:rPr>
          <w:rFonts w:hint="eastAsia" w:cs="宋体"/>
          <w:b/>
          <w:color w:val="auto"/>
          <w:sz w:val="28"/>
          <w:szCs w:val="28"/>
        </w:rPr>
      </w:pPr>
      <w:r>
        <w:rPr>
          <w:rFonts w:hint="eastAsia" w:cs="宋体"/>
          <w:b/>
          <w:color w:val="auto"/>
          <w:sz w:val="28"/>
          <w:szCs w:val="28"/>
        </w:rPr>
        <w:t>20</w:t>
      </w:r>
      <w:r>
        <w:rPr>
          <w:rFonts w:hint="eastAsia" w:cs="宋体"/>
          <w:b/>
          <w:color w:val="auto"/>
          <w:sz w:val="28"/>
          <w:szCs w:val="28"/>
          <w:lang w:val="en-US" w:eastAsia="zh-CN"/>
        </w:rPr>
        <w:t>26</w:t>
      </w:r>
      <w:r>
        <w:rPr>
          <w:rFonts w:hint="eastAsia" w:cs="宋体"/>
          <w:b/>
          <w:color w:val="auto"/>
          <w:sz w:val="28"/>
          <w:szCs w:val="28"/>
        </w:rPr>
        <w:t>年</w:t>
      </w:r>
      <w:r>
        <w:rPr>
          <w:rFonts w:hint="eastAsia" w:cs="宋体"/>
          <w:b/>
          <w:color w:val="auto"/>
          <w:sz w:val="28"/>
          <w:szCs w:val="28"/>
          <w:lang w:val="en-US" w:eastAsia="zh-CN"/>
        </w:rPr>
        <w:t>4</w:t>
      </w:r>
      <w:r>
        <w:rPr>
          <w:rFonts w:hint="eastAsia" w:cs="宋体"/>
          <w:b/>
          <w:color w:val="auto"/>
          <w:sz w:val="28"/>
          <w:szCs w:val="28"/>
        </w:rPr>
        <w:t>月</w:t>
      </w:r>
    </w:p>
    <w:p>
      <w:pPr>
        <w:pageBreakBefore w:val="0"/>
        <w:widowControl/>
        <w:kinsoku/>
        <w:wordWrap/>
        <w:overflowPunct/>
        <w:topLinePunct w:val="0"/>
        <w:autoSpaceDE/>
        <w:autoSpaceDN/>
        <w:bidi w:val="0"/>
        <w:spacing w:before="360" w:after="360" w:line="360" w:lineRule="auto"/>
        <w:ind w:firstLine="643"/>
        <w:jc w:val="center"/>
        <w:textAlignment w:val="auto"/>
        <w:rPr>
          <w:rFonts w:hint="eastAsia" w:ascii="黑体" w:hAnsi="黑体" w:eastAsia="黑体" w:cs="黑体"/>
          <w:b/>
          <w:color w:val="auto"/>
          <w:kern w:val="0"/>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p>
    <w:p>
      <w:pPr>
        <w:keepNext/>
        <w:keepLines/>
        <w:pageBreakBefore w:val="0"/>
        <w:widowControl/>
        <w:numPr>
          <w:ilvl w:val="0"/>
          <w:numId w:val="2"/>
        </w:numPr>
        <w:kinsoku/>
        <w:wordWrap/>
        <w:overflowPunct/>
        <w:topLinePunct w:val="0"/>
        <w:autoSpaceDE/>
        <w:autoSpaceDN/>
        <w:bidi w:val="0"/>
        <w:spacing w:before="50" w:beforeLines="50" w:after="50" w:afterLines="50" w:line="360" w:lineRule="auto"/>
        <w:ind w:left="425" w:leftChars="0" w:hanging="425" w:firstLineChars="0"/>
        <w:jc w:val="left"/>
        <w:textAlignment w:val="auto"/>
        <w:outlineLvl w:val="0"/>
        <w:rPr>
          <w:rFonts w:hint="eastAsia" w:ascii="仿宋" w:hAnsi="仿宋" w:eastAsia="仿宋" w:cs="仿宋"/>
          <w:b/>
          <w:bCs/>
          <w:color w:val="auto"/>
          <w:kern w:val="44"/>
          <w:sz w:val="24"/>
          <w:szCs w:val="24"/>
          <w:highlight w:val="none"/>
          <w:lang w:val="en-US" w:eastAsia="zh-CN" w:bidi="ar-SA"/>
        </w:rPr>
      </w:pPr>
      <w:r>
        <w:rPr>
          <w:rFonts w:hint="eastAsia" w:ascii="仿宋" w:hAnsi="仿宋" w:eastAsia="仿宋" w:cs="仿宋"/>
          <w:b/>
          <w:bCs/>
          <w:color w:val="auto"/>
          <w:kern w:val="44"/>
          <w:sz w:val="24"/>
          <w:szCs w:val="24"/>
          <w:highlight w:val="none"/>
          <w:lang w:val="en-US" w:eastAsia="zh-CN" w:bidi="ar-SA"/>
        </w:rPr>
        <w:t>项目概要</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为保障检测部实验室信息化系统平稳运行，现需招标服务商提供可靠的</w:t>
      </w:r>
      <w:r>
        <w:rPr>
          <w:rFonts w:hint="eastAsia" w:ascii="仿宋" w:hAnsi="仿宋" w:eastAsia="仿宋" w:cs="仿宋"/>
          <w:color w:val="000000"/>
          <w:sz w:val="24"/>
          <w:szCs w:val="24"/>
          <w:highlight w:val="none"/>
        </w:rPr>
        <w:t>接入数字身份与访问管理平台</w:t>
      </w:r>
      <w:r>
        <w:rPr>
          <w:rFonts w:hint="eastAsia" w:ascii="仿宋" w:hAnsi="仿宋" w:eastAsia="仿宋" w:cs="仿宋"/>
          <w:color w:val="000000"/>
          <w:sz w:val="24"/>
          <w:szCs w:val="24"/>
          <w:highlight w:val="none"/>
          <w:lang w:val="en-US" w:eastAsia="zh-CN"/>
        </w:rPr>
        <w:t>服务</w:t>
      </w:r>
    </w:p>
    <w:p>
      <w:pPr>
        <w:keepNext/>
        <w:keepLines/>
        <w:pageBreakBefore w:val="0"/>
        <w:widowControl/>
        <w:numPr>
          <w:ilvl w:val="0"/>
          <w:numId w:val="2"/>
        </w:numPr>
        <w:kinsoku/>
        <w:wordWrap/>
        <w:overflowPunct/>
        <w:topLinePunct w:val="0"/>
        <w:autoSpaceDE/>
        <w:autoSpaceDN/>
        <w:bidi w:val="0"/>
        <w:spacing w:before="50" w:beforeLines="50" w:after="50" w:afterLines="50" w:line="360" w:lineRule="auto"/>
        <w:ind w:left="425" w:leftChars="0" w:hanging="425" w:firstLineChars="0"/>
        <w:jc w:val="left"/>
        <w:textAlignment w:val="auto"/>
        <w:outlineLvl w:val="0"/>
        <w:rPr>
          <w:rFonts w:hint="eastAsia" w:ascii="仿宋" w:hAnsi="仿宋" w:eastAsia="仿宋" w:cs="仿宋"/>
          <w:b/>
          <w:bCs/>
          <w:color w:val="auto"/>
          <w:kern w:val="44"/>
          <w:sz w:val="24"/>
          <w:szCs w:val="24"/>
          <w:highlight w:val="none"/>
          <w:lang w:val="en-US" w:eastAsia="zh-CN" w:bidi="ar-SA"/>
        </w:rPr>
      </w:pPr>
      <w:r>
        <w:rPr>
          <w:rFonts w:hint="eastAsia" w:ascii="仿宋" w:hAnsi="仿宋" w:eastAsia="仿宋" w:cs="仿宋"/>
          <w:b/>
          <w:bCs/>
          <w:color w:val="auto"/>
          <w:kern w:val="44"/>
          <w:sz w:val="24"/>
          <w:szCs w:val="24"/>
          <w:highlight w:val="none"/>
          <w:lang w:val="en-US" w:eastAsia="zh-CN" w:bidi="ar-SA"/>
        </w:rPr>
        <w:t>项目内容</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接入数字身份与访问管理平台实施服务，包括协助进行接入申请、需求对接、方案设计、集成测试、数据初始化、上线运行多个阶段，保质有序逐步完成业务应用的接入。</w:t>
      </w:r>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2"/>
        <w:rPr>
          <w:rFonts w:hint="eastAsia" w:ascii="仿宋" w:hAnsi="仿宋" w:eastAsia="仿宋" w:cs="仿宋"/>
          <w:b/>
          <w:bCs/>
          <w:color w:val="auto"/>
          <w:kern w:val="2"/>
          <w:sz w:val="24"/>
          <w:szCs w:val="24"/>
          <w:lang w:val="en-US" w:eastAsia="zh-CN" w:bidi="ar-SA"/>
        </w:rPr>
      </w:pPr>
      <w:bookmarkStart w:id="0" w:name="_Toc12619"/>
      <w:r>
        <w:rPr>
          <w:rFonts w:hint="eastAsia" w:ascii="仿宋" w:hAnsi="仿宋" w:eastAsia="仿宋" w:cs="仿宋"/>
          <w:b/>
          <w:bCs/>
          <w:color w:val="auto"/>
          <w:kern w:val="2"/>
          <w:sz w:val="24"/>
          <w:szCs w:val="24"/>
          <w:lang w:val="en-US" w:eastAsia="zh-CN" w:bidi="ar-SA"/>
        </w:rPr>
        <w:t>2.1接入申请</w:t>
      </w:r>
      <w:bookmarkEnd w:id="0"/>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1.对业务应用接入申请提供支持服务，沟通接入业务应用的类型和功能，以及接入数字身份与访问控制服务的具体需求；</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2.指导业务应用管理员填写申请单，接收申请单并归档。</w:t>
      </w:r>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2"/>
        <w:rPr>
          <w:rFonts w:hint="eastAsia" w:ascii="仿宋" w:hAnsi="仿宋" w:eastAsia="仿宋" w:cs="仿宋"/>
          <w:b/>
          <w:bCs/>
          <w:color w:val="auto"/>
          <w:kern w:val="2"/>
          <w:sz w:val="24"/>
          <w:szCs w:val="24"/>
          <w:lang w:val="en-US" w:eastAsia="zh-CN" w:bidi="ar-SA"/>
        </w:rPr>
      </w:pPr>
      <w:bookmarkStart w:id="1" w:name="_Toc13081"/>
      <w:r>
        <w:rPr>
          <w:rFonts w:hint="eastAsia" w:ascii="仿宋" w:hAnsi="仿宋" w:eastAsia="仿宋" w:cs="仿宋"/>
          <w:b/>
          <w:bCs/>
          <w:color w:val="auto"/>
          <w:kern w:val="2"/>
          <w:sz w:val="24"/>
          <w:szCs w:val="24"/>
          <w:lang w:val="en-US" w:eastAsia="zh-CN" w:bidi="ar-SA"/>
        </w:rPr>
        <w:t>2.2需求调研分析</w:t>
      </w:r>
      <w:bookmarkEnd w:id="1"/>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在应用系统接入数字身份与访问控制中心前，需完成业务系统的接入需求分析。通过配合业务系统团队实施调研、数据分析与解读等关键过程，明确预对接的业务系统的详细技术情况、当前管理情况、业务需求情况等，以便进行业务系统的对接模型设计与应用。</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具体工作内容包括：</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 应用需求分析整体规划：明确需求分析详细计划，包括业务系统的用户和组织机构范围、数据同步方式、身份管理业务需求、认证业务需求业务系统管理需求等。</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 开展业务系统应用需求分析：根据需求分析方案，组织实施相应的需求分析活动，调研方式包括用户访谈、集中会议、问卷调查等。在实施调研过程中，至少需明确以下内容：</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A、分析业务系统的技术栈情况，包括业务系统采用的开发框架、开发语言、业务系统架构等。</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B、调研业务系统的身份认证现状：用户范围、组织数据范围、数据需求范围、认证方式需求、业务风险场景、风险模型匹配度、可提供的对接接口等。</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C、调研业务系统的技术支持情况：包括是否可改造，业务系统对于认证协议支持和风险管控需求情况等。</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 身份认证现状与规范符合情况分析：对收集到的数据进行分析和解读，提取有价值的信息，形成明确的业务系统调研结论，明确下一步的对接计划、对接建议及对接可能存在的困难等关键信息。</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 需求分析情况持续跟进反馈运营：根据需求分析结果，向相关部门提供反馈和建议，以改进数字身份与访问控制中心或优化运营服务。</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 归档数据：将收集到的数据进行归档和备份，以便日后查阅和使用。</w:t>
      </w:r>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2"/>
        <w:rPr>
          <w:rFonts w:hint="eastAsia" w:ascii="仿宋" w:hAnsi="仿宋" w:eastAsia="仿宋" w:cs="仿宋"/>
          <w:b/>
          <w:bCs/>
          <w:color w:val="auto"/>
          <w:kern w:val="2"/>
          <w:sz w:val="24"/>
          <w:szCs w:val="24"/>
          <w:lang w:val="en-US" w:eastAsia="zh-CN" w:bidi="ar-SA"/>
        </w:rPr>
      </w:pPr>
      <w:bookmarkStart w:id="2" w:name="_Toc9613"/>
      <w:r>
        <w:rPr>
          <w:rFonts w:hint="eastAsia" w:ascii="仿宋" w:hAnsi="仿宋" w:eastAsia="仿宋" w:cs="仿宋"/>
          <w:b/>
          <w:bCs/>
          <w:color w:val="auto"/>
          <w:kern w:val="2"/>
          <w:sz w:val="24"/>
          <w:szCs w:val="24"/>
          <w:lang w:val="en-US" w:eastAsia="zh-CN" w:bidi="ar-SA"/>
        </w:rPr>
        <w:t>2.3实施方案设计</w:t>
      </w:r>
      <w:bookmarkEnd w:id="2"/>
    </w:p>
    <w:p>
      <w:pPr>
        <w:keepNext w:val="0"/>
        <w:keepLines w:val="0"/>
        <w:pageBreakBefore w:val="0"/>
        <w:widowControl w:val="0"/>
        <w:tabs>
          <w:tab w:val="left" w:pos="1200"/>
        </w:tabs>
        <w:kinsoku/>
        <w:wordWrap/>
        <w:overflowPunct/>
        <w:topLinePunct w:val="0"/>
        <w:autoSpaceDE/>
        <w:autoSpaceDN/>
        <w:bidi w:val="0"/>
        <w:adjustRightInd/>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针对每个业务系统集成编写对接实施方案，基于业务系统的应用需求分析情况，完成身份模型、认证模型方案设计，包含对应用户范围、组织机构范围、岗位范围、功能权限范围、数据权限范围、数据同步需求、认证协议、认证方式、风险模型等。</w:t>
      </w:r>
    </w:p>
    <w:p>
      <w:pPr>
        <w:keepNext w:val="0"/>
        <w:keepLines w:val="0"/>
        <w:pageBreakBefore w:val="0"/>
        <w:widowControl w:val="0"/>
        <w:tabs>
          <w:tab w:val="left" w:pos="1200"/>
        </w:tabs>
        <w:kinsoku/>
        <w:wordWrap/>
        <w:overflowPunct/>
        <w:topLinePunct w:val="0"/>
        <w:autoSpaceDE/>
        <w:autoSpaceDN/>
        <w:bidi w:val="0"/>
        <w:adjustRightInd/>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具体工作内容包括：</w:t>
      </w:r>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3"/>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2.3.1明确集成业务场景</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1.身份管理模块，确认账号、组织机构、岗位、功能权限、数据权限等数据对象的同步需求；</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确认数据自动同步的机制，制定明确的供应规则，根据业务系统的需求，是否允许人工维护数据；</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确认人员的入、转、调、离、返聘、病休等业务场景与应用系统账号联动变更；</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确认是否存在外部用户，外部用户的管理方式；</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确认是否存在账号申请、变更、撤销、延期流程，沟通集成联动场景；</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确认机构的新增、上调、下移、合并、拆解、撤销等业务场景与应用系统机构联动变更；</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确认岗位的新增、变更、岗位挂任、撤销等业务场景与应用系统岗位联动变更；</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2.访问控制模块，确认用户认证登录公司应用、平台公司应用单点登录、公司数认平台与省级数认平台的互信、应用登出、会话超时、应急逃生等场景是否满足且指导应用系统侧的开发对应场景的认证判断逻辑；</w:t>
      </w:r>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3"/>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2.3.2基础数据供应设计</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1.设计身份数据（账号、组织机构、岗位、功能权限、数据权限等数据对象）同步范围和管理范围，明确每个对象的同步的属性，建立平台属性与业务属性的关系映射表；</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2.根据应用系统的数据实时性需求，明确同步不同类型的数据同步机制，确认数据同步时间周期（实时同步、定时T+1同步等）</w:t>
      </w:r>
      <w:r>
        <w:rPr>
          <w:rFonts w:hint="eastAsia" w:ascii="仿宋" w:hAnsi="仿宋" w:eastAsia="仿宋" w:cs="仿宋"/>
          <w:color w:val="000000"/>
          <w:sz w:val="24"/>
          <w:szCs w:val="24"/>
          <w:highlight w:val="none"/>
          <w:lang w:eastAsia="zh-CN"/>
        </w:rPr>
        <w:t>。</w:t>
      </w:r>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3"/>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2.3.3统一认证设计</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1.设计认证机制，根据Web端和移动端不同的认证与单点登录需求，提供不同的认证方案建议；</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2.明确认证接口，根据系统集成规范与应用系统明确调用哪些平台接口</w:t>
      </w:r>
      <w:r>
        <w:rPr>
          <w:rFonts w:hint="eastAsia" w:ascii="仿宋" w:hAnsi="仿宋" w:eastAsia="仿宋" w:cs="仿宋"/>
          <w:color w:val="000000"/>
          <w:sz w:val="24"/>
          <w:szCs w:val="24"/>
          <w:highlight w:val="none"/>
          <w:lang w:eastAsia="zh-CN"/>
        </w:rPr>
        <w:t>。</w:t>
      </w:r>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3"/>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2.3.4统一权限管理设计</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1.设计权限同步机制，根据应用系统的权限模型，分析权限管理对象（用户权限、管理员权限）；</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2.根据不同类型的管理对象设计对应权限管理场景，联系对应的业务人员明确权限管理现状与需求，提供对应的管理页面和功能建议；</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3.明确权限数据同步接口，根据系统集成规范与应用系统明确调用哪些平台接口；</w:t>
      </w:r>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3"/>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2.3.5风控审计设计</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1.根据应用系统侧的数据审计需求，设计提供对应的身份、权限管理统计数据；</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2.根据应用系统侧的安全审计需求，设计提供用户认证行为相关统计数据；</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3.根据应用系统侧的访问控制需求，设计风险策略、触发条件和对应措施（不处理、通知、阻断）；</w:t>
      </w:r>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3"/>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2.3.6应用存量数据现状与初始化方案设计</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1.沟通与收集应用系统存量的身份、权限等数据，沟通初始化方案，通过平台批量同步、定制程序回收、导出导入等方式进行完成存量数据收集；</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2.存量数据同步至平台后，平台通过与基准账号、基准组织、基准岗位等数据进行绑定，确认无法绑定数据的处理方案</w:t>
      </w:r>
      <w:r>
        <w:rPr>
          <w:rFonts w:hint="eastAsia" w:ascii="仿宋" w:hAnsi="仿宋" w:eastAsia="仿宋" w:cs="仿宋"/>
          <w:color w:val="000000"/>
          <w:sz w:val="24"/>
          <w:szCs w:val="24"/>
          <w:highlight w:val="none"/>
          <w:lang w:eastAsia="zh-CN"/>
        </w:rPr>
        <w:t>。</w:t>
      </w:r>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3"/>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2.3.7应用系统集成计划</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1.与应用系统侧沟通方案确认时间；</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2.确认联调时间；</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3.确认生产上线时间。</w:t>
      </w:r>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2"/>
        <w:rPr>
          <w:rFonts w:hint="eastAsia" w:ascii="仿宋" w:hAnsi="仿宋" w:eastAsia="仿宋" w:cs="仿宋"/>
          <w:b/>
          <w:bCs/>
          <w:color w:val="auto"/>
          <w:kern w:val="2"/>
          <w:sz w:val="24"/>
          <w:szCs w:val="24"/>
          <w:lang w:val="en-US" w:eastAsia="zh-CN" w:bidi="ar-SA"/>
        </w:rPr>
      </w:pPr>
      <w:bookmarkStart w:id="3" w:name="_Toc32204"/>
      <w:r>
        <w:rPr>
          <w:rFonts w:hint="eastAsia" w:ascii="仿宋" w:hAnsi="仿宋" w:eastAsia="仿宋" w:cs="仿宋"/>
          <w:b/>
          <w:bCs/>
          <w:color w:val="auto"/>
          <w:kern w:val="2"/>
          <w:sz w:val="24"/>
          <w:szCs w:val="24"/>
          <w:lang w:val="en-US" w:eastAsia="zh-CN" w:bidi="ar-SA"/>
        </w:rPr>
        <w:t>2.4系统接入联调测试</w:t>
      </w:r>
      <w:bookmarkEnd w:id="3"/>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3"/>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2.4.1环境准备</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1.网络策略梳理、申请开通、验证；</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.准备身份、认证的联调接口等。</w:t>
      </w:r>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3"/>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2.4.2集成联调测试</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1.根据应用系统集成需求与提单申请，在测试环境为业务系统完成应用注册生成应用集成ID与集成密钥提供给应用系统；</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2.完成身份数据同步配置，针对账号、机构和岗位等对象，创建与每个对象需要同步的属性映射配置，针对需要特殊处理转换的属性配置对应处理器；</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3.完成认证集成配置，提供对应认证接口的调用密钥给应用系统；</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.根据实施方案设计中确认的身份管理、统一认证业务场景准备联调测试用例；</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.数据同步联调，在平台侧配合完成联调用户、组织、岗位等数据的新增、删除、更新等场景，确保业务应用获取到的数据与数字身份与访问控制中心数据一致性，满足实施方案中的身份管理的需求场景；</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.统一认证对接联调，进行OAuth等认证协议对接，测试用户认证登录公司应用、平台公司应用单点登录、应用登出、会话超时等场景，满足实施方案的统一认证的需求场景；</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rPr>
        <w:t>.进行整体对接的测试，确保整体对接已完成，且性能、安全、质量等均达到南网要求。</w:t>
      </w:r>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2"/>
        <w:rPr>
          <w:rFonts w:hint="eastAsia" w:ascii="仿宋" w:hAnsi="仿宋" w:eastAsia="仿宋" w:cs="仿宋"/>
          <w:b/>
          <w:bCs/>
          <w:color w:val="auto"/>
          <w:kern w:val="2"/>
          <w:sz w:val="24"/>
          <w:szCs w:val="24"/>
          <w:lang w:val="en-US" w:eastAsia="zh-CN" w:bidi="ar-SA"/>
        </w:rPr>
      </w:pPr>
      <w:bookmarkStart w:id="4" w:name="_Toc24746"/>
      <w:r>
        <w:rPr>
          <w:rFonts w:hint="eastAsia" w:ascii="仿宋" w:hAnsi="仿宋" w:eastAsia="仿宋" w:cs="仿宋"/>
          <w:b/>
          <w:bCs/>
          <w:color w:val="auto"/>
          <w:kern w:val="2"/>
          <w:sz w:val="24"/>
          <w:szCs w:val="24"/>
          <w:lang w:val="en-US" w:eastAsia="zh-CN" w:bidi="ar-SA"/>
        </w:rPr>
        <w:t>2.5数据初始化</w:t>
      </w:r>
      <w:bookmarkEnd w:id="4"/>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3"/>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2.5.1数据初始化方案设计</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制定数据初始化方案，明确初始化数据的范围、初始化流程、数据对比分析规则、数据导入流程等，并通过评审。</w:t>
      </w:r>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3"/>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2.5.2数据梳理</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1.确认业务应用已使用的用户、组织、岗位数据范围及业务应用需要的数据范围、业务应用使用的组织机构树等；</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2.公司应用由于涉及全网用户使用，所以存量数据如果不准确，需要找分子公司的管理员进行数据的采集，明确最新的数据情况；</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3.梳理业务应用中是否存在无效数据、错误数据或需调整的数据等；</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4.确定数据的传输字段、范围，是否包含重要数据字段、敏感数据字段等；</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5.确认应用系统数据是否符合公司相关要求标准。</w:t>
      </w:r>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3"/>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2.5.3数据对比分析</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数字身份与访问控制中心、业务应用中均含有的用户、组织、岗位数据的关联、映射、匹配。</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对比业务应用的数据与平台的基准用户、基准组织、基准岗位的差异，提供给应用系统管理员进行确认并处理有问题的数据，双方确认最终有效数据。</w:t>
      </w:r>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3"/>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2.5.4数据导入</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根据确定的数据初始化方案，提供业务应用所需的数据。</w:t>
      </w:r>
    </w:p>
    <w:p>
      <w:pPr>
        <w:keepNext/>
        <w:keepLines/>
        <w:pageBreakBefore w:val="0"/>
        <w:widowControl/>
        <w:numPr>
          <w:ilvl w:val="0"/>
          <w:numId w:val="0"/>
        </w:numPr>
        <w:kinsoku/>
        <w:wordWrap/>
        <w:overflowPunct/>
        <w:topLinePunct w:val="0"/>
        <w:autoSpaceDE/>
        <w:autoSpaceDN/>
        <w:bidi w:val="0"/>
        <w:spacing w:before="50" w:beforeLines="50" w:after="50" w:afterLines="50" w:line="360" w:lineRule="auto"/>
        <w:ind w:leftChars="0"/>
        <w:jc w:val="left"/>
        <w:textAlignment w:val="auto"/>
        <w:outlineLvl w:val="2"/>
        <w:rPr>
          <w:rFonts w:hint="eastAsia" w:ascii="仿宋" w:hAnsi="仿宋" w:eastAsia="仿宋" w:cs="仿宋"/>
          <w:b/>
          <w:bCs/>
          <w:color w:val="auto"/>
          <w:kern w:val="2"/>
          <w:sz w:val="24"/>
          <w:szCs w:val="24"/>
          <w:lang w:val="en-US" w:eastAsia="zh-CN" w:bidi="ar-SA"/>
        </w:rPr>
      </w:pPr>
      <w:bookmarkStart w:id="5" w:name="_Toc17899"/>
      <w:r>
        <w:rPr>
          <w:rFonts w:hint="eastAsia" w:ascii="仿宋" w:hAnsi="仿宋" w:eastAsia="仿宋" w:cs="仿宋"/>
          <w:b/>
          <w:bCs/>
          <w:color w:val="auto"/>
          <w:kern w:val="2"/>
          <w:sz w:val="24"/>
          <w:szCs w:val="24"/>
          <w:lang w:val="en-US" w:eastAsia="zh-CN" w:bidi="ar-SA"/>
        </w:rPr>
        <w:t>2.6正式对接发布</w:t>
      </w:r>
      <w:bookmarkEnd w:id="5"/>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在系统对接测试完成后，由数字身份与访问控制中心运营服务团队配合业务系统团队完成业务系统对接的正式上线。在正式对接发布过程中，至少需包含正式对接发布协调、正式环境数据备份、正式环境配置调试、正式环境验证测试、上线与推广、监控与优化等工作内容，确保数字身份与访问控制中心每次发布的安全高效。</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 准备对接发布方案：由数字身份与访问控制中心技术团队与业务系统技术团队等准备发布方案，包括发布计划、发布执行内容、失败回滚方式等。</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 对接发布方案评审：协调相关信息安全各部门，对发布方案进行评审，确定系统的割接发布窗口时间，协调好相应的业务保障团队、安全保障团队等。</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 正式环境数据备份：在系统对接发布前，配合业务系统团队对数字身份与访问控制中心做好相关安全备份工作，降低对接发布安全风险，确保数据安全和完整。。</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 正式环境配置调试：根据系统对接方案、测试方案、测试报告等，配合业务系统团队在数字身份与访问控制中心正式环境进行配置调试。</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 正式环境验证测试：在正式环境配置调试完成后，配合业务系统团队对发布上线的业务系统认证、风控、权限等能力进行全面测试，对访问性进行测试、确保正式环境的发布上线质量。</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 上线与推广：正式上线后，对用户和业务系统相关人员进行指导，提高用户满意度和使用率。</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 监控与优化：监控正式对接发布上线后数字身份与访问控制中心运行情况，收集用户反馈和使用数据，分析系统性能和功能，对系统进行优化和改进，提高系统稳定性和性能。</w:t>
      </w:r>
    </w:p>
    <w:p>
      <w:pPr>
        <w:keepNext w:val="0"/>
        <w:keepLines w:val="0"/>
        <w:pageBreakBefore w:val="0"/>
        <w:widowControl w:val="0"/>
        <w:tabs>
          <w:tab w:val="left" w:pos="1200"/>
        </w:tabs>
        <w:kinsoku/>
        <w:wordWrap/>
        <w:overflowPunct/>
        <w:topLinePunct w:val="0"/>
        <w:autoSpaceDE/>
        <w:autoSpaceDN/>
        <w:bidi w:val="0"/>
        <w:adjustRightInd w:val="0"/>
        <w:snapToGrid w:val="0"/>
        <w:spacing w:before="50" w:beforeLines="0" w:after="50" w:afterLines="0" w:line="360" w:lineRule="auto"/>
        <w:ind w:lef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 发布上线记录总结：编写此次系统对接总结和文档，包括系统接口文档、测试文档、用户手册等，归档相关资料，方便后续维护和调整。</w:t>
      </w:r>
    </w:p>
    <w:p>
      <w:pPr>
        <w:pStyle w:val="30"/>
        <w:pageBreakBefore w:val="0"/>
        <w:numPr>
          <w:ilvl w:val="0"/>
          <w:numId w:val="2"/>
        </w:numPr>
        <w:kinsoku/>
        <w:wordWrap/>
        <w:overflowPunct/>
        <w:topLinePunct w:val="0"/>
        <w:autoSpaceDE/>
        <w:autoSpaceDN/>
        <w:bidi w:val="0"/>
        <w:spacing w:line="360" w:lineRule="auto"/>
        <w:ind w:left="0" w:leftChars="0" w:firstLine="420" w:firstLineChars="0"/>
        <w:textAlignment w:val="auto"/>
        <w:outlineLvl w:val="0"/>
        <w:rPr>
          <w:rFonts w:hint="eastAsia" w:ascii="仿宋" w:hAnsi="仿宋" w:eastAsia="仿宋" w:cs="仿宋"/>
          <w:sz w:val="24"/>
          <w:szCs w:val="24"/>
        </w:rPr>
      </w:pPr>
      <w:r>
        <w:rPr>
          <w:rFonts w:hint="eastAsia" w:cs="仿宋"/>
          <w:sz w:val="24"/>
          <w:szCs w:val="24"/>
          <w:lang w:val="en-US" w:eastAsia="zh-CN"/>
        </w:rPr>
        <w:t>其他</w:t>
      </w:r>
      <w:r>
        <w:rPr>
          <w:rFonts w:hint="eastAsia" w:ascii="仿宋" w:hAnsi="仿宋" w:eastAsia="仿宋" w:cs="仿宋"/>
          <w:sz w:val="24"/>
          <w:szCs w:val="24"/>
        </w:rPr>
        <w:t>要求</w:t>
      </w:r>
    </w:p>
    <w:p>
      <w:pPr>
        <w:pageBreakBefore w:val="0"/>
        <w:kinsoku/>
        <w:wordWrap/>
        <w:overflowPunct/>
        <w:topLinePunct w:val="0"/>
        <w:autoSpaceDE/>
        <w:autoSpaceDN/>
        <w:bidi w:val="0"/>
        <w:spacing w:before="320" w:after="120" w:line="360" w:lineRule="auto"/>
        <w:ind w:left="0"/>
        <w:jc w:val="left"/>
        <w:textAlignment w:val="auto"/>
        <w:outlineLvl w:val="1"/>
        <w:rPr>
          <w:rFonts w:hint="eastAsia" w:ascii="仿宋" w:hAnsi="仿宋" w:eastAsia="仿宋" w:cs="仿宋"/>
          <w:sz w:val="24"/>
          <w:szCs w:val="24"/>
        </w:rPr>
      </w:pPr>
      <w:bookmarkStart w:id="6" w:name="heading_0"/>
      <w:r>
        <w:rPr>
          <w:rFonts w:hint="eastAsia" w:ascii="仿宋" w:hAnsi="仿宋" w:eastAsia="仿宋" w:cs="仿宋"/>
          <w:b/>
          <w:sz w:val="24"/>
          <w:szCs w:val="24"/>
        </w:rPr>
        <w:t>3.1 总体要求</w:t>
      </w:r>
      <w:bookmarkEnd w:id="6"/>
    </w:p>
    <w:p>
      <w:pPr>
        <w:pageBreakBefore w:val="0"/>
        <w:numPr>
          <w:ilvl w:val="0"/>
          <w:numId w:val="3"/>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乙方提供的平台接入服务须完全满足甲方业务场景、接口规范、安全规范及本技术规范书全部要求，不存在功能缺失、性能瓶颈、安全漏洞及第三方版权纠纷，确保服务可正常落地、可长期稳定运行。</w:t>
      </w:r>
    </w:p>
    <w:p>
      <w:pPr>
        <w:pageBreakBefore w:val="0"/>
        <w:numPr>
          <w:ilvl w:val="0"/>
          <w:numId w:val="3"/>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所有交付成果（含接口文档、部署方案、运维手册等）须完整、准确、可落地，内容清晰易懂，可支撑甲方技术人员独立完成对接、运维及问题排查；因文档缺失、错误或模糊导致甲方无法验收、无法上线或运维困难的，由乙方承担全部责任。</w:t>
      </w:r>
    </w:p>
    <w:p>
      <w:pPr>
        <w:pageBreakBefore w:val="0"/>
        <w:numPr>
          <w:ilvl w:val="0"/>
          <w:numId w:val="3"/>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乙方须承诺服务稳定、连续、可靠，不得以任何形式变相降低服务质量、限制接口调用频次、附加额外收费项目，不得擅自变更服务标准或缩减服务范围。</w:t>
      </w:r>
    </w:p>
    <w:p>
      <w:pPr>
        <w:pageBreakBefore w:val="0"/>
        <w:numPr>
          <w:ilvl w:val="0"/>
          <w:numId w:val="3"/>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为保证服务质量，服务接入原则上应为原厂厂家（即南方电网数字身份与访问管理平台研发运维服务商）并提供响应证明材料。</w:t>
      </w:r>
    </w:p>
    <w:p>
      <w:pPr>
        <w:pageBreakBefore w:val="0"/>
        <w:kinsoku/>
        <w:wordWrap/>
        <w:overflowPunct/>
        <w:topLinePunct w:val="0"/>
        <w:autoSpaceDE/>
        <w:autoSpaceDN/>
        <w:bidi w:val="0"/>
        <w:spacing w:before="320" w:after="120" w:line="360" w:lineRule="auto"/>
        <w:ind w:left="0"/>
        <w:jc w:val="left"/>
        <w:textAlignment w:val="auto"/>
        <w:outlineLvl w:val="1"/>
        <w:rPr>
          <w:rFonts w:hint="eastAsia" w:ascii="仿宋" w:hAnsi="仿宋" w:eastAsia="仿宋" w:cs="仿宋"/>
          <w:sz w:val="24"/>
          <w:szCs w:val="24"/>
        </w:rPr>
      </w:pPr>
      <w:bookmarkStart w:id="7" w:name="heading_8"/>
      <w:r>
        <w:rPr>
          <w:rFonts w:hint="eastAsia" w:ascii="仿宋" w:hAnsi="仿宋" w:eastAsia="仿宋" w:cs="仿宋"/>
          <w:b/>
          <w:sz w:val="24"/>
          <w:szCs w:val="24"/>
          <w:lang w:eastAsia="zh-CN"/>
        </w:rPr>
        <w:t>3.2</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rPr>
        <w:t>售后与技术支持约束</w:t>
      </w:r>
      <w:bookmarkEnd w:id="7"/>
    </w:p>
    <w:p>
      <w:pPr>
        <w:pageBreakBefore w:val="0"/>
        <w:kinsoku/>
        <w:wordWrap/>
        <w:overflowPunct/>
        <w:topLinePunct w:val="0"/>
        <w:autoSpaceDE/>
        <w:autoSpaceDN/>
        <w:bidi w:val="0"/>
        <w:spacing w:before="300" w:after="120" w:line="360" w:lineRule="auto"/>
        <w:ind w:left="0"/>
        <w:jc w:val="left"/>
        <w:textAlignment w:val="auto"/>
        <w:outlineLvl w:val="2"/>
        <w:rPr>
          <w:rFonts w:hint="eastAsia" w:ascii="仿宋" w:hAnsi="仿宋" w:eastAsia="仿宋" w:cs="仿宋"/>
          <w:sz w:val="24"/>
          <w:szCs w:val="24"/>
        </w:rPr>
      </w:pPr>
      <w:bookmarkStart w:id="8" w:name="heading_9"/>
      <w:r>
        <w:rPr>
          <w:rFonts w:hint="eastAsia" w:ascii="仿宋" w:hAnsi="仿宋" w:eastAsia="仿宋" w:cs="仿宋"/>
          <w:b/>
          <w:sz w:val="24"/>
          <w:szCs w:val="24"/>
          <w:lang w:eastAsia="zh-CN"/>
        </w:rPr>
        <w:t>3.2.</w:t>
      </w:r>
      <w:r>
        <w:rPr>
          <w:rFonts w:hint="eastAsia" w:ascii="仿宋" w:hAnsi="仿宋" w:eastAsia="仿宋" w:cs="仿宋"/>
          <w:b/>
          <w:sz w:val="24"/>
          <w:szCs w:val="24"/>
        </w:rPr>
        <w:t>1 服务期内免费技术支持</w:t>
      </w:r>
      <w:bookmarkEnd w:id="8"/>
    </w:p>
    <w:p>
      <w:pPr>
        <w:pageBreakBefore w:val="0"/>
        <w:numPr>
          <w:ilvl w:val="0"/>
          <w:numId w:val="4"/>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服务期内，乙方须为甲方提供7×24小时远程技术支持，提供专属对接人及应急联系方式，确保甲方可随时联系到乙方技术人员。</w:t>
      </w:r>
    </w:p>
    <w:p>
      <w:pPr>
        <w:pageBreakBefore w:val="0"/>
        <w:numPr>
          <w:ilvl w:val="0"/>
          <w:numId w:val="4"/>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问题响应时效（按故障等级划分）：</w:t>
      </w:r>
    </w:p>
    <w:p>
      <w:pPr>
        <w:pageBreakBefore w:val="0"/>
        <w:numPr>
          <w:ilvl w:val="0"/>
          <w:numId w:val="5"/>
        </w:numPr>
        <w:kinsoku/>
        <w:wordWrap/>
        <w:overflowPunct/>
        <w:topLinePunct w:val="0"/>
        <w:autoSpaceDE/>
        <w:autoSpaceDN/>
        <w:bidi w:val="0"/>
        <w:spacing w:before="120" w:after="120" w:line="360" w:lineRule="auto"/>
        <w:ind w:left="420" w:leftChars="0" w:hanging="420"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严重故障（服务完全不可用、接口大面积报错、数据严重异常等影响甲方核心业务运行的问题）：15分钟内响应，2小时内完成故障定位，4小时内完成修复；若4小时内无法修复，须向甲方提交书面说明及临时解决方案，确保甲方业务最小化受损。</w:t>
      </w:r>
    </w:p>
    <w:p>
      <w:pPr>
        <w:pageBreakBefore w:val="0"/>
        <w:numPr>
          <w:ilvl w:val="0"/>
          <w:numId w:val="5"/>
        </w:numPr>
        <w:kinsoku/>
        <w:wordWrap/>
        <w:overflowPunct/>
        <w:topLinePunct w:val="0"/>
        <w:autoSpaceDE/>
        <w:autoSpaceDN/>
        <w:bidi w:val="0"/>
        <w:spacing w:before="120" w:after="120" w:line="360" w:lineRule="auto"/>
        <w:ind w:left="420" w:leftChars="0" w:hanging="420"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一般故障（单个接口偶发报错、非核心功能异常等不影响甲方核心业务的问题）：30分钟内响应，24小时内完成解决；逾期未解决的，须向甲方说明进展及预计解决时间。</w:t>
      </w:r>
    </w:p>
    <w:p>
      <w:pPr>
        <w:pageBreakBefore w:val="0"/>
        <w:numPr>
          <w:ilvl w:val="0"/>
          <w:numId w:val="4"/>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所有技术支持记录、故障处理过程、解决方案须留痕，形成书面记录（可电子档），定期提交甲方备案，未按时响应、未按要求留痕的，视为乙方违约。</w:t>
      </w:r>
    </w:p>
    <w:p>
      <w:pPr>
        <w:pageBreakBefore w:val="0"/>
        <w:kinsoku/>
        <w:wordWrap/>
        <w:overflowPunct/>
        <w:topLinePunct w:val="0"/>
        <w:autoSpaceDE/>
        <w:autoSpaceDN/>
        <w:bidi w:val="0"/>
        <w:spacing w:before="300" w:after="120" w:line="360" w:lineRule="auto"/>
        <w:ind w:left="0"/>
        <w:jc w:val="left"/>
        <w:textAlignment w:val="auto"/>
        <w:outlineLvl w:val="2"/>
        <w:rPr>
          <w:rFonts w:hint="eastAsia" w:ascii="仿宋" w:hAnsi="仿宋" w:eastAsia="仿宋" w:cs="仿宋"/>
          <w:sz w:val="24"/>
          <w:szCs w:val="24"/>
        </w:rPr>
      </w:pPr>
      <w:bookmarkStart w:id="9" w:name="heading_10"/>
      <w:r>
        <w:rPr>
          <w:rFonts w:hint="eastAsia" w:ascii="仿宋" w:hAnsi="仿宋" w:eastAsia="仿宋" w:cs="仿宋"/>
          <w:b/>
          <w:sz w:val="24"/>
          <w:szCs w:val="24"/>
          <w:lang w:eastAsia="zh-CN"/>
        </w:rPr>
        <w:t>3.2.</w:t>
      </w:r>
      <w:r>
        <w:rPr>
          <w:rFonts w:hint="eastAsia" w:ascii="仿宋" w:hAnsi="仿宋" w:eastAsia="仿宋" w:cs="仿宋"/>
          <w:b/>
          <w:sz w:val="24"/>
          <w:szCs w:val="24"/>
        </w:rPr>
        <w:t>2 BUG与缺陷修复</w:t>
      </w:r>
      <w:bookmarkEnd w:id="9"/>
    </w:p>
    <w:p>
      <w:pPr>
        <w:pageBreakBefore w:val="0"/>
        <w:numPr>
          <w:ilvl w:val="0"/>
          <w:numId w:val="6"/>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服务期内，所有因乙方服务本身存在的功能BUG、逻辑缺陷、安全漏洞，乙方均须免费修复，不得收取任何修复费用、服务费等额外费用。</w:t>
      </w:r>
    </w:p>
    <w:p>
      <w:pPr>
        <w:pageBreakBefore w:val="0"/>
        <w:numPr>
          <w:ilvl w:val="0"/>
          <w:numId w:val="6"/>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乙方不得将正常的BUG修复、缺陷整改归类为“需求变更”“二次开发”，变相向甲方收取费用；若甲方有新增需求或变更需求，双方另行协商确认。</w:t>
      </w:r>
    </w:p>
    <w:p>
      <w:pPr>
        <w:pageBreakBefore w:val="0"/>
        <w:kinsoku/>
        <w:wordWrap/>
        <w:overflowPunct/>
        <w:topLinePunct w:val="0"/>
        <w:autoSpaceDE/>
        <w:autoSpaceDN/>
        <w:bidi w:val="0"/>
        <w:spacing w:before="300" w:after="120" w:line="360" w:lineRule="auto"/>
        <w:ind w:left="0"/>
        <w:jc w:val="left"/>
        <w:textAlignment w:val="auto"/>
        <w:outlineLvl w:val="2"/>
        <w:rPr>
          <w:rFonts w:hint="eastAsia" w:ascii="仿宋" w:hAnsi="仿宋" w:eastAsia="仿宋" w:cs="仿宋"/>
          <w:sz w:val="24"/>
          <w:szCs w:val="24"/>
        </w:rPr>
      </w:pPr>
      <w:bookmarkStart w:id="10" w:name="heading_11"/>
      <w:r>
        <w:rPr>
          <w:rFonts w:hint="eastAsia" w:ascii="仿宋" w:hAnsi="仿宋" w:eastAsia="仿宋" w:cs="仿宋"/>
          <w:b/>
          <w:sz w:val="24"/>
          <w:szCs w:val="24"/>
          <w:lang w:eastAsia="zh-CN"/>
        </w:rPr>
        <w:t>3.2.</w:t>
      </w:r>
      <w:r>
        <w:rPr>
          <w:rFonts w:hint="eastAsia" w:ascii="仿宋" w:hAnsi="仿宋" w:eastAsia="仿宋" w:cs="仿宋"/>
          <w:b/>
          <w:sz w:val="24"/>
          <w:szCs w:val="24"/>
        </w:rPr>
        <w:t>3 接口兼容与版本升级保障</w:t>
      </w:r>
      <w:bookmarkEnd w:id="10"/>
    </w:p>
    <w:p>
      <w:pPr>
        <w:pageBreakBefore w:val="0"/>
        <w:numPr>
          <w:ilvl w:val="0"/>
          <w:numId w:val="7"/>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乙方若需对接口进行升级、调整调用策略、变更字段、修改加密机制等操作，须提前7个工作日以书面形式（邮件、盖章文件均可）通知甲方，明确升级内容、升级时间、兼容方案及可能产生的影响，并提供相应的技术支持，协助甲方完成适配调整。</w:t>
      </w:r>
    </w:p>
    <w:p>
      <w:pPr>
        <w:pageBreakBefore w:val="0"/>
        <w:numPr>
          <w:ilvl w:val="0"/>
          <w:numId w:val="7"/>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因乙方擅自进行接口升级、策略调整，未提前通知甲方，导致甲方系统异常、接口调用失败、业务中断的，乙方须立即回滚至原有版本，修复甲方系统异常，并承担由此产生的全部损失。</w:t>
      </w:r>
    </w:p>
    <w:p>
      <w:pPr>
        <w:pageBreakBefore w:val="0"/>
        <w:kinsoku/>
        <w:wordWrap/>
        <w:overflowPunct/>
        <w:topLinePunct w:val="0"/>
        <w:autoSpaceDE/>
        <w:autoSpaceDN/>
        <w:bidi w:val="0"/>
        <w:spacing w:before="300" w:after="120" w:line="360" w:lineRule="auto"/>
        <w:ind w:left="0"/>
        <w:jc w:val="left"/>
        <w:textAlignment w:val="auto"/>
        <w:outlineLvl w:val="2"/>
        <w:rPr>
          <w:rFonts w:hint="eastAsia" w:ascii="仿宋" w:hAnsi="仿宋" w:eastAsia="仿宋" w:cs="仿宋"/>
          <w:sz w:val="24"/>
          <w:szCs w:val="24"/>
        </w:rPr>
      </w:pPr>
      <w:bookmarkStart w:id="11" w:name="heading_12"/>
      <w:r>
        <w:rPr>
          <w:rFonts w:hint="eastAsia" w:ascii="仿宋" w:hAnsi="仿宋" w:eastAsia="仿宋" w:cs="仿宋"/>
          <w:b/>
          <w:sz w:val="24"/>
          <w:szCs w:val="24"/>
          <w:lang w:eastAsia="zh-CN"/>
        </w:rPr>
        <w:t>3.2.</w:t>
      </w:r>
      <w:r>
        <w:rPr>
          <w:rFonts w:hint="eastAsia" w:ascii="仿宋" w:hAnsi="仿宋" w:eastAsia="仿宋" w:cs="仿宋"/>
          <w:b/>
          <w:sz w:val="24"/>
          <w:szCs w:val="24"/>
        </w:rPr>
        <w:t>4 运维与监控配合</w:t>
      </w:r>
      <w:bookmarkEnd w:id="11"/>
    </w:p>
    <w:p>
      <w:pPr>
        <w:pageBreakBefore w:val="0"/>
        <w:numPr>
          <w:ilvl w:val="0"/>
          <w:numId w:val="8"/>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乙方须向甲方开放必要的监控视图、接口调用报表、异常日志、故障告警记录等，便于甲方实时查看服务运行状态、定位问题、核对数据。</w:t>
      </w:r>
    </w:p>
    <w:p>
      <w:pPr>
        <w:pageBreakBefore w:val="0"/>
        <w:numPr>
          <w:ilvl w:val="0"/>
          <w:numId w:val="8"/>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当甲方因业务排查、问题定位需要乙方提供相关日志、链路追踪信息、运维数据时，乙方须在1小时内配合提供，不得拒绝、拖延或隐瞒相关信息。</w:t>
      </w:r>
    </w:p>
    <w:p>
      <w:pPr>
        <w:pageBreakBefore w:val="0"/>
        <w:kinsoku/>
        <w:wordWrap/>
        <w:overflowPunct/>
        <w:topLinePunct w:val="0"/>
        <w:autoSpaceDE/>
        <w:autoSpaceDN/>
        <w:bidi w:val="0"/>
        <w:spacing w:before="300" w:after="120" w:line="360" w:lineRule="auto"/>
        <w:ind w:left="0"/>
        <w:jc w:val="left"/>
        <w:textAlignment w:val="auto"/>
        <w:outlineLvl w:val="2"/>
        <w:rPr>
          <w:rFonts w:hint="eastAsia" w:ascii="仿宋" w:hAnsi="仿宋" w:eastAsia="仿宋" w:cs="仿宋"/>
          <w:b/>
          <w:sz w:val="24"/>
          <w:szCs w:val="24"/>
          <w:lang w:eastAsia="zh-CN"/>
        </w:rPr>
      </w:pPr>
      <w:r>
        <w:rPr>
          <w:rFonts w:hint="eastAsia" w:ascii="仿宋" w:hAnsi="仿宋" w:eastAsia="仿宋" w:cs="仿宋"/>
          <w:b/>
          <w:sz w:val="24"/>
          <w:szCs w:val="24"/>
          <w:lang w:val="en-US" w:eastAsia="zh-CN"/>
        </w:rPr>
        <w:t>3.2.5</w:t>
      </w:r>
      <w:r>
        <w:rPr>
          <w:rFonts w:hint="eastAsia" w:ascii="仿宋" w:hAnsi="仿宋" w:eastAsia="仿宋" w:cs="仿宋"/>
          <w:b/>
          <w:sz w:val="24"/>
          <w:szCs w:val="24"/>
          <w:lang w:eastAsia="zh-CN"/>
        </w:rPr>
        <w:t>数据全量保障：</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乙方须确保甲方数据的安全、准确与一致性。若因乙方原因（含代码逻辑、操作失误、运维不当）导致甲方数据丢失、错账或不一致，乙方须在24小时内完成全额数据恢复，并承担由此造成的甲方直接经济损失。</w:t>
      </w:r>
    </w:p>
    <w:p>
      <w:pPr>
        <w:pageBreakBefore w:val="0"/>
        <w:kinsoku/>
        <w:wordWrap/>
        <w:overflowPunct/>
        <w:topLinePunct w:val="0"/>
        <w:autoSpaceDE/>
        <w:autoSpaceDN/>
        <w:bidi w:val="0"/>
        <w:spacing w:before="320" w:after="120" w:line="360" w:lineRule="auto"/>
        <w:ind w:left="0"/>
        <w:jc w:val="left"/>
        <w:textAlignment w:val="auto"/>
        <w:outlineLvl w:val="1"/>
        <w:rPr>
          <w:rFonts w:hint="eastAsia" w:ascii="仿宋" w:hAnsi="仿宋" w:eastAsia="仿宋" w:cs="仿宋"/>
          <w:sz w:val="24"/>
          <w:szCs w:val="24"/>
        </w:rPr>
      </w:pPr>
      <w:bookmarkStart w:id="12" w:name="heading_13"/>
      <w:r>
        <w:rPr>
          <w:rFonts w:hint="eastAsia" w:ascii="仿宋" w:hAnsi="仿宋" w:eastAsia="仿宋" w:cs="仿宋"/>
          <w:b/>
          <w:sz w:val="24"/>
          <w:szCs w:val="24"/>
        </w:rPr>
        <w:t>3.</w:t>
      </w:r>
      <w:r>
        <w:rPr>
          <w:rFonts w:hint="eastAsia" w:ascii="仿宋" w:hAnsi="仿宋" w:eastAsia="仿宋" w:cs="仿宋"/>
          <w:b/>
          <w:sz w:val="24"/>
          <w:szCs w:val="24"/>
          <w:lang w:val="en-US" w:eastAsia="zh-CN"/>
        </w:rPr>
        <w:t>3</w:t>
      </w:r>
      <w:r>
        <w:rPr>
          <w:rFonts w:hint="eastAsia" w:ascii="仿宋" w:hAnsi="仿宋" w:eastAsia="仿宋" w:cs="仿宋"/>
          <w:b/>
          <w:sz w:val="24"/>
          <w:szCs w:val="24"/>
        </w:rPr>
        <w:t xml:space="preserve"> 交付物</w:t>
      </w:r>
      <w:bookmarkEnd w:id="12"/>
    </w:p>
    <w:p>
      <w:pPr>
        <w:pageBreakBefore w:val="0"/>
        <w:numPr>
          <w:ilvl w:val="0"/>
          <w:numId w:val="0"/>
        </w:numPr>
        <w:kinsoku/>
        <w:wordWrap/>
        <w:overflowPunct/>
        <w:topLinePunct w:val="0"/>
        <w:autoSpaceDE/>
        <w:autoSpaceDN/>
        <w:bidi w:val="0"/>
        <w:spacing w:before="120" w:after="120" w:line="360" w:lineRule="auto"/>
        <w:ind w:leftChars="200"/>
        <w:jc w:val="left"/>
        <w:textAlignment w:val="auto"/>
        <w:rPr>
          <w:rFonts w:hint="eastAsia" w:ascii="仿宋" w:hAnsi="仿宋" w:eastAsia="仿宋" w:cs="仿宋"/>
          <w:sz w:val="24"/>
          <w:szCs w:val="24"/>
          <w:lang w:eastAsia="zh-CN"/>
        </w:rPr>
      </w:pPr>
      <w:bookmarkStart w:id="13" w:name="heading_14"/>
      <w:r>
        <w:rPr>
          <w:rFonts w:hint="eastAsia" w:ascii="仿宋" w:hAnsi="仿宋" w:eastAsia="仿宋" w:cs="仿宋"/>
          <w:sz w:val="24"/>
          <w:szCs w:val="24"/>
          <w:lang w:val="en-US" w:eastAsia="zh-CN"/>
        </w:rPr>
        <w:t>1.</w:t>
      </w:r>
      <w:r>
        <w:rPr>
          <w:rFonts w:hint="eastAsia" w:ascii="仿宋" w:hAnsi="仿宋" w:eastAsia="仿宋" w:cs="仿宋"/>
          <w:sz w:val="24"/>
          <w:szCs w:val="24"/>
        </w:rPr>
        <w:t>具体技术服务时间要求、验收</w:t>
      </w:r>
      <w:r>
        <w:rPr>
          <w:rFonts w:hint="eastAsia" w:ascii="仿宋" w:hAnsi="仿宋" w:eastAsia="仿宋" w:cs="仿宋"/>
          <w:sz w:val="24"/>
          <w:szCs w:val="24"/>
          <w:lang w:val="en-US" w:eastAsia="zh-CN"/>
        </w:rPr>
        <w:t>交付物</w:t>
      </w:r>
      <w:r>
        <w:rPr>
          <w:rFonts w:hint="eastAsia" w:ascii="仿宋" w:hAnsi="仿宋" w:eastAsia="仿宋" w:cs="仿宋"/>
          <w:sz w:val="24"/>
          <w:szCs w:val="24"/>
        </w:rPr>
        <w:t>、付款细节在合同中约定</w:t>
      </w:r>
      <w:r>
        <w:rPr>
          <w:rFonts w:hint="eastAsia" w:ascii="仿宋" w:hAnsi="仿宋" w:eastAsia="仿宋" w:cs="仿宋"/>
          <w:sz w:val="24"/>
          <w:szCs w:val="24"/>
          <w:lang w:eastAsia="zh-CN"/>
        </w:rPr>
        <w:t>。</w:t>
      </w:r>
    </w:p>
    <w:p>
      <w:pPr>
        <w:pageBreakBefore w:val="0"/>
        <w:numPr>
          <w:ilvl w:val="0"/>
          <w:numId w:val="0"/>
        </w:numPr>
        <w:kinsoku/>
        <w:wordWrap/>
        <w:overflowPunct/>
        <w:topLinePunct w:val="0"/>
        <w:autoSpaceDE/>
        <w:autoSpaceDN/>
        <w:bidi w:val="0"/>
        <w:spacing w:before="120" w:after="120" w:line="360" w:lineRule="auto"/>
        <w:ind w:leftChars="20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2.标的物</w:t>
      </w:r>
      <w:r>
        <w:rPr>
          <w:rFonts w:hint="eastAsia" w:ascii="仿宋" w:hAnsi="仿宋" w:eastAsia="仿宋" w:cs="仿宋"/>
          <w:color w:val="auto"/>
          <w:sz w:val="24"/>
          <w:szCs w:val="24"/>
          <w:highlight w:val="none"/>
        </w:rPr>
        <w:t>交货期限为：自签订该合同之日起</w:t>
      </w:r>
      <w:r>
        <w:rPr>
          <w:rFonts w:hint="eastAsia" w:ascii="仿宋" w:hAnsi="仿宋" w:eastAsia="仿宋" w:cs="仿宋"/>
          <w:color w:val="auto"/>
          <w:sz w:val="24"/>
          <w:szCs w:val="24"/>
          <w:highlight w:val="none"/>
          <w:u w:val="single"/>
          <w:lang w:val="en-US" w:eastAsia="zh-CN"/>
        </w:rPr>
        <w:t>90</w:t>
      </w:r>
      <w:r>
        <w:rPr>
          <w:rFonts w:hint="eastAsia" w:ascii="仿宋" w:hAnsi="仿宋" w:eastAsia="仿宋" w:cs="仿宋"/>
          <w:color w:val="auto"/>
          <w:sz w:val="24"/>
          <w:szCs w:val="24"/>
          <w:highlight w:val="none"/>
        </w:rPr>
        <w:t>天内完成。</w:t>
      </w:r>
    </w:p>
    <w:p>
      <w:pPr>
        <w:pageBreakBefore w:val="0"/>
        <w:kinsoku/>
        <w:wordWrap/>
        <w:overflowPunct/>
        <w:topLinePunct w:val="0"/>
        <w:autoSpaceDE/>
        <w:autoSpaceDN/>
        <w:bidi w:val="0"/>
        <w:spacing w:before="320" w:after="120" w:line="360" w:lineRule="auto"/>
        <w:ind w:left="0"/>
        <w:jc w:val="left"/>
        <w:textAlignment w:val="auto"/>
        <w:outlineLvl w:val="1"/>
        <w:rPr>
          <w:rFonts w:hint="eastAsia" w:ascii="仿宋" w:hAnsi="仿宋" w:eastAsia="仿宋" w:cs="仿宋"/>
          <w:sz w:val="24"/>
          <w:szCs w:val="24"/>
        </w:rPr>
      </w:pPr>
      <w:r>
        <w:rPr>
          <w:rFonts w:hint="eastAsia" w:ascii="仿宋" w:hAnsi="仿宋" w:eastAsia="仿宋" w:cs="仿宋"/>
          <w:b/>
          <w:sz w:val="24"/>
          <w:szCs w:val="24"/>
        </w:rPr>
        <w:t>3.</w:t>
      </w:r>
      <w:r>
        <w:rPr>
          <w:rFonts w:hint="eastAsia" w:ascii="仿宋" w:hAnsi="仿宋" w:eastAsia="仿宋" w:cs="仿宋"/>
          <w:b/>
          <w:sz w:val="24"/>
          <w:szCs w:val="24"/>
          <w:lang w:val="en-US" w:eastAsia="zh-CN"/>
        </w:rPr>
        <w:t>4</w:t>
      </w:r>
      <w:r>
        <w:rPr>
          <w:rFonts w:hint="eastAsia" w:ascii="仿宋" w:hAnsi="仿宋" w:eastAsia="仿宋" w:cs="仿宋"/>
          <w:b/>
          <w:sz w:val="24"/>
          <w:szCs w:val="24"/>
        </w:rPr>
        <w:t xml:space="preserve"> 违约责任</w:t>
      </w:r>
      <w:bookmarkEnd w:id="13"/>
    </w:p>
    <w:p>
      <w:pPr>
        <w:pageBreakBefore w:val="0"/>
        <w:numPr>
          <w:ilvl w:val="0"/>
          <w:numId w:val="9"/>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乙方未按本规范要求提供服务、接口接入不通、功能缺失、性能不达标、交付物不完整的，甲方有权暂缓付款、拒绝验收，要求乙方限期整改；整改后仍未达标的，甲方有权解除合同，并要求乙方承担违约责任。</w:t>
      </w:r>
    </w:p>
    <w:p>
      <w:pPr>
        <w:pageBreakBefore w:val="0"/>
        <w:numPr>
          <w:ilvl w:val="0"/>
          <w:numId w:val="9"/>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因乙方服务不稳定、数据错误、安全漏洞、售后不响应、擅自升级接口等原因，造成甲方业务中断、数据丢失、经济损失、客户投诉等问题的，乙方须承担全部赔偿责任，甲方有权根据损失情况追究乙方额外违约责任。</w:t>
      </w:r>
    </w:p>
    <w:p>
      <w:pPr>
        <w:pageBreakBefore w:val="0"/>
        <w:numPr>
          <w:ilvl w:val="0"/>
          <w:numId w:val="9"/>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乙方不得将本平台接入服务的核心部分转包、分包给第三方，不得擅自更换服务团队核心成员；一经发现，甲方有权立即终止合同，要求乙方承担全部损失，并追究违约责任。</w:t>
      </w:r>
    </w:p>
    <w:p>
      <w:pPr>
        <w:pageBreakBefore w:val="0"/>
        <w:numPr>
          <w:ilvl w:val="0"/>
          <w:numId w:val="9"/>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乙方违反本规范任何条款，未按要求履行责任的，甲方有权根据违约情况，扣除相应款项（按合同约定执行），情节严重的，终止合同并追索全部损失。</w:t>
      </w:r>
    </w:p>
    <w:p>
      <w:pPr>
        <w:pageBreakBefore w:val="0"/>
        <w:kinsoku/>
        <w:wordWrap/>
        <w:overflowPunct/>
        <w:topLinePunct w:val="0"/>
        <w:autoSpaceDE/>
        <w:autoSpaceDN/>
        <w:bidi w:val="0"/>
        <w:spacing w:before="320" w:after="120" w:line="360" w:lineRule="auto"/>
        <w:ind w:left="0"/>
        <w:jc w:val="left"/>
        <w:textAlignment w:val="auto"/>
        <w:outlineLvl w:val="1"/>
        <w:rPr>
          <w:rFonts w:hint="eastAsia" w:ascii="仿宋" w:hAnsi="仿宋" w:eastAsia="仿宋" w:cs="仿宋"/>
          <w:sz w:val="24"/>
          <w:szCs w:val="24"/>
        </w:rPr>
      </w:pPr>
      <w:bookmarkStart w:id="14" w:name="heading_15"/>
      <w:r>
        <w:rPr>
          <w:rFonts w:hint="eastAsia" w:ascii="仿宋" w:hAnsi="仿宋" w:eastAsia="仿宋" w:cs="仿宋"/>
          <w:b/>
          <w:sz w:val="24"/>
          <w:szCs w:val="24"/>
        </w:rPr>
        <w:t>3.</w:t>
      </w:r>
      <w:r>
        <w:rPr>
          <w:rFonts w:hint="eastAsia" w:ascii="仿宋" w:hAnsi="仿宋" w:eastAsia="仿宋" w:cs="仿宋"/>
          <w:b/>
          <w:sz w:val="24"/>
          <w:szCs w:val="24"/>
          <w:lang w:val="en-US" w:eastAsia="zh-CN"/>
        </w:rPr>
        <w:t>5</w:t>
      </w:r>
      <w:r>
        <w:rPr>
          <w:rFonts w:hint="eastAsia" w:ascii="仿宋" w:hAnsi="仿宋" w:eastAsia="仿宋" w:cs="仿宋"/>
          <w:b/>
          <w:sz w:val="24"/>
          <w:szCs w:val="24"/>
        </w:rPr>
        <w:t xml:space="preserve"> 补充说明</w:t>
      </w:r>
      <w:bookmarkEnd w:id="14"/>
    </w:p>
    <w:p>
      <w:pPr>
        <w:pageBreakBefore w:val="0"/>
        <w:numPr>
          <w:ilvl w:val="0"/>
          <w:numId w:val="10"/>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本条款作为技术规范书的核心组成部分，与合同具有同等法律效力，双方须严格遵守。</w:t>
      </w:r>
    </w:p>
    <w:p>
      <w:pPr>
        <w:pageBreakBefore w:val="0"/>
        <w:numPr>
          <w:ilvl w:val="0"/>
          <w:numId w:val="10"/>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本条款中未明确的验收指标、售后时限、违约标准等，双方可另行协商，签订补充协议。</w:t>
      </w:r>
    </w:p>
    <w:p>
      <w:pPr>
        <w:pageBreakBefore w:val="0"/>
        <w:numPr>
          <w:ilvl w:val="0"/>
          <w:numId w:val="10"/>
        </w:numPr>
        <w:kinsoku/>
        <w:wordWrap/>
        <w:overflowPunct/>
        <w:topLinePunct w:val="0"/>
        <w:autoSpaceDE/>
        <w:autoSpaceDN/>
        <w:bidi w:val="0"/>
        <w:spacing w:before="120" w:after="120"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服务期自验收合格、双方签署验收确认单之日起计算，服务期时长按合同约定执行。</w:t>
      </w:r>
    </w:p>
    <w:p>
      <w:pPr>
        <w:pageBreakBefore w:val="0"/>
        <w:numPr>
          <w:ilvl w:val="0"/>
          <w:numId w:val="0"/>
        </w:numPr>
        <w:kinsoku/>
        <w:wordWrap/>
        <w:overflowPunct/>
        <w:topLinePunct w:val="0"/>
        <w:autoSpaceDE/>
        <w:autoSpaceDN/>
        <w:bidi w:val="0"/>
        <w:spacing w:line="360" w:lineRule="auto"/>
        <w:ind w:left="420" w:leftChars="0"/>
        <w:jc w:val="lef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四、报价明细表</w:t>
      </w:r>
    </w:p>
    <w:tbl>
      <w:tblPr>
        <w:tblStyle w:val="12"/>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6" w:type="dxa"/>
          <w:bottom w:w="0" w:type="dxa"/>
          <w:right w:w="36" w:type="dxa"/>
        </w:tblCellMar>
      </w:tblPr>
      <w:tblGrid>
        <w:gridCol w:w="1610"/>
        <w:gridCol w:w="1314"/>
        <w:gridCol w:w="824"/>
        <w:gridCol w:w="824"/>
        <w:gridCol w:w="1244"/>
        <w:gridCol w:w="1244"/>
        <w:gridCol w:w="2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1407" w:hRule="exact"/>
          <w:jc w:val="center"/>
        </w:trPr>
        <w:tc>
          <w:tcPr>
            <w:tcW w:w="881" w:type="pct"/>
            <w:vAlign w:val="center"/>
          </w:tcPr>
          <w:p>
            <w:pPr>
              <w:widowControl/>
              <w:autoSpaceDE w:val="0"/>
              <w:autoSpaceDN w:val="0"/>
              <w:adjustRightInd w:val="0"/>
              <w:spacing w:line="360" w:lineRule="auto"/>
              <w:ind w:firstLine="0" w:firstLineChars="0"/>
              <w:jc w:val="center"/>
              <w:textAlignment w:val="baseline"/>
              <w:rPr>
                <w:rFonts w:hint="eastAsia" w:ascii="仿宋" w:hAnsi="仿宋" w:eastAsia="仿宋" w:cs="仿宋"/>
                <w:kern w:val="0"/>
                <w:sz w:val="24"/>
                <w:szCs w:val="24"/>
              </w:rPr>
            </w:pPr>
            <w:r>
              <w:rPr>
                <w:rFonts w:hint="eastAsia" w:ascii="仿宋" w:hAnsi="仿宋" w:eastAsia="仿宋" w:cs="仿宋"/>
                <w:kern w:val="0"/>
                <w:sz w:val="24"/>
                <w:szCs w:val="24"/>
              </w:rPr>
              <w:t>序号</w:t>
            </w:r>
          </w:p>
        </w:tc>
        <w:tc>
          <w:tcPr>
            <w:tcW w:w="719" w:type="pct"/>
            <w:vAlign w:val="center"/>
          </w:tcPr>
          <w:p>
            <w:pPr>
              <w:widowControl/>
              <w:autoSpaceDE w:val="0"/>
              <w:autoSpaceDN w:val="0"/>
              <w:adjustRightInd w:val="0"/>
              <w:spacing w:line="360" w:lineRule="auto"/>
              <w:ind w:firstLine="0" w:firstLineChars="0"/>
              <w:jc w:val="center"/>
              <w:textAlignment w:val="baseline"/>
              <w:rPr>
                <w:rFonts w:hint="eastAsia" w:ascii="仿宋" w:hAnsi="仿宋" w:eastAsia="仿宋" w:cs="仿宋"/>
                <w:kern w:val="0"/>
                <w:sz w:val="24"/>
                <w:szCs w:val="24"/>
              </w:rPr>
            </w:pPr>
            <w:r>
              <w:rPr>
                <w:rFonts w:hint="eastAsia" w:ascii="仿宋" w:hAnsi="仿宋" w:eastAsia="仿宋" w:cs="仿宋"/>
                <w:kern w:val="0"/>
                <w:sz w:val="24"/>
                <w:szCs w:val="24"/>
              </w:rPr>
              <w:t>名称</w:t>
            </w:r>
          </w:p>
        </w:tc>
        <w:tc>
          <w:tcPr>
            <w:tcW w:w="451" w:type="pct"/>
            <w:vAlign w:val="center"/>
          </w:tcPr>
          <w:p>
            <w:pPr>
              <w:widowControl/>
              <w:autoSpaceDE w:val="0"/>
              <w:autoSpaceDN w:val="0"/>
              <w:adjustRightInd w:val="0"/>
              <w:spacing w:line="360" w:lineRule="auto"/>
              <w:ind w:firstLine="0" w:firstLineChars="0"/>
              <w:jc w:val="center"/>
              <w:textAlignment w:val="baseline"/>
              <w:rPr>
                <w:rFonts w:hint="eastAsia" w:ascii="仿宋" w:hAnsi="仿宋" w:eastAsia="仿宋" w:cs="仿宋"/>
                <w:kern w:val="0"/>
                <w:sz w:val="24"/>
                <w:szCs w:val="24"/>
              </w:rPr>
            </w:pPr>
            <w:r>
              <w:rPr>
                <w:rFonts w:hint="eastAsia" w:ascii="仿宋" w:hAnsi="仿宋" w:eastAsia="仿宋" w:cs="仿宋"/>
                <w:kern w:val="0"/>
                <w:sz w:val="24"/>
                <w:szCs w:val="24"/>
              </w:rPr>
              <w:t>数量</w:t>
            </w:r>
          </w:p>
        </w:tc>
        <w:tc>
          <w:tcPr>
            <w:tcW w:w="451" w:type="pct"/>
            <w:vAlign w:val="center"/>
          </w:tcPr>
          <w:p>
            <w:pPr>
              <w:widowControl/>
              <w:autoSpaceDE w:val="0"/>
              <w:autoSpaceDN w:val="0"/>
              <w:adjustRightInd w:val="0"/>
              <w:spacing w:line="360" w:lineRule="auto"/>
              <w:ind w:firstLine="0" w:firstLineChars="0"/>
              <w:jc w:val="center"/>
              <w:textAlignment w:val="baseline"/>
              <w:rPr>
                <w:rFonts w:hint="eastAsia" w:ascii="仿宋" w:hAnsi="仿宋" w:eastAsia="仿宋" w:cs="仿宋"/>
                <w:kern w:val="0"/>
                <w:sz w:val="24"/>
                <w:szCs w:val="24"/>
              </w:rPr>
            </w:pPr>
            <w:r>
              <w:rPr>
                <w:rFonts w:hint="eastAsia" w:ascii="仿宋" w:hAnsi="仿宋" w:eastAsia="仿宋" w:cs="仿宋"/>
                <w:kern w:val="0"/>
                <w:sz w:val="24"/>
                <w:szCs w:val="24"/>
              </w:rPr>
              <w:t>单位</w:t>
            </w:r>
          </w:p>
        </w:tc>
        <w:tc>
          <w:tcPr>
            <w:tcW w:w="681" w:type="pct"/>
            <w:vAlign w:val="center"/>
          </w:tcPr>
          <w:p>
            <w:pPr>
              <w:widowControl/>
              <w:autoSpaceDE w:val="0"/>
              <w:autoSpaceDN w:val="0"/>
              <w:adjustRightInd w:val="0"/>
              <w:spacing w:line="360" w:lineRule="auto"/>
              <w:ind w:firstLine="0" w:firstLineChars="0"/>
              <w:jc w:val="center"/>
              <w:textAlignment w:val="baseline"/>
              <w:rPr>
                <w:rFonts w:hint="eastAsia" w:ascii="仿宋" w:hAnsi="仿宋" w:eastAsia="仿宋" w:cs="仿宋"/>
                <w:kern w:val="0"/>
                <w:sz w:val="24"/>
                <w:szCs w:val="24"/>
              </w:rPr>
            </w:pPr>
            <w:r>
              <w:rPr>
                <w:rFonts w:hint="eastAsia" w:ascii="仿宋" w:hAnsi="仿宋" w:eastAsia="仿宋" w:cs="仿宋"/>
                <w:kern w:val="0"/>
                <w:sz w:val="24"/>
                <w:szCs w:val="24"/>
              </w:rPr>
              <w:t>单价报价（万元）</w:t>
            </w:r>
          </w:p>
        </w:tc>
        <w:tc>
          <w:tcPr>
            <w:tcW w:w="681" w:type="pct"/>
            <w:vAlign w:val="center"/>
          </w:tcPr>
          <w:p>
            <w:pPr>
              <w:widowControl/>
              <w:autoSpaceDE w:val="0"/>
              <w:autoSpaceDN w:val="0"/>
              <w:adjustRightInd w:val="0"/>
              <w:spacing w:line="360" w:lineRule="auto"/>
              <w:ind w:firstLine="0" w:firstLineChars="0"/>
              <w:jc w:val="center"/>
              <w:textAlignment w:val="baseline"/>
              <w:rPr>
                <w:rFonts w:hint="eastAsia" w:ascii="仿宋" w:hAnsi="仿宋" w:eastAsia="仿宋" w:cs="仿宋"/>
                <w:kern w:val="0"/>
                <w:sz w:val="24"/>
                <w:szCs w:val="24"/>
              </w:rPr>
            </w:pPr>
            <w:r>
              <w:rPr>
                <w:rFonts w:hint="eastAsia" w:ascii="仿宋" w:hAnsi="仿宋" w:eastAsia="仿宋" w:cs="仿宋"/>
                <w:kern w:val="0"/>
                <w:sz w:val="24"/>
                <w:szCs w:val="24"/>
              </w:rPr>
              <w:t>总价报价（万元）</w:t>
            </w:r>
          </w:p>
        </w:tc>
        <w:tc>
          <w:tcPr>
            <w:tcW w:w="1133" w:type="pct"/>
            <w:vAlign w:val="center"/>
          </w:tcPr>
          <w:p>
            <w:pPr>
              <w:widowControl/>
              <w:autoSpaceDE w:val="0"/>
              <w:autoSpaceDN w:val="0"/>
              <w:adjustRightInd w:val="0"/>
              <w:spacing w:line="360" w:lineRule="auto"/>
              <w:ind w:firstLine="0" w:firstLineChars="0"/>
              <w:jc w:val="center"/>
              <w:textAlignment w:val="baseline"/>
              <w:rPr>
                <w:rFonts w:hint="eastAsia" w:ascii="仿宋" w:hAnsi="仿宋" w:eastAsia="仿宋" w:cs="仿宋"/>
                <w:kern w:val="0"/>
                <w:sz w:val="24"/>
                <w:szCs w:val="24"/>
              </w:rPr>
            </w:pPr>
            <w:r>
              <w:rPr>
                <w:rFonts w:hint="eastAsia" w:ascii="仿宋" w:hAnsi="仿宋" w:eastAsia="仿宋" w:cs="仿宋"/>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881" w:type="pct"/>
            <w:vAlign w:val="center"/>
          </w:tcPr>
          <w:p>
            <w:pPr>
              <w:widowControl/>
              <w:numPr>
                <w:ilvl w:val="0"/>
                <w:numId w:val="11"/>
              </w:numPr>
              <w:autoSpaceDE w:val="0"/>
              <w:autoSpaceDN w:val="0"/>
              <w:adjustRightInd w:val="0"/>
              <w:spacing w:line="360" w:lineRule="auto"/>
              <w:ind w:firstLine="0" w:firstLineChars="0"/>
              <w:jc w:val="center"/>
              <w:textAlignment w:val="baseline"/>
              <w:rPr>
                <w:rFonts w:hint="eastAsia" w:ascii="仿宋" w:hAnsi="仿宋" w:eastAsia="仿宋" w:cs="仿宋"/>
                <w:kern w:val="0"/>
                <w:sz w:val="24"/>
                <w:szCs w:val="24"/>
              </w:rPr>
            </w:pPr>
          </w:p>
        </w:tc>
        <w:tc>
          <w:tcPr>
            <w:tcW w:w="719" w:type="pct"/>
            <w:vAlign w:val="center"/>
          </w:tcPr>
          <w:p>
            <w:pPr>
              <w:widowControl/>
              <w:spacing w:line="240" w:lineRule="auto"/>
              <w:ind w:firstLine="0" w:firstLineChars="0"/>
              <w:jc w:val="center"/>
              <w:textAlignment w:val="center"/>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2026年云南电力试验研究院（集团）有限公司检验检测实验室信息管理系统集成接入南方电网数字身份与访问管理平台服务</w:t>
            </w:r>
          </w:p>
        </w:tc>
        <w:tc>
          <w:tcPr>
            <w:tcW w:w="451" w:type="pct"/>
            <w:vAlign w:val="center"/>
          </w:tcPr>
          <w:p>
            <w:pPr>
              <w:widowControl/>
              <w:spacing w:line="240" w:lineRule="auto"/>
              <w:ind w:firstLine="0" w:firstLineChars="0"/>
              <w:jc w:val="center"/>
              <w:textAlignment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项</w:t>
            </w:r>
          </w:p>
        </w:tc>
        <w:tc>
          <w:tcPr>
            <w:tcW w:w="451" w:type="pct"/>
            <w:vAlign w:val="center"/>
          </w:tcPr>
          <w:p>
            <w:pPr>
              <w:widowControl/>
              <w:spacing w:line="240" w:lineRule="auto"/>
              <w:ind w:firstLine="0" w:firstLineChars="0"/>
              <w:jc w:val="center"/>
              <w:textAlignment w:val="center"/>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1</w:t>
            </w:r>
          </w:p>
        </w:tc>
        <w:tc>
          <w:tcPr>
            <w:tcW w:w="681" w:type="pct"/>
            <w:vAlign w:val="center"/>
          </w:tcPr>
          <w:p>
            <w:pPr>
              <w:widowControl/>
              <w:spacing w:line="240" w:lineRule="auto"/>
              <w:ind w:firstLine="0" w:firstLineChars="0"/>
              <w:jc w:val="center"/>
              <w:textAlignment w:val="center"/>
              <w:rPr>
                <w:rFonts w:hint="eastAsia" w:ascii="仿宋" w:hAnsi="仿宋" w:eastAsia="仿宋" w:cs="仿宋"/>
                <w:kern w:val="0"/>
                <w:sz w:val="24"/>
                <w:szCs w:val="24"/>
                <w:lang w:bidi="ar"/>
              </w:rPr>
            </w:pPr>
          </w:p>
        </w:tc>
        <w:tc>
          <w:tcPr>
            <w:tcW w:w="681" w:type="pct"/>
            <w:vAlign w:val="center"/>
          </w:tcPr>
          <w:p>
            <w:pPr>
              <w:widowControl/>
              <w:spacing w:line="240" w:lineRule="auto"/>
              <w:ind w:firstLine="0" w:firstLineChars="0"/>
              <w:jc w:val="center"/>
              <w:textAlignment w:val="center"/>
              <w:rPr>
                <w:rFonts w:hint="eastAsia" w:ascii="仿宋" w:hAnsi="仿宋" w:eastAsia="仿宋" w:cs="仿宋"/>
                <w:kern w:val="0"/>
                <w:sz w:val="24"/>
                <w:szCs w:val="24"/>
                <w:lang w:bidi="ar"/>
                <w14:ligatures w14:val="standardContextual"/>
              </w:rPr>
            </w:pPr>
          </w:p>
        </w:tc>
        <w:tc>
          <w:tcPr>
            <w:tcW w:w="1133"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textAlignment w:val="center"/>
              <w:rPr>
                <w:rFonts w:hint="eastAsia" w:ascii="仿宋" w:hAnsi="仿宋" w:eastAsia="仿宋" w:cs="仿宋"/>
                <w:kern w:val="0"/>
                <w:sz w:val="24"/>
                <w:szCs w:val="24"/>
                <w:lang w:bidi="ar"/>
                <w14:ligatures w14:val="standardContextu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5000" w:type="pct"/>
            <w:gridSpan w:val="7"/>
            <w:tcBorders>
              <w:right w:val="single" w:color="000000" w:sz="4" w:space="0"/>
            </w:tcBorders>
            <w:vAlign w:val="center"/>
          </w:tcPr>
          <w:p>
            <w:pPr>
              <w:widowControl/>
              <w:spacing w:line="240" w:lineRule="auto"/>
              <w:ind w:firstLine="0" w:firstLineChars="0"/>
              <w:jc w:val="center"/>
              <w:textAlignment w:val="center"/>
              <w:rPr>
                <w:rFonts w:hint="eastAsia" w:ascii="仿宋" w:hAnsi="仿宋" w:eastAsia="仿宋" w:cs="仿宋"/>
                <w:kern w:val="0"/>
                <w:sz w:val="24"/>
                <w:szCs w:val="24"/>
                <w:lang w:bidi="ar"/>
                <w14:ligatures w14:val="standardContextual"/>
              </w:rPr>
            </w:pPr>
            <w:r>
              <w:rPr>
                <w:rFonts w:hint="eastAsia" w:ascii="仿宋" w:hAnsi="仿宋" w:eastAsia="仿宋" w:cs="仿宋"/>
                <w:kern w:val="0"/>
                <w:sz w:val="24"/>
                <w:szCs w:val="24"/>
                <w:lang w:bidi="ar"/>
                <w14:ligatures w14:val="standardContextual"/>
              </w:rPr>
              <w:t>总价合计报价：                 万元（人民币大写：                        ）</w:t>
            </w:r>
          </w:p>
        </w:tc>
      </w:tr>
    </w:tbl>
    <w:p>
      <w:pPr>
        <w:pageBreakBefore w:val="0"/>
        <w:numPr>
          <w:ilvl w:val="0"/>
          <w:numId w:val="0"/>
        </w:numPr>
        <w:kinsoku/>
        <w:wordWrap/>
        <w:overflowPunct/>
        <w:topLinePunct w:val="0"/>
        <w:autoSpaceDE/>
        <w:autoSpaceDN/>
        <w:bidi w:val="0"/>
        <w:spacing w:line="360" w:lineRule="auto"/>
        <w:ind w:left="420" w:leftChars="0"/>
        <w:jc w:val="left"/>
        <w:textAlignment w:val="auto"/>
        <w:rPr>
          <w:rFonts w:hint="default" w:ascii="仿宋" w:hAnsi="仿宋" w:eastAsia="仿宋" w:cs="仿宋"/>
          <w:color w:val="auto"/>
          <w:sz w:val="24"/>
          <w:szCs w:val="24"/>
          <w:lang w:val="en-US" w:eastAsia="zh-CN"/>
        </w:rPr>
      </w:pPr>
    </w:p>
    <w:sectPr>
      <w:headerReference r:id="rId11" w:type="default"/>
      <w:pgSz w:w="11906" w:h="16838"/>
      <w:pgMar w:top="1417" w:right="1417" w:bottom="1417" w:left="1417" w:header="851" w:footer="851" w:gutter="0"/>
      <w:pgNumType w:start="1"/>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EU-F1">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auto"/>
    <w:pitch w:val="default"/>
    <w:sig w:usb0="00000000" w:usb1="00000000" w:usb2="00000033" w:usb3="00000000" w:csb0="00080000" w:csb1="00000000"/>
  </w:font>
  <w:font w:name="方正小标宋_GBK">
    <w:altName w:val="微软雅黑"/>
    <w:panose1 w:val="03000509000000000000"/>
    <w:charset w:val="86"/>
    <w:family w:val="auto"/>
    <w:pitch w:val="default"/>
    <w:sig w:usb0="00000000" w:usb1="00000000" w:usb2="00000000" w:usb3="00000000" w:csb0="00040000" w:csb1="00000000"/>
  </w:font>
  <w:font w:name="文鼎CS大黑">
    <w:altName w:val="黑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1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2"/>
      <w:rPr>
        <w:rFonts w:hint="eastAsia"/>
      </w:rPr>
    </w:pPr>
    <w:r>
      <w:fldChar w:fldCharType="begin"/>
    </w:r>
    <w:r>
      <w:instrText xml:space="preserve">PAGE  </w:instrText>
    </w:r>
    <w:r>
      <w:fldChar w:fldCharType="end"/>
    </w:r>
  </w:p>
  <w:p>
    <w:pPr>
      <w:ind w:right="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bottom w:val="none" w:color="auto" w:sz="0" w:space="0"/>
      </w:pBdr>
      <w:snapToGrid w:val="0"/>
      <w:jc w:val="center"/>
      <w:rPr>
        <w:rFonts w:ascii="Times New Roman" w:hAnsi="Times New Roman" w:eastAsia="仿宋" w:cs="Times New Roman"/>
        <w:kern w:val="0"/>
        <w:sz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22113"/>
    <w:multiLevelType w:val="singleLevel"/>
    <w:tmpl w:val="ABD22113"/>
    <w:lvl w:ilvl="0" w:tentative="0">
      <w:start w:val="1"/>
      <w:numFmt w:val="decimal"/>
      <w:suff w:val="nothing"/>
      <w:lvlText w:val="%1．"/>
      <w:lvlJc w:val="left"/>
      <w:pPr>
        <w:ind w:left="0" w:firstLine="400"/>
      </w:pPr>
      <w:rPr>
        <w:rFonts w:hint="default"/>
      </w:rPr>
    </w:lvl>
  </w:abstractNum>
  <w:abstractNum w:abstractNumId="1">
    <w:nsid w:val="BAF7CA12"/>
    <w:multiLevelType w:val="singleLevel"/>
    <w:tmpl w:val="BAF7CA12"/>
    <w:lvl w:ilvl="0" w:tentative="0">
      <w:start w:val="1"/>
      <w:numFmt w:val="decimal"/>
      <w:suff w:val="nothing"/>
      <w:lvlText w:val="%1．"/>
      <w:lvlJc w:val="left"/>
      <w:pPr>
        <w:ind w:left="0" w:firstLine="400"/>
      </w:pPr>
      <w:rPr>
        <w:rFonts w:hint="default"/>
      </w:rPr>
    </w:lvl>
  </w:abstractNum>
  <w:abstractNum w:abstractNumId="2">
    <w:nsid w:val="CC11D915"/>
    <w:multiLevelType w:val="singleLevel"/>
    <w:tmpl w:val="CC11D915"/>
    <w:lvl w:ilvl="0" w:tentative="0">
      <w:start w:val="1"/>
      <w:numFmt w:val="decimal"/>
      <w:suff w:val="nothing"/>
      <w:lvlText w:val="%1．"/>
      <w:lvlJc w:val="left"/>
      <w:pPr>
        <w:ind w:left="0" w:firstLine="400"/>
      </w:pPr>
      <w:rPr>
        <w:rFonts w:hint="default"/>
      </w:rPr>
    </w:lvl>
  </w:abstractNum>
  <w:abstractNum w:abstractNumId="3">
    <w:nsid w:val="CCBEBC62"/>
    <w:multiLevelType w:val="singleLevel"/>
    <w:tmpl w:val="CCBEBC62"/>
    <w:lvl w:ilvl="0" w:tentative="0">
      <w:start w:val="1"/>
      <w:numFmt w:val="decimal"/>
      <w:suff w:val="nothing"/>
      <w:lvlText w:val="%1．"/>
      <w:lvlJc w:val="left"/>
      <w:pPr>
        <w:ind w:left="0" w:firstLine="400"/>
      </w:pPr>
      <w:rPr>
        <w:rFonts w:hint="default"/>
      </w:rPr>
    </w:lvl>
  </w:abstractNum>
  <w:abstractNum w:abstractNumId="4">
    <w:nsid w:val="E030B4E2"/>
    <w:multiLevelType w:val="singleLevel"/>
    <w:tmpl w:val="E030B4E2"/>
    <w:lvl w:ilvl="0" w:tentative="0">
      <w:start w:val="1"/>
      <w:numFmt w:val="decimal"/>
      <w:suff w:val="nothing"/>
      <w:lvlText w:val="%1．"/>
      <w:lvlJc w:val="left"/>
      <w:pPr>
        <w:ind w:left="0" w:firstLine="400"/>
      </w:pPr>
      <w:rPr>
        <w:rFonts w:hint="default"/>
      </w:rPr>
    </w:lvl>
  </w:abstractNum>
  <w:abstractNum w:abstractNumId="5">
    <w:nsid w:val="F4E5BA0A"/>
    <w:multiLevelType w:val="singleLevel"/>
    <w:tmpl w:val="F4E5BA0A"/>
    <w:lvl w:ilvl="0" w:tentative="0">
      <w:start w:val="1"/>
      <w:numFmt w:val="decimal"/>
      <w:suff w:val="nothing"/>
      <w:lvlText w:val="%1．"/>
      <w:lvlJc w:val="left"/>
      <w:pPr>
        <w:ind w:left="0" w:firstLine="400"/>
      </w:pPr>
      <w:rPr>
        <w:rFonts w:hint="default"/>
      </w:rPr>
    </w:lvl>
  </w:abstractNum>
  <w:abstractNum w:abstractNumId="6">
    <w:nsid w:val="0595501A"/>
    <w:multiLevelType w:val="multilevel"/>
    <w:tmpl w:val="0595501A"/>
    <w:lvl w:ilvl="0" w:tentative="0">
      <w:start w:val="1"/>
      <w:numFmt w:val="decimal"/>
      <w:pStyle w:val="2"/>
      <w:suff w:val="space"/>
      <w:lvlText w:val="%1."/>
      <w:lvlJc w:val="left"/>
      <w:pPr>
        <w:ind w:left="0" w:firstLine="0"/>
      </w:pPr>
      <w:rPr>
        <w:rFonts w:hint="eastAsia"/>
      </w:rPr>
    </w:lvl>
    <w:lvl w:ilvl="1" w:tentative="0">
      <w:start w:val="1"/>
      <w:numFmt w:val="decimal"/>
      <w:pStyle w:val="3"/>
      <w:isLgl/>
      <w:suff w:val="space"/>
      <w:lvlText w:val="%1.%2"/>
      <w:lvlJc w:val="left"/>
      <w:pPr>
        <w:ind w:left="0" w:firstLine="0"/>
      </w:pPr>
      <w:rPr>
        <w:rFonts w:hint="eastAsia"/>
      </w:rPr>
    </w:lvl>
    <w:lvl w:ilvl="2" w:tentative="0">
      <w:start w:val="1"/>
      <w:numFmt w:val="decimal"/>
      <w:pStyle w:val="19"/>
      <w:isLgl/>
      <w:suff w:val="space"/>
      <w:lvlText w:val="%1.%2.%3"/>
      <w:lvlJc w:val="left"/>
      <w:pPr>
        <w:ind w:left="0" w:firstLine="0"/>
      </w:pPr>
      <w:rPr>
        <w:rFonts w:hint="eastAsia"/>
        <w:b w:val="0"/>
        <w:i w:val="0"/>
      </w:rPr>
    </w:lvl>
    <w:lvl w:ilvl="3" w:tentative="0">
      <w:start w:val="1"/>
      <w:numFmt w:val="decimal"/>
      <w:pStyle w:val="20"/>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7">
    <w:nsid w:val="0E73B978"/>
    <w:multiLevelType w:val="singleLevel"/>
    <w:tmpl w:val="0E73B978"/>
    <w:lvl w:ilvl="0" w:tentative="0">
      <w:start w:val="1"/>
      <w:numFmt w:val="decimal"/>
      <w:lvlText w:val="%1."/>
      <w:lvlJc w:val="left"/>
      <w:pPr>
        <w:ind w:left="425" w:hanging="425"/>
      </w:pPr>
      <w:rPr>
        <w:rFonts w:hint="default"/>
      </w:rPr>
    </w:lvl>
  </w:abstractNum>
  <w:abstractNum w:abstractNumId="8">
    <w:nsid w:val="20114CB4"/>
    <w:multiLevelType w:val="singleLevel"/>
    <w:tmpl w:val="20114CB4"/>
    <w:lvl w:ilvl="0" w:tentative="0">
      <w:start w:val="1"/>
      <w:numFmt w:val="bullet"/>
      <w:lvlText w:val=""/>
      <w:lvlJc w:val="left"/>
      <w:pPr>
        <w:ind w:left="420" w:hanging="420"/>
      </w:pPr>
      <w:rPr>
        <w:rFonts w:hint="default" w:ascii="Wingdings" w:hAnsi="Wingdings"/>
      </w:rPr>
    </w:lvl>
  </w:abstractNum>
  <w:abstractNum w:abstractNumId="9">
    <w:nsid w:val="302321C1"/>
    <w:multiLevelType w:val="singleLevel"/>
    <w:tmpl w:val="302321C1"/>
    <w:lvl w:ilvl="0" w:tentative="0">
      <w:start w:val="1"/>
      <w:numFmt w:val="decimal"/>
      <w:suff w:val="nothing"/>
      <w:lvlText w:val="%1．"/>
      <w:lvlJc w:val="left"/>
      <w:pPr>
        <w:ind w:left="0" w:firstLine="400"/>
      </w:pPr>
      <w:rPr>
        <w:rFonts w:hint="default"/>
      </w:rPr>
    </w:lvl>
  </w:abstractNum>
  <w:abstractNum w:abstractNumId="10">
    <w:nsid w:val="58EA9569"/>
    <w:multiLevelType w:val="singleLevel"/>
    <w:tmpl w:val="58EA9569"/>
    <w:lvl w:ilvl="0" w:tentative="0">
      <w:start w:val="1"/>
      <w:numFmt w:val="chineseCounting"/>
      <w:suff w:val="nothing"/>
      <w:lvlText w:val="%1、"/>
      <w:lvlJc w:val="left"/>
      <w:pPr>
        <w:ind w:left="0" w:firstLine="420"/>
      </w:pPr>
      <w:rPr>
        <w:rFonts w:hint="eastAsia"/>
      </w:rPr>
    </w:lvl>
  </w:abstractNum>
  <w:num w:numId="1">
    <w:abstractNumId w:val="6"/>
  </w:num>
  <w:num w:numId="2">
    <w:abstractNumId w:val="10"/>
  </w:num>
  <w:num w:numId="3">
    <w:abstractNumId w:val="2"/>
  </w:num>
  <w:num w:numId="4">
    <w:abstractNumId w:val="4"/>
  </w:num>
  <w:num w:numId="5">
    <w:abstractNumId w:val="8"/>
  </w:num>
  <w:num w:numId="6">
    <w:abstractNumId w:val="9"/>
  </w:num>
  <w:num w:numId="7">
    <w:abstractNumId w:val="0"/>
  </w:num>
  <w:num w:numId="8">
    <w:abstractNumId w:val="1"/>
  </w:num>
  <w:num w:numId="9">
    <w:abstractNumId w:val="3"/>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3YzY0Njk1N2YwMDNlZmQ4NjgwMmRmYzgyNWE3YTcifQ=="/>
  </w:docVars>
  <w:rsids>
    <w:rsidRoot w:val="00DA3CAA"/>
    <w:rsid w:val="000273CC"/>
    <w:rsid w:val="002B06D1"/>
    <w:rsid w:val="00364523"/>
    <w:rsid w:val="00662C76"/>
    <w:rsid w:val="007B58BF"/>
    <w:rsid w:val="00D9420A"/>
    <w:rsid w:val="00DA3CAA"/>
    <w:rsid w:val="010351AA"/>
    <w:rsid w:val="010A7D93"/>
    <w:rsid w:val="01565C22"/>
    <w:rsid w:val="01910159"/>
    <w:rsid w:val="01A14D52"/>
    <w:rsid w:val="028A402D"/>
    <w:rsid w:val="02BE3A7E"/>
    <w:rsid w:val="030671D3"/>
    <w:rsid w:val="035C7FB7"/>
    <w:rsid w:val="037F2E7D"/>
    <w:rsid w:val="038608D5"/>
    <w:rsid w:val="038921D4"/>
    <w:rsid w:val="03C2134C"/>
    <w:rsid w:val="04B74C29"/>
    <w:rsid w:val="053261AC"/>
    <w:rsid w:val="053C0C8A"/>
    <w:rsid w:val="05646273"/>
    <w:rsid w:val="05C23970"/>
    <w:rsid w:val="06C62F02"/>
    <w:rsid w:val="06FD616B"/>
    <w:rsid w:val="0775DDCE"/>
    <w:rsid w:val="07BA233A"/>
    <w:rsid w:val="089E3A0A"/>
    <w:rsid w:val="094D790A"/>
    <w:rsid w:val="09877634"/>
    <w:rsid w:val="0995039F"/>
    <w:rsid w:val="09A77BE3"/>
    <w:rsid w:val="09F63AFE"/>
    <w:rsid w:val="0ADD6A6C"/>
    <w:rsid w:val="0B300D07"/>
    <w:rsid w:val="0B372620"/>
    <w:rsid w:val="0BDA2FAB"/>
    <w:rsid w:val="0BE8391A"/>
    <w:rsid w:val="0C24544D"/>
    <w:rsid w:val="0C3257A2"/>
    <w:rsid w:val="0D005AE7"/>
    <w:rsid w:val="0D0A0FDB"/>
    <w:rsid w:val="0D156991"/>
    <w:rsid w:val="0D290C8D"/>
    <w:rsid w:val="0DF91E0E"/>
    <w:rsid w:val="0E121122"/>
    <w:rsid w:val="0E374A29"/>
    <w:rsid w:val="0EF27B34"/>
    <w:rsid w:val="0EF32D02"/>
    <w:rsid w:val="0F152C78"/>
    <w:rsid w:val="0F9FCE8F"/>
    <w:rsid w:val="0FA52AD3"/>
    <w:rsid w:val="0FB3217F"/>
    <w:rsid w:val="1005590E"/>
    <w:rsid w:val="10173DF5"/>
    <w:rsid w:val="10196798"/>
    <w:rsid w:val="1030763E"/>
    <w:rsid w:val="10463305"/>
    <w:rsid w:val="105E0EAB"/>
    <w:rsid w:val="10746B11"/>
    <w:rsid w:val="108A2C16"/>
    <w:rsid w:val="10B44A2C"/>
    <w:rsid w:val="10F90377"/>
    <w:rsid w:val="1142587A"/>
    <w:rsid w:val="114F7F97"/>
    <w:rsid w:val="11731ED8"/>
    <w:rsid w:val="11C5594C"/>
    <w:rsid w:val="12C32F26"/>
    <w:rsid w:val="12E3308D"/>
    <w:rsid w:val="13196AAF"/>
    <w:rsid w:val="133F4387"/>
    <w:rsid w:val="13563541"/>
    <w:rsid w:val="13CC730A"/>
    <w:rsid w:val="13E175CD"/>
    <w:rsid w:val="15121A08"/>
    <w:rsid w:val="153320AA"/>
    <w:rsid w:val="15A63411"/>
    <w:rsid w:val="15BB5BFB"/>
    <w:rsid w:val="16113A6D"/>
    <w:rsid w:val="16377BB5"/>
    <w:rsid w:val="168B7EF6"/>
    <w:rsid w:val="1780534F"/>
    <w:rsid w:val="178C13BD"/>
    <w:rsid w:val="17AAC8C1"/>
    <w:rsid w:val="1881137E"/>
    <w:rsid w:val="18CB4F96"/>
    <w:rsid w:val="19257F5C"/>
    <w:rsid w:val="192B28DA"/>
    <w:rsid w:val="19D61256"/>
    <w:rsid w:val="1AB9376C"/>
    <w:rsid w:val="1ACB68E1"/>
    <w:rsid w:val="1B2C751F"/>
    <w:rsid w:val="1B7C407F"/>
    <w:rsid w:val="1B845309"/>
    <w:rsid w:val="1BB42F2D"/>
    <w:rsid w:val="1BD94FE4"/>
    <w:rsid w:val="1C672639"/>
    <w:rsid w:val="1C730FDE"/>
    <w:rsid w:val="1D031369"/>
    <w:rsid w:val="1D99016A"/>
    <w:rsid w:val="1DC70A1C"/>
    <w:rsid w:val="1DE61734"/>
    <w:rsid w:val="1E5703E7"/>
    <w:rsid w:val="1E6A6411"/>
    <w:rsid w:val="1E8A6C20"/>
    <w:rsid w:val="1EAA4A5F"/>
    <w:rsid w:val="1ECF23C0"/>
    <w:rsid w:val="1ED74BE8"/>
    <w:rsid w:val="1EDCE45B"/>
    <w:rsid w:val="1F100D66"/>
    <w:rsid w:val="1F134CFA"/>
    <w:rsid w:val="1F7532BF"/>
    <w:rsid w:val="1F8BB112"/>
    <w:rsid w:val="1FF47AEC"/>
    <w:rsid w:val="1FFFA322"/>
    <w:rsid w:val="21EF55AB"/>
    <w:rsid w:val="22401962"/>
    <w:rsid w:val="2269387D"/>
    <w:rsid w:val="22D83EE1"/>
    <w:rsid w:val="22F10EAE"/>
    <w:rsid w:val="246D1928"/>
    <w:rsid w:val="249B102A"/>
    <w:rsid w:val="24B86128"/>
    <w:rsid w:val="25145328"/>
    <w:rsid w:val="251F1528"/>
    <w:rsid w:val="25257535"/>
    <w:rsid w:val="252A44C1"/>
    <w:rsid w:val="25387269"/>
    <w:rsid w:val="2650413E"/>
    <w:rsid w:val="26683828"/>
    <w:rsid w:val="266D15E6"/>
    <w:rsid w:val="26CD2898"/>
    <w:rsid w:val="26E1530D"/>
    <w:rsid w:val="27094DEC"/>
    <w:rsid w:val="27114611"/>
    <w:rsid w:val="27335F39"/>
    <w:rsid w:val="274E0E71"/>
    <w:rsid w:val="278E4F1E"/>
    <w:rsid w:val="285443B9"/>
    <w:rsid w:val="291C5D93"/>
    <w:rsid w:val="29386CDF"/>
    <w:rsid w:val="294855A0"/>
    <w:rsid w:val="294A1318"/>
    <w:rsid w:val="295108F9"/>
    <w:rsid w:val="296323DA"/>
    <w:rsid w:val="29D11A3A"/>
    <w:rsid w:val="29EA6657"/>
    <w:rsid w:val="2A375D41"/>
    <w:rsid w:val="2A6875AF"/>
    <w:rsid w:val="2A9F38E6"/>
    <w:rsid w:val="2AC5334C"/>
    <w:rsid w:val="2AFB4FC0"/>
    <w:rsid w:val="2B4D6E9E"/>
    <w:rsid w:val="2BB539CA"/>
    <w:rsid w:val="2BDD7BBE"/>
    <w:rsid w:val="2BE3340C"/>
    <w:rsid w:val="2C1A2AAA"/>
    <w:rsid w:val="2C471B3F"/>
    <w:rsid w:val="2C66290D"/>
    <w:rsid w:val="2C802F29"/>
    <w:rsid w:val="2C82701B"/>
    <w:rsid w:val="2C850B35"/>
    <w:rsid w:val="2D4F3FFF"/>
    <w:rsid w:val="2D7BC1B8"/>
    <w:rsid w:val="2D945258"/>
    <w:rsid w:val="2DEA1260"/>
    <w:rsid w:val="2DFB7F05"/>
    <w:rsid w:val="2DFE2BB3"/>
    <w:rsid w:val="2E0252B1"/>
    <w:rsid w:val="2E344C77"/>
    <w:rsid w:val="2E496043"/>
    <w:rsid w:val="2E545937"/>
    <w:rsid w:val="2E5F1724"/>
    <w:rsid w:val="2E5F30B7"/>
    <w:rsid w:val="2E6331BE"/>
    <w:rsid w:val="2E70537D"/>
    <w:rsid w:val="2E756E38"/>
    <w:rsid w:val="2E96490B"/>
    <w:rsid w:val="2EB6202D"/>
    <w:rsid w:val="2F835584"/>
    <w:rsid w:val="302D1E9F"/>
    <w:rsid w:val="30517430"/>
    <w:rsid w:val="30F229C1"/>
    <w:rsid w:val="31175F84"/>
    <w:rsid w:val="313D2391"/>
    <w:rsid w:val="31745184"/>
    <w:rsid w:val="31AA329C"/>
    <w:rsid w:val="31E340B8"/>
    <w:rsid w:val="326C67A3"/>
    <w:rsid w:val="339A42E2"/>
    <w:rsid w:val="33BB391F"/>
    <w:rsid w:val="33CD3CCE"/>
    <w:rsid w:val="33D939C5"/>
    <w:rsid w:val="341E0659"/>
    <w:rsid w:val="34404236"/>
    <w:rsid w:val="348002E4"/>
    <w:rsid w:val="34CB346B"/>
    <w:rsid w:val="35132F06"/>
    <w:rsid w:val="352E5399"/>
    <w:rsid w:val="356B689E"/>
    <w:rsid w:val="358A2628"/>
    <w:rsid w:val="35924886"/>
    <w:rsid w:val="35AA5754"/>
    <w:rsid w:val="364D069A"/>
    <w:rsid w:val="366066C8"/>
    <w:rsid w:val="369923B0"/>
    <w:rsid w:val="36EC7586"/>
    <w:rsid w:val="36FB9129"/>
    <w:rsid w:val="36FF3017"/>
    <w:rsid w:val="36FFC300"/>
    <w:rsid w:val="370E607B"/>
    <w:rsid w:val="37311DDE"/>
    <w:rsid w:val="373A33D4"/>
    <w:rsid w:val="37585548"/>
    <w:rsid w:val="37B02C8E"/>
    <w:rsid w:val="37B31CC9"/>
    <w:rsid w:val="37BA5C0C"/>
    <w:rsid w:val="37D1113C"/>
    <w:rsid w:val="37E712F3"/>
    <w:rsid w:val="37EA4428"/>
    <w:rsid w:val="38B22A36"/>
    <w:rsid w:val="39230DE1"/>
    <w:rsid w:val="3A0B68A2"/>
    <w:rsid w:val="3A763C53"/>
    <w:rsid w:val="3A79380C"/>
    <w:rsid w:val="3A7DCBE8"/>
    <w:rsid w:val="3A995C5C"/>
    <w:rsid w:val="3AA34D2C"/>
    <w:rsid w:val="3AA70C32"/>
    <w:rsid w:val="3B9B1D89"/>
    <w:rsid w:val="3BBD3BCC"/>
    <w:rsid w:val="3BF78E02"/>
    <w:rsid w:val="3BFFF5D7"/>
    <w:rsid w:val="3D0D2931"/>
    <w:rsid w:val="3D121CF5"/>
    <w:rsid w:val="3D6267D9"/>
    <w:rsid w:val="3DB8BE5A"/>
    <w:rsid w:val="3DDF7B03"/>
    <w:rsid w:val="3DE5D5CF"/>
    <w:rsid w:val="3DE6E0F2"/>
    <w:rsid w:val="3DFF4F29"/>
    <w:rsid w:val="3E352D7B"/>
    <w:rsid w:val="3E4FB102"/>
    <w:rsid w:val="3E6B8FD2"/>
    <w:rsid w:val="3EFB794F"/>
    <w:rsid w:val="3F0B4C4E"/>
    <w:rsid w:val="3F126659"/>
    <w:rsid w:val="3F1D3018"/>
    <w:rsid w:val="3F6031EC"/>
    <w:rsid w:val="3F7D05B6"/>
    <w:rsid w:val="3F7F17D3"/>
    <w:rsid w:val="3FBF9DE9"/>
    <w:rsid w:val="3FC78FCA"/>
    <w:rsid w:val="3FECF885"/>
    <w:rsid w:val="3FED7D60"/>
    <w:rsid w:val="3FEF62A8"/>
    <w:rsid w:val="3FF2A674"/>
    <w:rsid w:val="3FFF2A05"/>
    <w:rsid w:val="400B3158"/>
    <w:rsid w:val="401272A7"/>
    <w:rsid w:val="404A3285"/>
    <w:rsid w:val="406D5519"/>
    <w:rsid w:val="40AE7C64"/>
    <w:rsid w:val="41314E40"/>
    <w:rsid w:val="41481F33"/>
    <w:rsid w:val="417F01F8"/>
    <w:rsid w:val="41923405"/>
    <w:rsid w:val="41990C37"/>
    <w:rsid w:val="41F5CD77"/>
    <w:rsid w:val="41F77119"/>
    <w:rsid w:val="42F223AD"/>
    <w:rsid w:val="430E36E4"/>
    <w:rsid w:val="432B58BF"/>
    <w:rsid w:val="4361616E"/>
    <w:rsid w:val="43770B04"/>
    <w:rsid w:val="43B753A5"/>
    <w:rsid w:val="450F46B6"/>
    <w:rsid w:val="45D273CC"/>
    <w:rsid w:val="45DD5596"/>
    <w:rsid w:val="45EB3F1B"/>
    <w:rsid w:val="45F144E9"/>
    <w:rsid w:val="45FA6AFD"/>
    <w:rsid w:val="46206EE9"/>
    <w:rsid w:val="465313B5"/>
    <w:rsid w:val="466F33F9"/>
    <w:rsid w:val="479733DA"/>
    <w:rsid w:val="47F08867"/>
    <w:rsid w:val="48274E07"/>
    <w:rsid w:val="482F5E51"/>
    <w:rsid w:val="483D408A"/>
    <w:rsid w:val="485D651B"/>
    <w:rsid w:val="48862C62"/>
    <w:rsid w:val="48B545A9"/>
    <w:rsid w:val="48CC544E"/>
    <w:rsid w:val="48D507A7"/>
    <w:rsid w:val="48DA400F"/>
    <w:rsid w:val="48F7C863"/>
    <w:rsid w:val="493059DD"/>
    <w:rsid w:val="497A134E"/>
    <w:rsid w:val="49BC3715"/>
    <w:rsid w:val="49C8030C"/>
    <w:rsid w:val="4B1A06F3"/>
    <w:rsid w:val="4B250B93"/>
    <w:rsid w:val="4B4439C2"/>
    <w:rsid w:val="4B531E57"/>
    <w:rsid w:val="4B774FCB"/>
    <w:rsid w:val="4B7C0DDC"/>
    <w:rsid w:val="4C3C1FA9"/>
    <w:rsid w:val="4C6F5584"/>
    <w:rsid w:val="4D134330"/>
    <w:rsid w:val="4D8207D1"/>
    <w:rsid w:val="4DB90697"/>
    <w:rsid w:val="4DC40DEA"/>
    <w:rsid w:val="4E40453B"/>
    <w:rsid w:val="4E6A1991"/>
    <w:rsid w:val="4ED11A10"/>
    <w:rsid w:val="4ED432AF"/>
    <w:rsid w:val="4F0F5FD1"/>
    <w:rsid w:val="4F155DA1"/>
    <w:rsid w:val="4F156470"/>
    <w:rsid w:val="4F1D2EA8"/>
    <w:rsid w:val="4F402FD3"/>
    <w:rsid w:val="4F7A8C69"/>
    <w:rsid w:val="4F882150"/>
    <w:rsid w:val="4F8A1BF1"/>
    <w:rsid w:val="4FB01626"/>
    <w:rsid w:val="4FB7ABEF"/>
    <w:rsid w:val="4FED6DF9"/>
    <w:rsid w:val="4FFCC7F7"/>
    <w:rsid w:val="50067498"/>
    <w:rsid w:val="505B5238"/>
    <w:rsid w:val="5086682B"/>
    <w:rsid w:val="50B45346"/>
    <w:rsid w:val="50B52C6C"/>
    <w:rsid w:val="50BB2978"/>
    <w:rsid w:val="50FF7297"/>
    <w:rsid w:val="51525786"/>
    <w:rsid w:val="51874608"/>
    <w:rsid w:val="52102850"/>
    <w:rsid w:val="521701EA"/>
    <w:rsid w:val="525C703E"/>
    <w:rsid w:val="52860D64"/>
    <w:rsid w:val="52AA6800"/>
    <w:rsid w:val="52B4767F"/>
    <w:rsid w:val="53403A04"/>
    <w:rsid w:val="539F3E8B"/>
    <w:rsid w:val="53C953AC"/>
    <w:rsid w:val="542E16B3"/>
    <w:rsid w:val="54352A41"/>
    <w:rsid w:val="543A3BB4"/>
    <w:rsid w:val="546B6463"/>
    <w:rsid w:val="54AE2EBB"/>
    <w:rsid w:val="54B631A9"/>
    <w:rsid w:val="5539030F"/>
    <w:rsid w:val="556A671B"/>
    <w:rsid w:val="55AA6B17"/>
    <w:rsid w:val="55D43B94"/>
    <w:rsid w:val="55DB3175"/>
    <w:rsid w:val="55F141DC"/>
    <w:rsid w:val="55F67FAE"/>
    <w:rsid w:val="561A0928"/>
    <w:rsid w:val="562B23C1"/>
    <w:rsid w:val="565F3DA6"/>
    <w:rsid w:val="567F0D6F"/>
    <w:rsid w:val="56880BF3"/>
    <w:rsid w:val="56B20379"/>
    <w:rsid w:val="56DB7A46"/>
    <w:rsid w:val="57258788"/>
    <w:rsid w:val="57541431"/>
    <w:rsid w:val="57544F8D"/>
    <w:rsid w:val="575907F5"/>
    <w:rsid w:val="57830C8A"/>
    <w:rsid w:val="57A23F4A"/>
    <w:rsid w:val="57C87729"/>
    <w:rsid w:val="580B5F93"/>
    <w:rsid w:val="582152D7"/>
    <w:rsid w:val="585B059D"/>
    <w:rsid w:val="588E2720"/>
    <w:rsid w:val="58EC3877"/>
    <w:rsid w:val="59127D64"/>
    <w:rsid w:val="59672F36"/>
    <w:rsid w:val="598A113A"/>
    <w:rsid w:val="59E92304"/>
    <w:rsid w:val="59FB641D"/>
    <w:rsid w:val="5A1816E9"/>
    <w:rsid w:val="5A4A08C9"/>
    <w:rsid w:val="5AA425D2"/>
    <w:rsid w:val="5AE12FDB"/>
    <w:rsid w:val="5B5714EF"/>
    <w:rsid w:val="5B7E0DD5"/>
    <w:rsid w:val="5B7F0646"/>
    <w:rsid w:val="5BC3B45D"/>
    <w:rsid w:val="5C1271C4"/>
    <w:rsid w:val="5C533C3B"/>
    <w:rsid w:val="5C5F68AD"/>
    <w:rsid w:val="5C6914DA"/>
    <w:rsid w:val="5C875E04"/>
    <w:rsid w:val="5CA95D7B"/>
    <w:rsid w:val="5CCC1072"/>
    <w:rsid w:val="5CD83EAD"/>
    <w:rsid w:val="5D167261"/>
    <w:rsid w:val="5D2C42B6"/>
    <w:rsid w:val="5D4B0BE0"/>
    <w:rsid w:val="5D9E6187"/>
    <w:rsid w:val="5DFB77AF"/>
    <w:rsid w:val="5E2733FB"/>
    <w:rsid w:val="5E7E11C6"/>
    <w:rsid w:val="5E7F4FE5"/>
    <w:rsid w:val="5E824AD5"/>
    <w:rsid w:val="5EAD478B"/>
    <w:rsid w:val="5EB97DCB"/>
    <w:rsid w:val="5EC23124"/>
    <w:rsid w:val="5EE3157D"/>
    <w:rsid w:val="5EFFD060"/>
    <w:rsid w:val="5F7F9808"/>
    <w:rsid w:val="5FC243E0"/>
    <w:rsid w:val="5FD2383A"/>
    <w:rsid w:val="5FD70C34"/>
    <w:rsid w:val="5FDC5EDE"/>
    <w:rsid w:val="5FE6D987"/>
    <w:rsid w:val="5FF293F6"/>
    <w:rsid w:val="5FF7F745"/>
    <w:rsid w:val="5FFFE2BE"/>
    <w:rsid w:val="600A47FA"/>
    <w:rsid w:val="609D7126"/>
    <w:rsid w:val="61354081"/>
    <w:rsid w:val="61614E76"/>
    <w:rsid w:val="617BAEA3"/>
    <w:rsid w:val="61D86E23"/>
    <w:rsid w:val="61EC6C11"/>
    <w:rsid w:val="633234DD"/>
    <w:rsid w:val="638C3D00"/>
    <w:rsid w:val="64367AA7"/>
    <w:rsid w:val="64381F8A"/>
    <w:rsid w:val="64552344"/>
    <w:rsid w:val="645962D8"/>
    <w:rsid w:val="64BC23C3"/>
    <w:rsid w:val="64E95A2C"/>
    <w:rsid w:val="655F347A"/>
    <w:rsid w:val="65AB66C0"/>
    <w:rsid w:val="65DA6FA5"/>
    <w:rsid w:val="662918B0"/>
    <w:rsid w:val="666920D7"/>
    <w:rsid w:val="668524C1"/>
    <w:rsid w:val="668E0F7E"/>
    <w:rsid w:val="66CD75FC"/>
    <w:rsid w:val="66EC6F90"/>
    <w:rsid w:val="673B22E5"/>
    <w:rsid w:val="677D4C69"/>
    <w:rsid w:val="67CD91E4"/>
    <w:rsid w:val="67DF6BD7"/>
    <w:rsid w:val="67F105D6"/>
    <w:rsid w:val="681A5D7E"/>
    <w:rsid w:val="68212C69"/>
    <w:rsid w:val="68490412"/>
    <w:rsid w:val="68541290"/>
    <w:rsid w:val="68572B2F"/>
    <w:rsid w:val="68C53F3C"/>
    <w:rsid w:val="68F44821"/>
    <w:rsid w:val="68F46BD4"/>
    <w:rsid w:val="69272501"/>
    <w:rsid w:val="695452C0"/>
    <w:rsid w:val="69845BA5"/>
    <w:rsid w:val="698F6542"/>
    <w:rsid w:val="69CE6E20"/>
    <w:rsid w:val="69DF2DDC"/>
    <w:rsid w:val="6A0B3BD1"/>
    <w:rsid w:val="6A5C442C"/>
    <w:rsid w:val="6ABC0A42"/>
    <w:rsid w:val="6B6A2B79"/>
    <w:rsid w:val="6BDF231D"/>
    <w:rsid w:val="6BDF2CEC"/>
    <w:rsid w:val="6BF55A4E"/>
    <w:rsid w:val="6C1B0562"/>
    <w:rsid w:val="6C1B1096"/>
    <w:rsid w:val="6C793967"/>
    <w:rsid w:val="6C8D6407"/>
    <w:rsid w:val="6C9F6852"/>
    <w:rsid w:val="6CCB5899"/>
    <w:rsid w:val="6D0D0BF8"/>
    <w:rsid w:val="6D50469D"/>
    <w:rsid w:val="6D7D3037"/>
    <w:rsid w:val="6D8F1E9D"/>
    <w:rsid w:val="6DA57E98"/>
    <w:rsid w:val="6DDB1B0C"/>
    <w:rsid w:val="6E0A23F1"/>
    <w:rsid w:val="6E4B4EE4"/>
    <w:rsid w:val="6E51210E"/>
    <w:rsid w:val="6E6F3146"/>
    <w:rsid w:val="6E705080"/>
    <w:rsid w:val="6E843F52"/>
    <w:rsid w:val="6EC2EEE2"/>
    <w:rsid w:val="6EF6C99D"/>
    <w:rsid w:val="6EF70BC7"/>
    <w:rsid w:val="6EFF8E0E"/>
    <w:rsid w:val="6F795A80"/>
    <w:rsid w:val="6FB2556F"/>
    <w:rsid w:val="6FBE883C"/>
    <w:rsid w:val="6FE16D2C"/>
    <w:rsid w:val="6FEF025E"/>
    <w:rsid w:val="700600F8"/>
    <w:rsid w:val="70585696"/>
    <w:rsid w:val="705E1A2C"/>
    <w:rsid w:val="70D45C32"/>
    <w:rsid w:val="71552286"/>
    <w:rsid w:val="717402AD"/>
    <w:rsid w:val="717E613F"/>
    <w:rsid w:val="71D60F68"/>
    <w:rsid w:val="71F65166"/>
    <w:rsid w:val="721970A7"/>
    <w:rsid w:val="72734A09"/>
    <w:rsid w:val="72BA43E6"/>
    <w:rsid w:val="72D66F6E"/>
    <w:rsid w:val="72EC0317"/>
    <w:rsid w:val="72EF1DA9"/>
    <w:rsid w:val="735E37BE"/>
    <w:rsid w:val="73CF5158"/>
    <w:rsid w:val="73EF5B07"/>
    <w:rsid w:val="73F06019"/>
    <w:rsid w:val="73FD2450"/>
    <w:rsid w:val="740578E3"/>
    <w:rsid w:val="740F7EA7"/>
    <w:rsid w:val="7476258E"/>
    <w:rsid w:val="747DF78C"/>
    <w:rsid w:val="74844CAB"/>
    <w:rsid w:val="753F7320"/>
    <w:rsid w:val="756F9AA3"/>
    <w:rsid w:val="75D21A46"/>
    <w:rsid w:val="75EB19BF"/>
    <w:rsid w:val="762A1882"/>
    <w:rsid w:val="769B008A"/>
    <w:rsid w:val="769C07B3"/>
    <w:rsid w:val="769F401E"/>
    <w:rsid w:val="76F34B43"/>
    <w:rsid w:val="772B5915"/>
    <w:rsid w:val="7737D76C"/>
    <w:rsid w:val="77512E3F"/>
    <w:rsid w:val="777F0820"/>
    <w:rsid w:val="77970207"/>
    <w:rsid w:val="77E69386"/>
    <w:rsid w:val="77E7DEB1"/>
    <w:rsid w:val="77EEEFB8"/>
    <w:rsid w:val="77EF3F79"/>
    <w:rsid w:val="77EFE72C"/>
    <w:rsid w:val="77F74131"/>
    <w:rsid w:val="77F7758B"/>
    <w:rsid w:val="77FF6E02"/>
    <w:rsid w:val="781E5417"/>
    <w:rsid w:val="78220765"/>
    <w:rsid w:val="788D05C6"/>
    <w:rsid w:val="78E71CAD"/>
    <w:rsid w:val="78E81581"/>
    <w:rsid w:val="796C21B2"/>
    <w:rsid w:val="797A48CF"/>
    <w:rsid w:val="797F8EB9"/>
    <w:rsid w:val="79BF34D0"/>
    <w:rsid w:val="79FB4B6E"/>
    <w:rsid w:val="7A590988"/>
    <w:rsid w:val="7A792440"/>
    <w:rsid w:val="7A874A18"/>
    <w:rsid w:val="7AC7B570"/>
    <w:rsid w:val="7B2A085F"/>
    <w:rsid w:val="7B321E15"/>
    <w:rsid w:val="7B3F92F5"/>
    <w:rsid w:val="7B5A6766"/>
    <w:rsid w:val="7B5E34A6"/>
    <w:rsid w:val="7B707D38"/>
    <w:rsid w:val="7BF3BF6B"/>
    <w:rsid w:val="7BF95E03"/>
    <w:rsid w:val="7BFF1C65"/>
    <w:rsid w:val="7C466CEA"/>
    <w:rsid w:val="7C8D2B6B"/>
    <w:rsid w:val="7CA103C5"/>
    <w:rsid w:val="7D7A46FF"/>
    <w:rsid w:val="7DD7120D"/>
    <w:rsid w:val="7DDB9FF7"/>
    <w:rsid w:val="7DE52B00"/>
    <w:rsid w:val="7DEAF380"/>
    <w:rsid w:val="7DF7C82A"/>
    <w:rsid w:val="7DFBBA31"/>
    <w:rsid w:val="7DFDAA8E"/>
    <w:rsid w:val="7DFE05C7"/>
    <w:rsid w:val="7E6A3164"/>
    <w:rsid w:val="7EB40DB1"/>
    <w:rsid w:val="7EB9CBE5"/>
    <w:rsid w:val="7EDF2800"/>
    <w:rsid w:val="7EEAD700"/>
    <w:rsid w:val="7EF0118F"/>
    <w:rsid w:val="7EFD8D37"/>
    <w:rsid w:val="7EFE743C"/>
    <w:rsid w:val="7EFF2187"/>
    <w:rsid w:val="7EFF3191"/>
    <w:rsid w:val="7EFFCE16"/>
    <w:rsid w:val="7F0D3AAD"/>
    <w:rsid w:val="7F126040"/>
    <w:rsid w:val="7F1E3B29"/>
    <w:rsid w:val="7F2A0B36"/>
    <w:rsid w:val="7F2EAEF0"/>
    <w:rsid w:val="7F2F1157"/>
    <w:rsid w:val="7F370E89"/>
    <w:rsid w:val="7F3F88B9"/>
    <w:rsid w:val="7F4D1181"/>
    <w:rsid w:val="7F656284"/>
    <w:rsid w:val="7F6B6367"/>
    <w:rsid w:val="7F8F09A8"/>
    <w:rsid w:val="7F9DD2A1"/>
    <w:rsid w:val="7FBB6B20"/>
    <w:rsid w:val="7FBF29DB"/>
    <w:rsid w:val="7FBFD0BD"/>
    <w:rsid w:val="7FCD15A9"/>
    <w:rsid w:val="7FD72F3F"/>
    <w:rsid w:val="7FDBB585"/>
    <w:rsid w:val="7FEBD980"/>
    <w:rsid w:val="7FF63F82"/>
    <w:rsid w:val="7FF706B4"/>
    <w:rsid w:val="7FF93AEC"/>
    <w:rsid w:val="7FFEF7DA"/>
    <w:rsid w:val="7FFFD555"/>
    <w:rsid w:val="8BEB82E5"/>
    <w:rsid w:val="8FFF071B"/>
    <w:rsid w:val="95DFA7F0"/>
    <w:rsid w:val="97A33BCF"/>
    <w:rsid w:val="97BEFFC0"/>
    <w:rsid w:val="97BF76AA"/>
    <w:rsid w:val="9AFE0838"/>
    <w:rsid w:val="9DBDA84E"/>
    <w:rsid w:val="9F2F640D"/>
    <w:rsid w:val="9FBD3800"/>
    <w:rsid w:val="9FF749D2"/>
    <w:rsid w:val="A3CF374D"/>
    <w:rsid w:val="A3E73A97"/>
    <w:rsid w:val="A7AB1E4E"/>
    <w:rsid w:val="A7AF343D"/>
    <w:rsid w:val="A7F7BFA0"/>
    <w:rsid w:val="A7FF8EC3"/>
    <w:rsid w:val="AB71975E"/>
    <w:rsid w:val="AFFEA555"/>
    <w:rsid w:val="B38DACFF"/>
    <w:rsid w:val="B7EFB1D3"/>
    <w:rsid w:val="B7FB4D7A"/>
    <w:rsid w:val="B7FED447"/>
    <w:rsid w:val="B7FF82DD"/>
    <w:rsid w:val="BAB742E0"/>
    <w:rsid w:val="BBEE7CCA"/>
    <w:rsid w:val="BCEE7117"/>
    <w:rsid w:val="BD1F7DFE"/>
    <w:rsid w:val="BDF37A0F"/>
    <w:rsid w:val="BDFF7D75"/>
    <w:rsid w:val="BE3FAC9E"/>
    <w:rsid w:val="BE558F53"/>
    <w:rsid w:val="BEB99413"/>
    <w:rsid w:val="BEBFA8A4"/>
    <w:rsid w:val="BF7B4C2F"/>
    <w:rsid w:val="BFB57D81"/>
    <w:rsid w:val="BFBE1091"/>
    <w:rsid w:val="BFBF70AA"/>
    <w:rsid w:val="BFDC9146"/>
    <w:rsid w:val="BFFF9224"/>
    <w:rsid w:val="CF7F4A4C"/>
    <w:rsid w:val="CFE5497D"/>
    <w:rsid w:val="D7BF413C"/>
    <w:rsid w:val="D7DBA02F"/>
    <w:rsid w:val="D7FF7D43"/>
    <w:rsid w:val="DBAD8BEA"/>
    <w:rsid w:val="DBFAE0EB"/>
    <w:rsid w:val="DD66B94D"/>
    <w:rsid w:val="DDF1732A"/>
    <w:rsid w:val="DDFFC31C"/>
    <w:rsid w:val="DE57779C"/>
    <w:rsid w:val="DEFEEFFD"/>
    <w:rsid w:val="DF57FBA8"/>
    <w:rsid w:val="DF6A8C40"/>
    <w:rsid w:val="DF7FF1F4"/>
    <w:rsid w:val="DFC6772A"/>
    <w:rsid w:val="DFDF9007"/>
    <w:rsid w:val="DFEF8F91"/>
    <w:rsid w:val="E0FF90AE"/>
    <w:rsid w:val="E677DAE4"/>
    <w:rsid w:val="E6EF8D36"/>
    <w:rsid w:val="E77FC422"/>
    <w:rsid w:val="E79F46DB"/>
    <w:rsid w:val="E7BD246E"/>
    <w:rsid w:val="EA7F1FF8"/>
    <w:rsid w:val="EBB52F28"/>
    <w:rsid w:val="EC1F41C1"/>
    <w:rsid w:val="EDCF80FB"/>
    <w:rsid w:val="EE2BF009"/>
    <w:rsid w:val="EE7E00E4"/>
    <w:rsid w:val="EEEF3DE9"/>
    <w:rsid w:val="EEEF6B46"/>
    <w:rsid w:val="EF7F9EC9"/>
    <w:rsid w:val="EF9F3A42"/>
    <w:rsid w:val="EFDE3318"/>
    <w:rsid w:val="EFEBD032"/>
    <w:rsid w:val="EFEBF9E4"/>
    <w:rsid w:val="EFFBB643"/>
    <w:rsid w:val="EFFFB448"/>
    <w:rsid w:val="EFFFEFCE"/>
    <w:rsid w:val="F07B6BB0"/>
    <w:rsid w:val="F36A472B"/>
    <w:rsid w:val="F3772DC5"/>
    <w:rsid w:val="F3FF529D"/>
    <w:rsid w:val="F57F7EE5"/>
    <w:rsid w:val="F5935133"/>
    <w:rsid w:val="F5EB68DD"/>
    <w:rsid w:val="F5EFFC3B"/>
    <w:rsid w:val="F5FDA425"/>
    <w:rsid w:val="F67B3954"/>
    <w:rsid w:val="F6FFF242"/>
    <w:rsid w:val="F72FB394"/>
    <w:rsid w:val="F74F0825"/>
    <w:rsid w:val="F765D767"/>
    <w:rsid w:val="F7CF36CD"/>
    <w:rsid w:val="F7F279E5"/>
    <w:rsid w:val="F7FD2B73"/>
    <w:rsid w:val="F7FF2DB0"/>
    <w:rsid w:val="F8BCF225"/>
    <w:rsid w:val="F8FF2EF0"/>
    <w:rsid w:val="F96B5DB3"/>
    <w:rsid w:val="F9B3025F"/>
    <w:rsid w:val="FA5D40C3"/>
    <w:rsid w:val="FA7365DD"/>
    <w:rsid w:val="FA7E3AC7"/>
    <w:rsid w:val="FAEF9130"/>
    <w:rsid w:val="FAF73B08"/>
    <w:rsid w:val="FB318B81"/>
    <w:rsid w:val="FB73EDC8"/>
    <w:rsid w:val="FB7BD9E7"/>
    <w:rsid w:val="FBAF6951"/>
    <w:rsid w:val="FBB33DE5"/>
    <w:rsid w:val="FBBFDD9B"/>
    <w:rsid w:val="FBBFF9A1"/>
    <w:rsid w:val="FBCB4758"/>
    <w:rsid w:val="FBDDCE38"/>
    <w:rsid w:val="FBFB4BCA"/>
    <w:rsid w:val="FBFE02D3"/>
    <w:rsid w:val="FBFF5034"/>
    <w:rsid w:val="FBFF87D5"/>
    <w:rsid w:val="FBFFAD21"/>
    <w:rsid w:val="FC9DD7CF"/>
    <w:rsid w:val="FCFF0FD3"/>
    <w:rsid w:val="FD2FBFE7"/>
    <w:rsid w:val="FDF7AA80"/>
    <w:rsid w:val="FE313C12"/>
    <w:rsid w:val="FE7DE3D1"/>
    <w:rsid w:val="FEE7F5F1"/>
    <w:rsid w:val="FEECB410"/>
    <w:rsid w:val="FF2B870F"/>
    <w:rsid w:val="FF359B19"/>
    <w:rsid w:val="FF5314D5"/>
    <w:rsid w:val="FF6F4B51"/>
    <w:rsid w:val="FF777126"/>
    <w:rsid w:val="FF7B7C37"/>
    <w:rsid w:val="FF7BECB5"/>
    <w:rsid w:val="FFAF378C"/>
    <w:rsid w:val="FFBD474C"/>
    <w:rsid w:val="FFBF8DF0"/>
    <w:rsid w:val="FFBFA69D"/>
    <w:rsid w:val="FFDA9988"/>
    <w:rsid w:val="FFE71F7D"/>
    <w:rsid w:val="FFF6B465"/>
    <w:rsid w:val="FFF7CCBA"/>
    <w:rsid w:val="FFF96FB8"/>
    <w:rsid w:val="FFFB410C"/>
    <w:rsid w:val="FFFCD7CC"/>
    <w:rsid w:val="FFFF115C"/>
    <w:rsid w:val="FFFF5F45"/>
    <w:rsid w:val="FFFFC8B5"/>
    <w:rsid w:val="FFFFD2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80" w:firstLineChars="200"/>
      <w:jc w:val="both"/>
    </w:pPr>
    <w:rPr>
      <w:rFonts w:ascii="宋体" w:hAnsi="宋体" w:eastAsia="宋体" w:cs="Times New Roman"/>
      <w:kern w:val="2"/>
      <w:sz w:val="24"/>
      <w:szCs w:val="24"/>
      <w:lang w:val="en-US" w:eastAsia="zh-CN" w:bidi="ar-SA"/>
    </w:rPr>
  </w:style>
  <w:style w:type="paragraph" w:styleId="2">
    <w:name w:val="heading 1"/>
    <w:basedOn w:val="1"/>
    <w:next w:val="1"/>
    <w:qFormat/>
    <w:uiPriority w:val="0"/>
    <w:pPr>
      <w:keepNext/>
      <w:keepLines/>
      <w:numPr>
        <w:ilvl w:val="0"/>
        <w:numId w:val="1"/>
      </w:numPr>
      <w:outlineLvl w:val="0"/>
    </w:pPr>
    <w:rPr>
      <w:b/>
      <w:bCs/>
      <w:kern w:val="44"/>
      <w:szCs w:val="44"/>
    </w:rPr>
  </w:style>
  <w:style w:type="paragraph" w:styleId="3">
    <w:name w:val="heading 2"/>
    <w:basedOn w:val="1"/>
    <w:next w:val="1"/>
    <w:qFormat/>
    <w:uiPriority w:val="0"/>
    <w:pPr>
      <w:keepNext/>
      <w:keepLines/>
      <w:numPr>
        <w:ilvl w:val="1"/>
        <w:numId w:val="1"/>
      </w:numPr>
      <w:outlineLvl w:val="1"/>
    </w:pPr>
    <w:rPr>
      <w:b/>
      <w:bCs/>
      <w:szCs w:val="32"/>
    </w:rPr>
  </w:style>
  <w:style w:type="paragraph" w:styleId="4">
    <w:name w:val="heading 3"/>
    <w:basedOn w:val="1"/>
    <w:next w:val="1"/>
    <w:qFormat/>
    <w:uiPriority w:val="0"/>
    <w:pPr>
      <w:outlineLvl w:val="2"/>
    </w:pPr>
    <w:rPr>
      <w:b/>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7"/>
    <w:next w:val="7"/>
    <w:unhideWhenUsed/>
    <w:qFormat/>
    <w:uiPriority w:val="99"/>
    <w:pPr>
      <w:widowControl/>
      <w:tabs>
        <w:tab w:val="center" w:pos="4128"/>
        <w:tab w:val="right" w:pos="8256"/>
      </w:tabs>
      <w:spacing w:after="120"/>
      <w:jc w:val="left"/>
    </w:pPr>
    <w:rPr>
      <w:kern w:val="0"/>
      <w:sz w:val="24"/>
      <w:szCs w:val="24"/>
      <w:lang w:eastAsia="en-US" w:bidi="en-US"/>
    </w:rPr>
  </w:style>
  <w:style w:type="paragraph" w:styleId="7">
    <w:name w:val="Title"/>
    <w:basedOn w:val="1"/>
    <w:next w:val="1"/>
    <w:qFormat/>
    <w:uiPriority w:val="0"/>
    <w:pPr>
      <w:spacing w:before="240" w:after="60"/>
      <w:jc w:val="center"/>
      <w:outlineLvl w:val="0"/>
    </w:pPr>
    <w:rPr>
      <w:rFonts w:ascii="Arial" w:hAnsi="Arial" w:cs="Arial"/>
      <w:b/>
      <w:bCs/>
      <w:sz w:val="32"/>
      <w:szCs w:val="32"/>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0">
    <w:name w:val="toc 1"/>
    <w:basedOn w:val="1"/>
    <w:next w:val="1"/>
    <w:qFormat/>
    <w:uiPriority w:val="0"/>
    <w:pPr>
      <w:tabs>
        <w:tab w:val="right" w:leader="dot" w:pos="8296"/>
      </w:tabs>
    </w:pPr>
  </w:style>
  <w:style w:type="paragraph" w:styleId="11">
    <w:name w:val="Normal (Web)"/>
    <w:basedOn w:val="1"/>
    <w:qFormat/>
    <w:uiPriority w:val="0"/>
    <w:pPr>
      <w:spacing w:beforeAutospacing="1" w:afterAutospacing="1"/>
      <w:jc w:val="left"/>
    </w:pPr>
    <w:rPr>
      <w:kern w:val="0"/>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character" w:styleId="16">
    <w:name w:val="FollowedHyperlink"/>
    <w:qFormat/>
    <w:uiPriority w:val="0"/>
    <w:rPr>
      <w:color w:val="800080"/>
      <w:u w:val="none"/>
    </w:rPr>
  </w:style>
  <w:style w:type="character" w:styleId="17">
    <w:name w:val="Hyperlink"/>
    <w:qFormat/>
    <w:uiPriority w:val="0"/>
    <w:rPr>
      <w:color w:val="0000FF"/>
      <w:u w:val="none"/>
    </w:rPr>
  </w:style>
  <w:style w:type="paragraph" w:customStyle="1" w:styleId="18">
    <w:name w:val="目录 21"/>
    <w:basedOn w:val="1"/>
    <w:next w:val="1"/>
    <w:qFormat/>
    <w:uiPriority w:val="0"/>
    <w:pPr>
      <w:spacing w:before="100" w:beforeAutospacing="1" w:after="100" w:afterAutospacing="1"/>
      <w:ind w:left="420" w:leftChars="200"/>
    </w:pPr>
  </w:style>
  <w:style w:type="paragraph" w:customStyle="1" w:styleId="19">
    <w:name w:val="样式1"/>
    <w:basedOn w:val="1"/>
    <w:qFormat/>
    <w:uiPriority w:val="0"/>
    <w:pPr>
      <w:numPr>
        <w:ilvl w:val="2"/>
        <w:numId w:val="1"/>
      </w:numPr>
    </w:pPr>
  </w:style>
  <w:style w:type="paragraph" w:customStyle="1" w:styleId="20">
    <w:name w:val="样式2"/>
    <w:basedOn w:val="1"/>
    <w:qFormat/>
    <w:uiPriority w:val="0"/>
    <w:pPr>
      <w:numPr>
        <w:ilvl w:val="3"/>
        <w:numId w:val="1"/>
      </w:numPr>
    </w:pPr>
  </w:style>
  <w:style w:type="paragraph" w:customStyle="1" w:styleId="21">
    <w:name w:val="p0"/>
    <w:basedOn w:val="1"/>
    <w:qFormat/>
    <w:uiPriority w:val="0"/>
    <w:pPr>
      <w:widowControl/>
      <w:spacing w:line="240" w:lineRule="auto"/>
    </w:pPr>
    <w:rPr>
      <w:rFonts w:ascii="Times New Roman"/>
      <w:kern w:val="0"/>
      <w:sz w:val="21"/>
      <w:szCs w:val="21"/>
    </w:rPr>
  </w:style>
  <w:style w:type="paragraph" w:customStyle="1" w:styleId="22">
    <w:name w:val="表格正文"/>
    <w:basedOn w:val="1"/>
    <w:qFormat/>
    <w:uiPriority w:val="0"/>
    <w:pPr>
      <w:adjustRightInd w:val="0"/>
      <w:snapToGrid w:val="0"/>
      <w:spacing w:before="60" w:after="60"/>
      <w:ind w:firstLine="0" w:firstLineChars="0"/>
      <w:jc w:val="center"/>
      <w:textAlignment w:val="baseline"/>
    </w:pPr>
    <w:rPr>
      <w:rFonts w:ascii="Times New Roman" w:hAnsi="Times New Roman" w:eastAsia="仿宋"/>
      <w:kern w:val="0"/>
      <w:szCs w:val="20"/>
    </w:rPr>
  </w:style>
  <w:style w:type="paragraph" w:customStyle="1" w:styleId="23">
    <w:name w:val="List Paragraph"/>
    <w:basedOn w:val="1"/>
    <w:qFormat/>
    <w:uiPriority w:val="34"/>
    <w:pPr>
      <w:ind w:firstLine="420" w:firstLineChars="200"/>
    </w:pPr>
  </w:style>
  <w:style w:type="paragraph" w:customStyle="1" w:styleId="24">
    <w:name w:val="内容正文"/>
    <w:qFormat/>
    <w:uiPriority w:val="0"/>
    <w:pPr>
      <w:widowControl w:val="0"/>
      <w:spacing w:before="156" w:beforeLines="50" w:after="156" w:afterLines="50" w:line="360" w:lineRule="auto"/>
      <w:ind w:firstLine="420" w:firstLineChars="200"/>
      <w:jc w:val="both"/>
    </w:pPr>
    <w:rPr>
      <w:rFonts w:ascii="Arial" w:hAnsi="Arial" w:eastAsia="Times New Roman" w:cs="Times New Roman"/>
      <w:kern w:val="2"/>
      <w:sz w:val="21"/>
      <w:szCs w:val="21"/>
      <w:lang w:val="en-US" w:eastAsia="zh-CN" w:bidi="ar-SA"/>
    </w:rPr>
  </w:style>
  <w:style w:type="paragraph" w:customStyle="1" w:styleId="25">
    <w:name w:val="zw"/>
    <w:qFormat/>
    <w:uiPriority w:val="0"/>
    <w:pPr>
      <w:widowControl w:val="0"/>
      <w:topLinePunct/>
      <w:spacing w:line="312" w:lineRule="exact"/>
      <w:jc w:val="both"/>
    </w:pPr>
    <w:rPr>
      <w:rFonts w:ascii="宋体" w:hAnsi="宋体" w:eastAsia="宋体" w:cs="宋体"/>
      <w:kern w:val="2"/>
      <w:sz w:val="21"/>
      <w:szCs w:val="22"/>
      <w:lang w:val="en-US" w:eastAsia="zh-CN" w:bidi="ar-SA"/>
    </w:rPr>
  </w:style>
  <w:style w:type="paragraph" w:customStyle="1" w:styleId="26">
    <w:name w:val="3z"/>
    <w:qFormat/>
    <w:uiPriority w:val="0"/>
    <w:pPr>
      <w:widowControl w:val="0"/>
      <w:topLinePunct/>
      <w:spacing w:line="312" w:lineRule="exact"/>
      <w:jc w:val="both"/>
    </w:pPr>
    <w:rPr>
      <w:rFonts w:ascii="EU-F1" w:hAnsi="Calibri" w:eastAsia="黑体" w:cs="Times New Roman"/>
      <w:kern w:val="2"/>
      <w:sz w:val="21"/>
      <w:szCs w:val="21"/>
      <w:lang w:val="en-US" w:eastAsia="zh-CN" w:bidi="ar-SA"/>
    </w:rPr>
  </w:style>
  <w:style w:type="paragraph" w:customStyle="1" w:styleId="27">
    <w:name w:val="B"/>
    <w:qFormat/>
    <w:uiPriority w:val="0"/>
    <w:pPr>
      <w:widowControl w:val="0"/>
      <w:tabs>
        <w:tab w:val="center" w:pos="4706"/>
        <w:tab w:val="right" w:pos="9044"/>
      </w:tabs>
      <w:topLinePunct/>
      <w:spacing w:before="160" w:after="60" w:line="312" w:lineRule="exact"/>
      <w:jc w:val="center"/>
    </w:pPr>
    <w:rPr>
      <w:rFonts w:ascii="E-F1" w:hAnsi="Calibri" w:eastAsia="黑体" w:cs="Times New Roman"/>
      <w:kern w:val="2"/>
      <w:sz w:val="21"/>
      <w:szCs w:val="21"/>
      <w:lang w:val="en-US" w:eastAsia="zh-CN" w:bidi="ar-SA"/>
    </w:rPr>
  </w:style>
  <w:style w:type="paragraph" w:customStyle="1" w:styleId="28">
    <w:name w:val="bn"/>
    <w:qFormat/>
    <w:uiPriority w:val="0"/>
    <w:pPr>
      <w:widowControl w:val="0"/>
      <w:topLinePunct/>
      <w:spacing w:line="240" w:lineRule="auto"/>
      <w:jc w:val="center"/>
    </w:pPr>
    <w:rPr>
      <w:rFonts w:ascii="宋体" w:hAnsi="宋体" w:eastAsia="宋体" w:cs="宋体"/>
      <w:kern w:val="2"/>
      <w:sz w:val="18"/>
      <w:szCs w:val="22"/>
      <w:lang w:val="en-US" w:eastAsia="zh-CN" w:bidi="ar-SA"/>
    </w:rPr>
  </w:style>
  <w:style w:type="paragraph" w:customStyle="1" w:styleId="29">
    <w:name w:val="2z"/>
    <w:qFormat/>
    <w:uiPriority w:val="0"/>
    <w:pPr>
      <w:widowControl w:val="0"/>
      <w:topLinePunct/>
      <w:spacing w:line="480" w:lineRule="auto"/>
      <w:jc w:val="both"/>
    </w:pPr>
    <w:rPr>
      <w:rFonts w:ascii="EU-F1" w:hAnsi="Calibri" w:eastAsia="黑体" w:cs="Times New Roman"/>
      <w:kern w:val="21"/>
      <w:sz w:val="21"/>
      <w:szCs w:val="21"/>
      <w:lang w:val="en-US" w:eastAsia="zh-CN" w:bidi="ar-SA"/>
    </w:rPr>
  </w:style>
  <w:style w:type="paragraph" w:customStyle="1" w:styleId="30">
    <w:name w:val="二级标题"/>
    <w:basedOn w:val="1"/>
    <w:qFormat/>
    <w:uiPriority w:val="0"/>
    <w:pPr>
      <w:adjustRightInd w:val="0"/>
      <w:spacing w:after="78" w:line="360" w:lineRule="auto"/>
      <w:outlineLvl w:val="1"/>
    </w:pPr>
    <w:rPr>
      <w:rFonts w:ascii="仿宋" w:hAnsi="仿宋" w:eastAsia="仿宋" w:cs="仿宋"/>
      <w:b/>
      <w:bCs/>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5241</Words>
  <Characters>5405</Characters>
  <Lines>60</Lines>
  <Paragraphs>17</Paragraphs>
  <TotalTime>0</TotalTime>
  <ScaleCrop>false</ScaleCrop>
  <LinksUpToDate>false</LinksUpToDate>
  <CharactersWithSpaces>5427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2014-11-08T20:08:00Z</dcterms:created>
  <dc:creator>Administrator</dc:creator>
  <cp:lastModifiedBy>317D5B6515F2460FA5C43CD57FBCCA60</cp:lastModifiedBy>
  <dcterms:modified xsi:type="dcterms:W3CDTF">2026-04-23T02:38:13Z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8D481D9ECBB6462583E05A7EDFD3A370_13</vt:lpwstr>
  </property>
  <property fmtid="{D5CDD505-2E9C-101B-9397-08002B2CF9AE}" pid="4" name="KSOTemplateDocerSaveRecord">
    <vt:lpwstr>eyJoZGlkIjoiOGNhZDkwZmEwZDdkMGY4MWY2MmI5NWYxNzFlOTNiMjAiLCJ1c2VySWQiOiI0MzUxMjQyMzAifQ==</vt:lpwstr>
  </property>
</Properties>
</file>