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utoSpaceDE w:val="0"/>
        <w:autoSpaceDN w:val="0"/>
        <w:adjustRightInd w:val="0"/>
        <w:spacing w:line="360" w:lineRule="auto"/>
        <w:jc w:val="center"/>
        <w:rPr>
          <w:rFonts w:ascii="方正小标宋简体" w:eastAsia="方正小标宋简体"/>
          <w:color w:val="000000"/>
          <w:sz w:val="44"/>
          <w:szCs w:val="44"/>
        </w:rPr>
      </w:pPr>
      <w:r>
        <w:rPr>
          <w:rFonts w:hint="eastAsia" w:ascii="方正小标宋简体" w:eastAsia="方正小标宋简体"/>
          <w:color w:val="000000"/>
          <w:sz w:val="44"/>
          <w:szCs w:val="44"/>
        </w:rPr>
        <w:t>202</w:t>
      </w:r>
      <w:r>
        <w:rPr>
          <w:rFonts w:ascii="方正小标宋简体" w:eastAsia="方正小标宋简体"/>
          <w:color w:val="000000"/>
          <w:sz w:val="44"/>
          <w:szCs w:val="44"/>
        </w:rPr>
        <w:t>6</w:t>
      </w:r>
      <w:r>
        <w:rPr>
          <w:rFonts w:hint="eastAsia" w:ascii="方正小标宋简体" w:eastAsia="方正小标宋简体"/>
          <w:color w:val="000000"/>
          <w:sz w:val="44"/>
          <w:szCs w:val="44"/>
        </w:rPr>
        <w:t>年高新技术企业重新认定</w:t>
      </w:r>
    </w:p>
    <w:p>
      <w:pPr>
        <w:widowControl w:val="0"/>
        <w:autoSpaceDE w:val="0"/>
        <w:autoSpaceDN w:val="0"/>
        <w:adjustRightInd w:val="0"/>
        <w:spacing w:line="360" w:lineRule="auto"/>
        <w:jc w:val="center"/>
        <w:rPr>
          <w:rFonts w:ascii="方正小标宋简体" w:eastAsia="方正小标宋简体"/>
          <w:color w:val="000000"/>
          <w:sz w:val="44"/>
          <w:szCs w:val="44"/>
        </w:rPr>
      </w:pPr>
      <w:r>
        <w:rPr>
          <w:rFonts w:hint="eastAsia" w:ascii="方正小标宋简体" w:eastAsia="方正小标宋简体"/>
          <w:color w:val="000000"/>
          <w:sz w:val="44"/>
          <w:szCs w:val="44"/>
        </w:rPr>
        <w:t>项目技术标准和要求</w:t>
      </w:r>
    </w:p>
    <w:p>
      <w:pPr>
        <w:widowControl w:val="0"/>
        <w:spacing w:before="156" w:beforeLines="50" w:line="360" w:lineRule="auto"/>
        <w:outlineLvl w:val="0"/>
        <w:rPr>
          <w:rFonts w:hint="eastAsia" w:ascii="仿宋" w:hAnsi="仿宋" w:eastAsia="仿宋"/>
          <w:b/>
          <w:bCs/>
          <w:sz w:val="28"/>
          <w:szCs w:val="28"/>
        </w:rPr>
      </w:pPr>
      <w:r>
        <w:rPr>
          <w:rFonts w:hint="eastAsia" w:ascii="仿宋" w:hAnsi="仿宋" w:eastAsia="仿宋"/>
          <w:b/>
          <w:bCs/>
          <w:sz w:val="28"/>
          <w:szCs w:val="28"/>
        </w:rPr>
        <w:t>一、</w:t>
      </w:r>
      <w:r>
        <w:rPr>
          <w:rFonts w:ascii="仿宋" w:hAnsi="仿宋" w:eastAsia="仿宋"/>
          <w:b/>
          <w:bCs/>
          <w:sz w:val="28"/>
          <w:szCs w:val="28"/>
        </w:rPr>
        <w:t>项目</w:t>
      </w:r>
      <w:r>
        <w:rPr>
          <w:rFonts w:hint="eastAsia" w:ascii="仿宋" w:hAnsi="仿宋" w:eastAsia="仿宋"/>
          <w:b/>
          <w:bCs/>
          <w:sz w:val="28"/>
          <w:szCs w:val="28"/>
        </w:rPr>
        <w:t>概要</w:t>
      </w:r>
    </w:p>
    <w:p>
      <w:pPr>
        <w:widowControl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广州智业节能科技有限公司自2013年7月成立至今，陆续进行研究开发与技术成果转化，形成企业核心自主知识产权，并以此为基础开展经营活动。2023年申请认定的高新技术企业证书</w:t>
      </w:r>
      <w:r>
        <w:rPr>
          <w:rFonts w:hint="eastAsia" w:ascii="仿宋" w:hAnsi="仿宋" w:eastAsia="仿宋"/>
          <w:sz w:val="28"/>
          <w:szCs w:val="28"/>
          <w:highlight w:val="green"/>
        </w:rPr>
        <w:t>将于2026年12月27日到期</w:t>
      </w:r>
      <w:r>
        <w:rPr>
          <w:rFonts w:hint="eastAsia" w:ascii="仿宋" w:hAnsi="仿宋" w:eastAsia="仿宋"/>
          <w:sz w:val="28"/>
          <w:szCs w:val="28"/>
        </w:rPr>
        <w:t>，2026年需重新认定，为提升公司科技创新实力，开展2026年高新技术企业认定申报工作，申办高新技术企业证书。</w:t>
      </w:r>
    </w:p>
    <w:p>
      <w:pPr>
        <w:widowControl w:val="0"/>
        <w:spacing w:before="156" w:beforeLines="50" w:line="360" w:lineRule="auto"/>
        <w:outlineLvl w:val="0"/>
        <w:rPr>
          <w:rFonts w:hint="eastAsia" w:ascii="仿宋" w:hAnsi="仿宋" w:eastAsia="仿宋"/>
          <w:b/>
          <w:bCs/>
          <w:sz w:val="28"/>
          <w:szCs w:val="28"/>
        </w:rPr>
      </w:pPr>
      <w:r>
        <w:rPr>
          <w:rFonts w:hint="eastAsia" w:ascii="仿宋" w:hAnsi="仿宋" w:eastAsia="仿宋"/>
          <w:b/>
          <w:bCs/>
          <w:sz w:val="28"/>
          <w:szCs w:val="28"/>
        </w:rPr>
        <w:t>二、</w:t>
      </w:r>
      <w:r>
        <w:rPr>
          <w:rFonts w:ascii="仿宋" w:hAnsi="仿宋" w:eastAsia="仿宋"/>
          <w:b/>
          <w:bCs/>
          <w:sz w:val="28"/>
          <w:szCs w:val="28"/>
        </w:rPr>
        <w:t>项目</w:t>
      </w:r>
      <w:r>
        <w:rPr>
          <w:rFonts w:hint="eastAsia" w:ascii="仿宋" w:hAnsi="仿宋" w:eastAsia="仿宋"/>
          <w:b/>
          <w:bCs/>
          <w:sz w:val="28"/>
          <w:szCs w:val="28"/>
        </w:rPr>
        <w:t>服务目标</w:t>
      </w:r>
    </w:p>
    <w:p>
      <w:pPr>
        <w:pStyle w:val="2"/>
        <w:ind w:firstLine="560" w:firstLineChars="200"/>
        <w:rPr>
          <w:rFonts w:hint="eastAsia" w:ascii="仿宋" w:hAnsi="仿宋" w:eastAsia="仿宋"/>
          <w:sz w:val="28"/>
          <w:szCs w:val="28"/>
        </w:rPr>
      </w:pPr>
      <w:r>
        <w:rPr>
          <w:rFonts w:hint="eastAsia" w:ascii="仿宋" w:hAnsi="仿宋" w:eastAsia="仿宋"/>
          <w:sz w:val="28"/>
          <w:szCs w:val="28"/>
        </w:rPr>
        <w:t>保证广州智业节能科技有限公司202</w:t>
      </w:r>
      <w:r>
        <w:rPr>
          <w:rFonts w:ascii="仿宋" w:hAnsi="仿宋" w:eastAsia="仿宋"/>
          <w:sz w:val="28"/>
          <w:szCs w:val="28"/>
        </w:rPr>
        <w:t>6</w:t>
      </w:r>
      <w:r>
        <w:rPr>
          <w:rFonts w:hint="eastAsia" w:ascii="仿宋" w:hAnsi="仿宋" w:eastAsia="仿宋"/>
          <w:sz w:val="28"/>
          <w:szCs w:val="28"/>
        </w:rPr>
        <w:t>年高新技术企业认定通过。</w:t>
      </w:r>
    </w:p>
    <w:p>
      <w:pPr>
        <w:widowControl w:val="0"/>
        <w:spacing w:before="156" w:beforeLines="50" w:line="360" w:lineRule="auto"/>
        <w:outlineLvl w:val="0"/>
        <w:rPr>
          <w:rFonts w:hint="eastAsia" w:ascii="仿宋" w:hAnsi="仿宋" w:eastAsia="仿宋"/>
          <w:b/>
          <w:bCs/>
          <w:sz w:val="28"/>
          <w:szCs w:val="28"/>
        </w:rPr>
      </w:pPr>
      <w:r>
        <w:rPr>
          <w:rFonts w:hint="eastAsia" w:ascii="仿宋" w:hAnsi="仿宋" w:eastAsia="仿宋"/>
          <w:b/>
          <w:bCs/>
          <w:sz w:val="28"/>
          <w:szCs w:val="28"/>
        </w:rPr>
        <w:t>三、</w:t>
      </w:r>
      <w:r>
        <w:rPr>
          <w:rFonts w:ascii="仿宋" w:hAnsi="仿宋" w:eastAsia="仿宋"/>
          <w:b/>
          <w:bCs/>
          <w:sz w:val="28"/>
          <w:szCs w:val="28"/>
        </w:rPr>
        <w:t>项目</w:t>
      </w:r>
      <w:r>
        <w:rPr>
          <w:rFonts w:hint="eastAsia" w:ascii="仿宋" w:hAnsi="仿宋" w:eastAsia="仿宋"/>
          <w:b/>
          <w:bCs/>
          <w:sz w:val="28"/>
          <w:szCs w:val="28"/>
        </w:rPr>
        <w:t>服务</w:t>
      </w:r>
      <w:r>
        <w:rPr>
          <w:rFonts w:ascii="仿宋" w:hAnsi="仿宋" w:eastAsia="仿宋"/>
          <w:b/>
          <w:bCs/>
          <w:sz w:val="28"/>
          <w:szCs w:val="28"/>
        </w:rPr>
        <w:t>内容</w:t>
      </w:r>
      <w:bookmarkStart w:id="0" w:name="_Toc349217198"/>
      <w:bookmarkEnd w:id="0"/>
      <w:bookmarkStart w:id="1" w:name="_Toc353890058"/>
      <w:bookmarkEnd w:id="1"/>
      <w:bookmarkStart w:id="2" w:name="_Toc354148568"/>
      <w:bookmarkEnd w:id="2"/>
      <w:bookmarkStart w:id="3" w:name="_Toc354132703"/>
      <w:bookmarkEnd w:id="3"/>
      <w:bookmarkStart w:id="4" w:name="_Toc354132757"/>
      <w:bookmarkEnd w:id="4"/>
      <w:bookmarkStart w:id="5" w:name="_Toc354147768"/>
      <w:bookmarkEnd w:id="5"/>
      <w:bookmarkStart w:id="6" w:name="_Toc349217193"/>
      <w:bookmarkEnd w:id="6"/>
      <w:bookmarkStart w:id="7" w:name="_Toc354064879"/>
      <w:bookmarkEnd w:id="7"/>
      <w:bookmarkStart w:id="8" w:name="_Toc353958924"/>
      <w:bookmarkEnd w:id="8"/>
      <w:bookmarkStart w:id="9" w:name="_Toc354152594"/>
      <w:bookmarkEnd w:id="9"/>
      <w:bookmarkStart w:id="10" w:name="_Toc354132762"/>
      <w:bookmarkEnd w:id="10"/>
      <w:bookmarkStart w:id="11" w:name="_Toc354146213"/>
      <w:bookmarkEnd w:id="11"/>
      <w:bookmarkStart w:id="12" w:name="_Toc339051572"/>
      <w:bookmarkEnd w:id="12"/>
      <w:bookmarkStart w:id="13" w:name="_Toc356552736"/>
      <w:bookmarkEnd w:id="13"/>
      <w:bookmarkStart w:id="14" w:name="_Toc354148563"/>
      <w:bookmarkEnd w:id="14"/>
      <w:bookmarkStart w:id="15" w:name="_Toc354069793"/>
      <w:bookmarkEnd w:id="15"/>
      <w:bookmarkStart w:id="16" w:name="_Toc353897396"/>
      <w:bookmarkEnd w:id="16"/>
      <w:bookmarkStart w:id="17" w:name="_Toc354152589"/>
      <w:bookmarkEnd w:id="17"/>
      <w:bookmarkStart w:id="18" w:name="_Toc353892892"/>
      <w:bookmarkEnd w:id="18"/>
      <w:bookmarkStart w:id="19" w:name="_Toc354069798"/>
      <w:bookmarkEnd w:id="19"/>
      <w:bookmarkStart w:id="20" w:name="_Toc354564311"/>
      <w:bookmarkEnd w:id="20"/>
      <w:bookmarkStart w:id="21" w:name="_Toc353890053"/>
      <w:bookmarkEnd w:id="21"/>
      <w:bookmarkStart w:id="22" w:name="_Toc354132708"/>
      <w:bookmarkEnd w:id="22"/>
      <w:bookmarkStart w:id="23" w:name="_Toc354064830"/>
      <w:bookmarkEnd w:id="23"/>
      <w:bookmarkStart w:id="24" w:name="_Toc354564306"/>
      <w:bookmarkEnd w:id="24"/>
      <w:bookmarkStart w:id="25" w:name="_Toc356549650"/>
      <w:bookmarkEnd w:id="25"/>
      <w:bookmarkStart w:id="26" w:name="_Toc356549655"/>
      <w:bookmarkEnd w:id="26"/>
      <w:bookmarkStart w:id="27" w:name="_Toc354064825"/>
      <w:bookmarkEnd w:id="27"/>
      <w:bookmarkStart w:id="28" w:name="_Toc353958919"/>
      <w:bookmarkEnd w:id="28"/>
      <w:bookmarkStart w:id="29" w:name="_Toc353897401"/>
      <w:bookmarkEnd w:id="29"/>
      <w:bookmarkStart w:id="30" w:name="_Toc353892897"/>
      <w:bookmarkEnd w:id="30"/>
      <w:bookmarkStart w:id="31" w:name="_Toc356552731"/>
      <w:bookmarkEnd w:id="31"/>
      <w:bookmarkStart w:id="32" w:name="_Toc354147763"/>
      <w:bookmarkEnd w:id="32"/>
      <w:bookmarkStart w:id="33" w:name="_Toc354146218"/>
      <w:bookmarkEnd w:id="33"/>
      <w:bookmarkStart w:id="34" w:name="_Toc339051577"/>
      <w:bookmarkEnd w:id="34"/>
      <w:bookmarkStart w:id="35" w:name="_Toc354064884"/>
      <w:bookmarkEnd w:id="35"/>
      <w:r>
        <w:rPr>
          <w:rFonts w:hint="eastAsia" w:ascii="仿宋" w:hAnsi="仿宋" w:eastAsia="仿宋"/>
          <w:b/>
          <w:bCs/>
          <w:sz w:val="28"/>
          <w:szCs w:val="28"/>
        </w:rPr>
        <w:t>及要求</w:t>
      </w:r>
    </w:p>
    <w:p>
      <w:pPr>
        <w:widowControl w:val="0"/>
        <w:spacing w:before="156" w:beforeLines="50" w:line="360" w:lineRule="auto"/>
        <w:ind w:firstLine="560" w:firstLineChars="200"/>
        <w:rPr>
          <w:rFonts w:hint="eastAsia" w:ascii="仿宋" w:hAnsi="仿宋" w:eastAsia="仿宋"/>
          <w:sz w:val="28"/>
          <w:szCs w:val="28"/>
        </w:rPr>
      </w:pPr>
      <w:r>
        <w:rPr>
          <w:rFonts w:hint="eastAsia" w:ascii="仿宋" w:hAnsi="仿宋" w:eastAsia="仿宋"/>
          <w:sz w:val="28"/>
          <w:szCs w:val="28"/>
        </w:rPr>
        <w:t>为广州智业节能科技有限公司编制202</w:t>
      </w:r>
      <w:r>
        <w:rPr>
          <w:rFonts w:ascii="仿宋" w:hAnsi="仿宋" w:eastAsia="仿宋"/>
          <w:sz w:val="28"/>
          <w:szCs w:val="28"/>
        </w:rPr>
        <w:t>6</w:t>
      </w:r>
      <w:r>
        <w:rPr>
          <w:rFonts w:hint="eastAsia" w:ascii="仿宋" w:hAnsi="仿宋" w:eastAsia="仿宋"/>
          <w:sz w:val="28"/>
          <w:szCs w:val="28"/>
        </w:rPr>
        <w:t>年高新技术企业认定需要的所有申报材料。</w:t>
      </w:r>
    </w:p>
    <w:p>
      <w:pPr>
        <w:widowControl w:val="0"/>
        <w:spacing w:before="156" w:beforeLines="50" w:line="360" w:lineRule="auto"/>
        <w:outlineLvl w:val="0"/>
        <w:rPr>
          <w:rFonts w:hint="eastAsia" w:ascii="仿宋" w:hAnsi="仿宋" w:eastAsia="仿宋"/>
          <w:b/>
          <w:bCs/>
          <w:sz w:val="28"/>
          <w:szCs w:val="28"/>
        </w:rPr>
      </w:pPr>
      <w:r>
        <w:rPr>
          <w:rFonts w:hint="eastAsia" w:ascii="仿宋" w:hAnsi="仿宋" w:eastAsia="仿宋"/>
          <w:b/>
          <w:bCs/>
          <w:sz w:val="28"/>
          <w:szCs w:val="28"/>
        </w:rPr>
        <w:t>四、服务期限</w:t>
      </w:r>
    </w:p>
    <w:p>
      <w:pPr>
        <w:widowControl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合同签订之日起至国家高新技术企业认定管理工作网公示广州智业节能科技有限公司202</w:t>
      </w:r>
      <w:r>
        <w:rPr>
          <w:rFonts w:ascii="仿宋" w:hAnsi="仿宋" w:eastAsia="仿宋"/>
          <w:sz w:val="28"/>
          <w:szCs w:val="28"/>
        </w:rPr>
        <w:t>6</w:t>
      </w:r>
      <w:r>
        <w:rPr>
          <w:rFonts w:hint="eastAsia" w:ascii="仿宋" w:hAnsi="仿宋" w:eastAsia="仿宋"/>
          <w:sz w:val="28"/>
          <w:szCs w:val="28"/>
        </w:rPr>
        <w:t>年高新技术企业证书之日止。</w:t>
      </w:r>
    </w:p>
    <w:p>
      <w:pPr>
        <w:widowControl w:val="0"/>
        <w:spacing w:before="156" w:beforeLines="50" w:line="360" w:lineRule="auto"/>
        <w:outlineLvl w:val="0"/>
        <w:rPr>
          <w:rFonts w:hint="eastAsia" w:ascii="仿宋" w:hAnsi="仿宋" w:eastAsia="仿宋"/>
          <w:b/>
          <w:bCs/>
          <w:sz w:val="28"/>
          <w:szCs w:val="28"/>
        </w:rPr>
      </w:pPr>
      <w:r>
        <w:rPr>
          <w:rFonts w:hint="eastAsia" w:ascii="仿宋" w:hAnsi="仿宋" w:eastAsia="仿宋"/>
          <w:b/>
          <w:bCs/>
          <w:sz w:val="28"/>
          <w:szCs w:val="28"/>
        </w:rPr>
        <w:t>五、报价人资质要求</w:t>
      </w:r>
    </w:p>
    <w:p>
      <w:pPr>
        <w:widowControl w:val="0"/>
        <w:spacing w:before="156" w:beforeLines="50" w:line="360" w:lineRule="auto"/>
        <w:ind w:firstLine="560" w:firstLineChars="200"/>
        <w:jc w:val="both"/>
        <w:rPr>
          <w:rFonts w:hint="eastAsia" w:ascii="仿宋" w:hAnsi="仿宋" w:eastAsia="仿宋" w:cstheme="minorBidi"/>
          <w:kern w:val="2"/>
          <w:sz w:val="28"/>
          <w:szCs w:val="28"/>
        </w:rPr>
      </w:pPr>
      <w:r>
        <w:rPr>
          <w:rFonts w:hint="eastAsia" w:ascii="仿宋" w:hAnsi="仿宋" w:eastAsia="仿宋" w:cstheme="minorBidi"/>
          <w:kern w:val="2"/>
          <w:sz w:val="28"/>
          <w:szCs w:val="28"/>
        </w:rPr>
        <w:t>1.经行政管理部门登记注册的独立企业（事业）法人，具备有效的营业执照或事业单位法人证书等法定证明文件，且成立满5年以上。</w:t>
      </w:r>
    </w:p>
    <w:p>
      <w:pPr>
        <w:widowControl w:val="0"/>
        <w:spacing w:before="156" w:beforeLines="50" w:line="360" w:lineRule="auto"/>
        <w:ind w:firstLine="560" w:firstLineChars="200"/>
        <w:jc w:val="both"/>
        <w:rPr>
          <w:rFonts w:hint="eastAsia" w:ascii="仿宋" w:hAnsi="仿宋" w:eastAsia="仿宋" w:cstheme="minorBidi"/>
          <w:kern w:val="2"/>
          <w:sz w:val="28"/>
          <w:szCs w:val="28"/>
        </w:rPr>
      </w:pPr>
      <w:r>
        <w:rPr>
          <w:rFonts w:hint="eastAsia" w:ascii="仿宋" w:hAnsi="仿宋" w:eastAsia="仿宋" w:cstheme="minorBidi"/>
          <w:kern w:val="2"/>
          <w:sz w:val="28"/>
          <w:szCs w:val="28"/>
        </w:rPr>
        <w:t>2.企业业绩要求：2022年至今承担过45个以上（含45个）类似项目（类似项目指协助或参与相关高新技术企业申报认定工作，证明材料：成交通知书或合同或业主证明材料）。其中服务国有企业1个以上（含1个）且需提供认定成功的证明材料。</w:t>
      </w:r>
    </w:p>
    <w:p>
      <w:pPr>
        <w:widowControl w:val="0"/>
        <w:spacing w:before="156" w:beforeLines="50" w:line="360" w:lineRule="auto"/>
        <w:ind w:firstLine="560" w:firstLineChars="200"/>
        <w:jc w:val="both"/>
        <w:rPr>
          <w:rFonts w:hint="eastAsia" w:ascii="仿宋" w:hAnsi="仿宋" w:eastAsia="仿宋" w:cstheme="minorBidi"/>
          <w:kern w:val="2"/>
          <w:sz w:val="28"/>
          <w:szCs w:val="28"/>
        </w:rPr>
      </w:pPr>
      <w:r>
        <w:rPr>
          <w:rFonts w:hint="eastAsia" w:ascii="仿宋" w:hAnsi="仿宋" w:eastAsia="仿宋" w:cstheme="minorBidi"/>
          <w:kern w:val="2"/>
          <w:sz w:val="28"/>
          <w:szCs w:val="28"/>
        </w:rPr>
        <w:t>3.项目负责人资格要求：中级职称以上，且为科技专家库成员或市级科技成果转化评审专家库成员，提供证明材料。</w:t>
      </w:r>
    </w:p>
    <w:p>
      <w:pPr>
        <w:widowControl w:val="0"/>
        <w:spacing w:before="156" w:beforeLines="50" w:line="360" w:lineRule="auto"/>
        <w:ind w:firstLine="560" w:firstLineChars="200"/>
        <w:jc w:val="both"/>
        <w:rPr>
          <w:rFonts w:hint="eastAsia" w:ascii="仿宋" w:hAnsi="仿宋" w:eastAsia="仿宋" w:cstheme="minorBidi"/>
          <w:kern w:val="2"/>
          <w:sz w:val="28"/>
          <w:szCs w:val="28"/>
        </w:rPr>
      </w:pPr>
      <w:r>
        <w:rPr>
          <w:rFonts w:hint="eastAsia" w:ascii="仿宋" w:hAnsi="仿宋" w:eastAsia="仿宋" w:cstheme="minorBidi"/>
          <w:kern w:val="2"/>
          <w:sz w:val="28"/>
          <w:szCs w:val="28"/>
        </w:rPr>
        <w:t>4.财务要求：需提供2023-2025年三年度的企业审计报告。</w:t>
      </w:r>
    </w:p>
    <w:p>
      <w:pPr>
        <w:widowControl w:val="0"/>
        <w:spacing w:before="156" w:beforeLines="50" w:line="360" w:lineRule="auto"/>
        <w:ind w:firstLine="560" w:firstLineChars="200"/>
        <w:jc w:val="both"/>
      </w:pPr>
      <w:r>
        <w:rPr>
          <w:rFonts w:ascii="仿宋" w:hAnsi="仿宋" w:eastAsia="仿宋" w:cstheme="minorBidi"/>
          <w:kern w:val="2"/>
          <w:sz w:val="28"/>
          <w:szCs w:val="28"/>
        </w:rPr>
        <w:t>5</w:t>
      </w:r>
      <w:r>
        <w:rPr>
          <w:rFonts w:hint="eastAsia" w:ascii="仿宋" w:hAnsi="仿宋" w:eastAsia="仿宋" w:cstheme="minorBidi"/>
          <w:kern w:val="2"/>
          <w:sz w:val="28"/>
          <w:szCs w:val="28"/>
        </w:rPr>
        <w:t>.信誉情况：</w:t>
      </w:r>
      <w:r>
        <w:rPr>
          <w:rFonts w:hint="eastAsia" w:ascii="仿宋" w:hAnsi="仿宋" w:eastAsia="仿宋" w:cstheme="minorBidi"/>
          <w:kern w:val="2"/>
          <w:sz w:val="28"/>
          <w:szCs w:val="28"/>
          <w:lang w:val="en-US" w:eastAsia="zh-CN"/>
        </w:rPr>
        <w:t>报价单位</w:t>
      </w:r>
      <w:bookmarkStart w:id="36" w:name="_GoBack"/>
      <w:bookmarkEnd w:id="36"/>
      <w:r>
        <w:rPr>
          <w:rFonts w:hint="eastAsia" w:ascii="仿宋" w:hAnsi="仿宋" w:eastAsia="仿宋" w:cstheme="minorBidi"/>
          <w:kern w:val="2"/>
          <w:sz w:val="28"/>
          <w:szCs w:val="28"/>
        </w:rPr>
        <w:t>未被工商行政管理（市场监督管理）机关在“国家企业信用信息公示系统（http://www.gsxt.gov.cn/）”中列入“严重违法失信企业名单”和“经营异常名录”；未被“信用中国（https://www.creditchina.gov.cn/）”网站列入“失信被执行人”、“重大税收违法案件当事人名单”；且在“中国政府采购网”（www.ccgp.gov.cn）没有政府采购严重违法失信行为记录（被禁止在一定期限内参加政府采购活动，但期限届满的除外），提供相关网站查询结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JkOGIwMDEyNzc0ZDQ4YWMxNWVhZmZjYzg5MjI1N2MifQ=="/>
  </w:docVars>
  <w:rsids>
    <w:rsidRoot w:val="388B34F0"/>
    <w:rsid w:val="00272A0A"/>
    <w:rsid w:val="003E0E0F"/>
    <w:rsid w:val="006972F9"/>
    <w:rsid w:val="006E1260"/>
    <w:rsid w:val="007D610B"/>
    <w:rsid w:val="009D6166"/>
    <w:rsid w:val="00AF0BC9"/>
    <w:rsid w:val="00CF412A"/>
    <w:rsid w:val="00D70640"/>
    <w:rsid w:val="00D941F4"/>
    <w:rsid w:val="00DA70C0"/>
    <w:rsid w:val="00FC3B2D"/>
    <w:rsid w:val="19AC3F34"/>
    <w:rsid w:val="1AC02C88"/>
    <w:rsid w:val="1F371F44"/>
    <w:rsid w:val="2CDA7A2F"/>
    <w:rsid w:val="321C0F32"/>
    <w:rsid w:val="388B34F0"/>
    <w:rsid w:val="412C0CF3"/>
    <w:rsid w:val="440D591D"/>
    <w:rsid w:val="49272046"/>
    <w:rsid w:val="51202FAE"/>
    <w:rsid w:val="569C2904"/>
    <w:rsid w:val="69303421"/>
    <w:rsid w:val="70011D2E"/>
    <w:rsid w:val="71B00A4B"/>
    <w:rsid w:val="795454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99"/>
    <w:pPr>
      <w:spacing w:after="120"/>
    </w:pPr>
  </w:style>
  <w:style w:type="paragraph" w:styleId="3">
    <w:name w:val="footer"/>
    <w:basedOn w:val="1"/>
    <w:link w:val="8"/>
    <w:qFormat/>
    <w:uiPriority w:val="0"/>
    <w:pPr>
      <w:tabs>
        <w:tab w:val="center" w:pos="4153"/>
        <w:tab w:val="right" w:pos="8306"/>
      </w:tabs>
      <w:snapToGrid w:val="0"/>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0"/>
    <w:rPr>
      <w:sz w:val="18"/>
      <w:szCs w:val="18"/>
    </w:rPr>
  </w:style>
  <w:style w:type="character" w:customStyle="1" w:styleId="8">
    <w:name w:val="页脚 字符"/>
    <w:basedOn w:val="6"/>
    <w:link w:val="3"/>
    <w:qFormat/>
    <w:uiPriority w:val="0"/>
    <w:rPr>
      <w:sz w:val="18"/>
      <w:szCs w:val="18"/>
    </w:rPr>
  </w:style>
  <w:style w:type="paragraph" w:customStyle="1" w:styleId="9">
    <w:name w:val="Revision"/>
    <w:hidden/>
    <w:unhideWhenUsed/>
    <w:uiPriority w:val="99"/>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神州网信技术有限公司</Company>
  <Pages>2</Pages>
  <Words>128</Words>
  <Characters>734</Characters>
  <Lines>6</Lines>
  <Paragraphs>1</Paragraphs>
  <TotalTime>9</TotalTime>
  <ScaleCrop>false</ScaleCrop>
  <LinksUpToDate>false</LinksUpToDate>
  <CharactersWithSpaces>861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2026-01-04T01:43:00Z</dcterms:created>
  <dc:creator>CHENG</dc:creator>
  <cp:lastModifiedBy>马颖玥</cp:lastModifiedBy>
  <dcterms:modified xsi:type="dcterms:W3CDTF">2026-05-12T02:11:13Z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B66F7608CC4D4B5FA65AB9A8CCC10C8D</vt:lpwstr>
  </property>
</Properties>
</file>