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b/>
          <w:bCs/>
          <w:sz w:val="44"/>
          <w:szCs w:val="44"/>
          <w:lang w:val="en-US" w:eastAsia="zh-CN"/>
        </w:rPr>
        <w:t>广西电网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公司本部2026年AB座连廊新增电梯项目</w:t>
      </w:r>
      <w:r>
        <w:rPr>
          <w:rFonts w:hint="eastAsia" w:cs="宋体"/>
          <w:b/>
          <w:bCs/>
          <w:sz w:val="44"/>
          <w:szCs w:val="44"/>
          <w:lang w:val="en-US" w:eastAsia="zh-CN"/>
        </w:rPr>
        <w:t>控制点测量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技术规范书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</w:p>
    <w:sdt>
      <w:sdtPr>
        <w:rPr>
          <w:rFonts w:ascii="宋体" w:hAnsi="宋体" w:eastAsia="宋体" w:cstheme="minorBidi"/>
          <w:sz w:val="21"/>
          <w:szCs w:val="22"/>
          <w:lang w:val="en-US" w:eastAsia="en-US" w:bidi="ar-SA"/>
        </w:rPr>
        <w:id w:val="147466997"/>
        <w15:color w:val="DBDBDB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sz w:val="21"/>
          <w:szCs w:val="22"/>
          <w:lang w:val="en-US" w:eastAsia="en-US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sz w:val="44"/>
              <w:szCs w:val="44"/>
            </w:rPr>
          </w:pPr>
          <w:r>
            <w:rPr>
              <w:rFonts w:ascii="宋体" w:hAnsi="宋体" w:eastAsia="宋体"/>
              <w:sz w:val="44"/>
              <w:szCs w:val="44"/>
            </w:rPr>
            <w:t>目录</w:t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TOC \o "1-3"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_Toc5799 </w:instrText>
          </w:r>
          <w:r>
            <w:fldChar w:fldCharType="separate"/>
          </w:r>
          <w:r>
            <w:rPr>
              <w:rFonts w:hint="eastAsia"/>
              <w:szCs w:val="28"/>
              <w:lang w:val="en-US" w:eastAsia="zh-CN"/>
            </w:rPr>
            <w:t>第一章总则</w:t>
          </w:r>
          <w:r>
            <w:tab/>
          </w:r>
          <w:r>
            <w:fldChar w:fldCharType="begin"/>
          </w:r>
          <w:r>
            <w:instrText xml:space="preserve"> PAGEREF _Toc5799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_Toc20794 </w:instrText>
          </w:r>
          <w:r>
            <w:fldChar w:fldCharType="separate"/>
          </w:r>
          <w:r>
            <w:rPr>
              <w:rFonts w:hint="eastAsia"/>
              <w:szCs w:val="28"/>
              <w:lang w:val="en-US" w:eastAsia="zh-CN"/>
            </w:rPr>
            <w:t>第二章测量单位资质及人员、设备要求</w:t>
          </w:r>
          <w:r>
            <w:tab/>
          </w:r>
          <w:r>
            <w:fldChar w:fldCharType="begin"/>
          </w:r>
          <w:r>
            <w:instrText xml:space="preserve"> PAGEREF _Toc20794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_Toc395 </w:instrText>
          </w:r>
          <w:r>
            <w:fldChar w:fldCharType="separate"/>
          </w:r>
          <w:r>
            <w:rPr>
              <w:rFonts w:hint="eastAsia"/>
              <w:szCs w:val="28"/>
              <w:lang w:val="en-US" w:eastAsia="zh-CN"/>
            </w:rPr>
            <w:t>第三章测量工作内容及技术要求</w:t>
          </w:r>
          <w:r>
            <w:tab/>
          </w:r>
          <w:r>
            <w:fldChar w:fldCharType="begin"/>
          </w:r>
          <w:r>
            <w:instrText xml:space="preserve"> PAGEREF _Toc395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_Toc25513 </w:instrText>
          </w:r>
          <w:r>
            <w:fldChar w:fldCharType="separate"/>
          </w:r>
          <w:r>
            <w:rPr>
              <w:rFonts w:hint="eastAsia"/>
              <w:szCs w:val="28"/>
              <w:lang w:val="en-US" w:eastAsia="zh-CN"/>
            </w:rPr>
            <w:t>第四章测量成果交付要求</w:t>
          </w:r>
          <w:r>
            <w:tab/>
          </w:r>
          <w:r>
            <w:fldChar w:fldCharType="begin"/>
          </w:r>
          <w:r>
            <w:instrText xml:space="preserve"> PAGEREF _Toc25513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_Toc27283 </w:instrText>
          </w:r>
          <w:r>
            <w:fldChar w:fldCharType="separate"/>
          </w:r>
          <w:r>
            <w:rPr>
              <w:rFonts w:hint="eastAsia"/>
              <w:szCs w:val="28"/>
              <w:lang w:val="en-US" w:eastAsia="zh-CN"/>
            </w:rPr>
            <w:t>第六章服务及质量责任要求</w:t>
          </w:r>
          <w:r>
            <w:tab/>
          </w:r>
          <w:r>
            <w:fldChar w:fldCharType="begin"/>
          </w:r>
          <w:r>
            <w:instrText xml:space="preserve"> PAGEREF _Toc27283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_Toc31418 </w:instrText>
          </w:r>
          <w:r>
            <w:fldChar w:fldCharType="separate"/>
          </w:r>
          <w:r>
            <w:rPr>
              <w:rFonts w:hint="eastAsia"/>
              <w:szCs w:val="28"/>
              <w:lang w:val="en-US" w:eastAsia="zh-CN"/>
            </w:rPr>
            <w:t>第七章其他要求</w:t>
          </w:r>
          <w:r>
            <w:tab/>
          </w:r>
          <w:r>
            <w:fldChar w:fldCharType="begin"/>
          </w:r>
          <w:r>
            <w:instrText xml:space="preserve"> PAGEREF _Toc31418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>
          <w:r>
            <w:fldChar w:fldCharType="end"/>
          </w:r>
        </w:p>
      </w:sdtContent>
    </w:sdt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b/>
          <w:bCs/>
          <w:sz w:val="44"/>
          <w:szCs w:val="44"/>
          <w:lang w:val="en-US" w:eastAsia="zh-CN"/>
        </w:rPr>
        <w:t>广西电网</w:t>
      </w:r>
      <w:bookmarkStart w:id="6" w:name="_GoBack"/>
      <w:bookmarkEnd w:id="6"/>
      <w:r>
        <w:rPr>
          <w:rFonts w:hint="eastAsia" w:ascii="宋体" w:hAnsi="宋体" w:eastAsia="宋体" w:cs="宋体"/>
          <w:b/>
          <w:bCs/>
          <w:sz w:val="44"/>
          <w:szCs w:val="44"/>
        </w:rPr>
        <w:t>公司本部2026年AB座连廊新增电梯项目</w:t>
      </w:r>
      <w:r>
        <w:rPr>
          <w:rFonts w:hint="eastAsia" w:cs="宋体"/>
          <w:b/>
          <w:bCs/>
          <w:sz w:val="44"/>
          <w:szCs w:val="44"/>
          <w:lang w:val="en-US" w:eastAsia="zh-CN"/>
        </w:rPr>
        <w:t>控制点测量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技术规范书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bookmarkStart w:id="0" w:name="_Toc5799"/>
      <w:r>
        <w:rPr>
          <w:rFonts w:hint="eastAsia"/>
          <w:sz w:val="28"/>
          <w:szCs w:val="28"/>
          <w:lang w:val="en-US" w:eastAsia="zh-CN"/>
        </w:rPr>
        <w:t>第一章总则</w:t>
      </w:r>
      <w:bookmarkEnd w:id="0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1.1编制目的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统一测量技术标准、作业流程、精度要求及成果交付，保障工程施工定位准确，满足工程施工、验收及备案要求，依据国家现行测绘、建筑施工规范，制定本规范书。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1.2适用范围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一般建筑工程、市政道路、场地平整、管线、地籍、地形图测绘等低中等精度工程，满足施工放样、测图、细部测量要求。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1.3编制依据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1.《工程测量标准》GB50026-2020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2.《建筑施工测量标准》JGJ/T408-2017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3.《卫星定位城市测量技术标准》CJJ/T73-2019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4.本项目施工图纸、地质勘察报告、规划红线文件、现场场地条件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5.国家及地方现行工程测量、质量验收相关管理规定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1.4基本规定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1.测量作业严格执行测量复核制度，所有测量成果必须经复核、验收合格后方可用于施工。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2.测量单位需采用经校验合格的专业仪器，作业人员持证上岗，确保测量数据真实、精准、可追溯。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3.测量工作全程配合业主、监理、施工单位，及时提交成果，配合各项验收及技术答疑。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bookmarkStart w:id="1" w:name="_Toc20794"/>
      <w:r>
        <w:rPr>
          <w:rFonts w:hint="eastAsia"/>
          <w:sz w:val="28"/>
          <w:szCs w:val="28"/>
          <w:lang w:val="en-US" w:eastAsia="zh-CN"/>
        </w:rPr>
        <w:t>第二章测量单位资质及人员、设备要求</w:t>
      </w:r>
      <w:bookmarkEnd w:id="1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2.1单位资质要求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1.投标人须具备独立法人资格，持有工程测量专业乙级及以上资质。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2.近3年内无测量质量事故、无不良信用记录。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3.严禁挂靠、转包本项目测量业务，一经发现，业主有权终止合同并追究违约责任。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2.2人员要求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1.项目负责人：具备测绘及相关专业中级及以上职称，5年以上工程测量工作经验，负责本项目测量方案编制、成果审核及现场技术统筹。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2.现场测量人员：持有专业测量作业证书，具备现场实操、应急处置能力。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3.所有作业人员须为测量单位正式在岗人员，提供社保缴纳证明，不得临时外聘。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2.3测量仪器要求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1.需配备全站仪、水准仪、GNSS接收机、钢卷尺等专业仪器，仪器精度符合国家规范要求。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2.所有测量仪器须经法定计量检定机构校验合格，并在有效期内，作业前完成校准调试，提供仪器校验证书。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3.测量仪器专人保管、规范操作，确保测量数据精准无误。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bookmarkStart w:id="2" w:name="_Toc395"/>
      <w:r>
        <w:rPr>
          <w:rFonts w:hint="eastAsia"/>
          <w:sz w:val="28"/>
          <w:szCs w:val="28"/>
          <w:lang w:val="en-US" w:eastAsia="zh-CN"/>
        </w:rPr>
        <w:t>第三章测量工作内容及技术要求</w:t>
      </w:r>
      <w:bookmarkEnd w:id="2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本项目采用平面采用E级控制网、高程为拟合高程。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3.1方案总体说明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1.平面控制：采用GNSSE级控制网布设、观测、平差，执行规范：GB/T18314-2024《全球导航卫星系统(GNSS)测量规范》、GB50026-2020《工程测量标准》。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2.高程控制：不布设等级水准网，采用GNSS拟合高程（利用已知高等级水准点/高程控制点，进行曲面/平面拟合，直接求取各E级控制点正常高），作为本项目高程控制依据。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宋体" w:eastAsia="宋体"/>
          <w:sz w:val="28"/>
          <w:szCs w:val="28"/>
          <w:lang w:val="en-US" w:eastAsia="zh-CN"/>
        </w:rPr>
        <w:t>3.</w:t>
      </w:r>
      <w:r>
        <w:rPr>
          <w:rFonts w:hint="eastAsia"/>
          <w:sz w:val="28"/>
          <w:szCs w:val="28"/>
          <w:lang w:val="en-US" w:eastAsia="zh-CN"/>
        </w:rPr>
        <w:t>2 E级GNSS平面控制网技术要求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1.等级与精度指标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（1）等级：GNSS E级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（2）相邻点水平中误差：≤±15mm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（3）相邻点垂直中误差：≤±30mm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（4）平均边长：小于2km，工程一般布设200～800m为宜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（5）坐标系：2000国家大地坐标系（CGCS2000），按项目要求统一中央子午线、抵偿高程面。</w:t>
      </w:r>
    </w:p>
    <w:p>
      <w:pPr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宋体" w:hAnsi="宋体" w:eastAsia="宋体" w:cstheme="minorBidi"/>
          <w:sz w:val="28"/>
          <w:szCs w:val="28"/>
          <w:lang w:val="en-US" w:eastAsia="zh-CN" w:bidi="ar-SA"/>
        </w:rPr>
        <w:t>2.</w:t>
      </w:r>
      <w:r>
        <w:rPr>
          <w:rFonts w:hint="eastAsia"/>
          <w:sz w:val="28"/>
          <w:szCs w:val="28"/>
          <w:lang w:val="en-US" w:eastAsia="zh-CN"/>
        </w:rPr>
        <w:t>点位布设要求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（1）依据项目规划红线及周边等级控制点，布设工程平面控制网，控制点选点需稳固、通视良好、便于长期保存及施工放样，数量不少于3个，形成闭合控制体系。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（2）控制点选在视野开阔、无遮挡、远离高压电、基站、大面积水域、高大建筑物位置。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（3）点位稳固、便于保存、便于架设仪器、方便后续施工放样使用。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（4）每点至少两个方向通视（方便后期全站仪导线复核、放样）。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（5）测区周边均匀布设，边角覆盖整个施工范围，拐点、边界、关键构筑物附近必须布点。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00"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（6）埋设标准测量标石/混凝土桩、刻十字或钉钢钉，做好点之记。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3.3外业观测要求</w:t>
      </w:r>
    </w:p>
    <w:p>
      <w:pPr>
        <w:pStyle w:val="2"/>
        <w:numPr>
          <w:ilvl w:val="0"/>
          <w:numId w:val="0"/>
        </w:numPr>
        <w:rPr>
          <w:rFonts w:hint="eastAsia" w:ascii="宋体" w:hAnsi="宋体" w:eastAsia="宋体" w:cstheme="minorBidi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sz w:val="28"/>
          <w:szCs w:val="28"/>
          <w:lang w:val="en-US" w:eastAsia="zh-CN" w:bidi="ar-SA"/>
        </w:rPr>
        <w:t>1.采用双频GNSS接收机，静态观测或网络RTK/静态快速观测按E级要求执行。</w:t>
      </w:r>
    </w:p>
    <w:p>
      <w:pPr>
        <w:pStyle w:val="2"/>
        <w:numPr>
          <w:ilvl w:val="0"/>
          <w:numId w:val="0"/>
        </w:numPr>
        <w:rPr>
          <w:rFonts w:hint="eastAsia" w:ascii="宋体" w:hAnsi="宋体" w:eastAsia="宋体" w:cstheme="minorBidi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sz w:val="28"/>
          <w:szCs w:val="28"/>
          <w:lang w:val="en-US" w:eastAsia="zh-CN" w:bidi="ar-SA"/>
        </w:rPr>
        <w:t>2.卫星截止高度角≥15°，有效观测卫星数≥4颗。</w:t>
      </w:r>
    </w:p>
    <w:p>
      <w:pPr>
        <w:pStyle w:val="2"/>
        <w:numPr>
          <w:ilvl w:val="0"/>
          <w:numId w:val="0"/>
        </w:numPr>
        <w:rPr>
          <w:rFonts w:hint="eastAsia" w:ascii="宋体" w:hAnsi="宋体" w:eastAsia="宋体" w:cstheme="minorBidi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sz w:val="28"/>
          <w:szCs w:val="28"/>
          <w:lang w:val="en-US" w:eastAsia="zh-CN" w:bidi="ar-SA"/>
        </w:rPr>
        <w:t>3.观测时段时长、重复设站、同步环、异步环闭合差满足GB/T18314-2024E级限值。</w:t>
      </w:r>
    </w:p>
    <w:p>
      <w:pPr>
        <w:pStyle w:val="2"/>
        <w:numPr>
          <w:ilvl w:val="0"/>
          <w:numId w:val="0"/>
        </w:numPr>
        <w:rPr>
          <w:rFonts w:hint="eastAsia" w:ascii="宋体" w:hAnsi="宋体" w:eastAsia="宋体" w:cstheme="minorBidi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sz w:val="28"/>
          <w:szCs w:val="28"/>
          <w:lang w:val="en-US" w:eastAsia="zh-CN" w:bidi="ar-SA"/>
        </w:rPr>
        <w:t>4.仪器对中、整平严格，量取天线高2次取平均。</w:t>
      </w:r>
    </w:p>
    <w:p>
      <w:pPr>
        <w:rPr>
          <w:rFonts w:hint="eastAsia" w:cstheme="minorBidi"/>
          <w:sz w:val="28"/>
          <w:szCs w:val="28"/>
          <w:lang w:val="en-US" w:eastAsia="zh-CN" w:bidi="ar-SA"/>
        </w:rPr>
      </w:pPr>
      <w:r>
        <w:rPr>
          <w:rFonts w:hint="eastAsia" w:cstheme="minorBidi"/>
          <w:sz w:val="28"/>
          <w:szCs w:val="28"/>
          <w:lang w:val="en-US" w:eastAsia="zh-CN" w:bidi="ar-SA"/>
        </w:rPr>
        <w:t>3.4数据处理</w:t>
      </w:r>
    </w:p>
    <w:p>
      <w:pPr>
        <w:pStyle w:val="2"/>
        <w:numPr>
          <w:ilvl w:val="0"/>
          <w:numId w:val="0"/>
        </w:numPr>
        <w:rPr>
          <w:rFonts w:hint="default" w:ascii="宋体" w:hAnsi="宋体" w:eastAsia="宋体" w:cstheme="minorBidi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theme="minorBidi"/>
          <w:sz w:val="28"/>
          <w:szCs w:val="28"/>
          <w:lang w:val="en-US" w:eastAsia="zh-CN" w:bidi="ar-SA"/>
        </w:rPr>
        <w:t>1.基线解算、环检核，剔除不合格基线。</w:t>
      </w:r>
    </w:p>
    <w:p>
      <w:pPr>
        <w:pStyle w:val="2"/>
        <w:numPr>
          <w:ilvl w:val="0"/>
          <w:numId w:val="0"/>
        </w:numPr>
        <w:rPr>
          <w:rFonts w:hint="default" w:ascii="宋体" w:hAnsi="宋体" w:eastAsia="宋体" w:cstheme="minorBidi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theme="minorBidi"/>
          <w:sz w:val="28"/>
          <w:szCs w:val="28"/>
          <w:lang w:val="en-US" w:eastAsia="zh-CN" w:bidi="ar-SA"/>
        </w:rPr>
        <w:t>2.先无约束平差，再引入已知高级控制点进行约束平差。</w:t>
      </w:r>
    </w:p>
    <w:p>
      <w:pPr>
        <w:pStyle w:val="2"/>
        <w:numPr>
          <w:ilvl w:val="0"/>
          <w:numId w:val="0"/>
        </w:numPr>
        <w:rPr>
          <w:rFonts w:hint="default" w:ascii="宋体" w:hAnsi="宋体" w:eastAsia="宋体" w:cstheme="minorBidi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theme="minorBidi"/>
          <w:sz w:val="28"/>
          <w:szCs w:val="28"/>
          <w:lang w:val="en-US" w:eastAsia="zh-CN" w:bidi="ar-SA"/>
        </w:rPr>
        <w:t>3.输出各 E 级控制点平面坐标，精度评定、成果检核合格后使用。</w:t>
      </w:r>
    </w:p>
    <w:p>
      <w:pPr>
        <w:rPr>
          <w:rFonts w:hint="eastAsia" w:cstheme="minorBidi"/>
          <w:sz w:val="28"/>
          <w:szCs w:val="28"/>
          <w:lang w:val="en-US" w:eastAsia="zh-CN" w:bidi="ar-SA"/>
        </w:rPr>
      </w:pPr>
      <w:r>
        <w:rPr>
          <w:rFonts w:hint="eastAsia" w:cstheme="minorBidi"/>
          <w:sz w:val="28"/>
          <w:szCs w:val="28"/>
          <w:lang w:val="en-US" w:eastAsia="zh-CN" w:bidi="ar-SA"/>
        </w:rPr>
        <w:t>3.5拟合高程方法、原理及技术内容</w:t>
      </w:r>
    </w:p>
    <w:p>
      <w:pPr>
        <w:pStyle w:val="2"/>
        <w:numPr>
          <w:ilvl w:val="0"/>
          <w:numId w:val="0"/>
        </w:numPr>
        <w:rPr>
          <w:rFonts w:hint="default" w:ascii="宋体" w:hAnsi="宋体" w:eastAsia="宋体" w:cstheme="minorBidi"/>
          <w:sz w:val="28"/>
          <w:szCs w:val="28"/>
          <w:lang w:val="en-US" w:eastAsia="zh-CN" w:bidi="ar-SA"/>
        </w:rPr>
      </w:pPr>
      <w:r>
        <w:rPr>
          <w:rFonts w:hint="default" w:ascii="宋体" w:hAnsi="宋体" w:eastAsia="宋体" w:cstheme="minorBidi"/>
          <w:sz w:val="28"/>
          <w:szCs w:val="28"/>
          <w:lang w:val="en-US" w:eastAsia="zh-CN" w:bidi="ar-SA"/>
        </w:rPr>
        <w:t>GNSS 观测可得到大地高，已知点有正常高（水准高程），二者差值为高程异常 ζ：ζ=H大地高​−H正常高​利用测区内多个已知高程控制点的高程异常，建立数学模型，拟合出整个测区高程异常曲面，再内插求出所有 E 级控制点的高程异常，进而推算各点拟合正常高。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bookmarkStart w:id="3" w:name="_Toc25513"/>
      <w:r>
        <w:rPr>
          <w:rFonts w:hint="eastAsia"/>
          <w:sz w:val="28"/>
          <w:szCs w:val="28"/>
          <w:lang w:val="en-US" w:eastAsia="zh-CN"/>
        </w:rPr>
        <w:t>第四章测量成果交付要求</w:t>
      </w:r>
      <w:bookmarkEnd w:id="3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5.1成果内容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1.测量技术方案、测量仪器校验证书、作业人员资质证书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2.平面控制点成果表、高程控制点成果表、控制点布设平面图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5.2成果格式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1.纸质成果：加盖测量单位公章、项目负责人签字，一式5套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2.电子成果：CAD图纸、Word/Excel成果文件、PDF扫描件，全套电子版1套，数据可编辑、可追溯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5.3交付时限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1.合同签订后5日内完成控制点布设及初始测量成果提交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2.施工过程中按施工进度及时提交过程复核成果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3.工程完工后7日内提交完整竣工测量成果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bookmarkStart w:id="4" w:name="_Toc27283"/>
      <w:r>
        <w:rPr>
          <w:rFonts w:hint="eastAsia"/>
          <w:sz w:val="28"/>
          <w:szCs w:val="28"/>
          <w:lang w:val="en-US" w:eastAsia="zh-CN"/>
        </w:rPr>
        <w:t>第六章服务及质量责任要求</w:t>
      </w:r>
      <w:bookmarkEnd w:id="4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6.1现场服务要求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1.测量单位需派驻专人常驻现场，及时响应施工测量需求，完成各项测量及复核工作。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2.全程配合业主、监理、施工单位及主管部门的检查、验收，无偿提供测量成果答疑、技术交底。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3.因测量需要调整、补测的，无偿完成整改复测，直至满足施工及验收要求。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4.做好测量资料整理、归档，配合完成工程竣工资料备案。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6.2质量责任要求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1.测量单位对本项目所有测量成果终身负责，确保数据真实、精准。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2.因测量方案失误、仪器失准、操作不当等导致测量成果偏差，造成工程返工、经济损失的，由测量单位承担全部赔偿及违约责任。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3.严格遵守现场安全管理规定，做好测量作业安全防护，承担作业期间的安全责任。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bookmarkStart w:id="5" w:name="_Toc31418"/>
      <w:r>
        <w:rPr>
          <w:rFonts w:hint="eastAsia"/>
          <w:sz w:val="28"/>
          <w:szCs w:val="28"/>
          <w:lang w:val="en-US" w:eastAsia="zh-CN"/>
        </w:rPr>
        <w:t>第七章其他要求</w:t>
      </w:r>
      <w:bookmarkEnd w:id="5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1.本规范书为项目招标文件及后续合同的组成部分，测量单位需完全响应本规范书所有条款要求。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2.本规范书未尽事宜，按照国家现行工程测量相关规范及双方合同约定执行。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3.测量成果需符合本项目规划、施工、验收及备案全部要求，未达标的，业主有权拒付费用。</w:t>
      </w:r>
    </w:p>
    <w:sectPr>
      <w:headerReference r:id="rId5" w:type="default"/>
      <w:footerReference r:id="rId6" w:type="default"/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60409020205020404"/>
    <w:charset w:val="00"/>
    <w:family w:val="auto"/>
    <w:pitch w:val="default"/>
    <w:sig w:usb0="00000000" w:usb1="00000000" w:usb2="00000000" w:usb3="00000000" w:csb0="00000093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center"/>
    </w:pPr>
    <w:r>
      <w:t>—第</w:t>
    </w:r>
    <w:r>
      <w:fldChar w:fldCharType="begin"/>
    </w:r>
    <w:r>
      <w:instrText xml:space="preserve">PAGE</w:instrText>
    </w:r>
    <w:r>
      <w:fldChar w:fldCharType="end"/>
    </w:r>
    <w:r>
      <w:t>页—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2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4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0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5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5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7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1C86103"/>
    <w:rsid w:val="03502274"/>
    <w:rsid w:val="08075AC0"/>
    <w:rsid w:val="0F470253"/>
    <w:rsid w:val="12236426"/>
    <w:rsid w:val="138559C1"/>
    <w:rsid w:val="15435BF2"/>
    <w:rsid w:val="18E428EE"/>
    <w:rsid w:val="1DA66570"/>
    <w:rsid w:val="233C68DC"/>
    <w:rsid w:val="28E43EA7"/>
    <w:rsid w:val="297513BB"/>
    <w:rsid w:val="31922156"/>
    <w:rsid w:val="334D2235"/>
    <w:rsid w:val="354E490A"/>
    <w:rsid w:val="36F647B5"/>
    <w:rsid w:val="37EE2F92"/>
    <w:rsid w:val="39903DBE"/>
    <w:rsid w:val="3C5D4096"/>
    <w:rsid w:val="3E855B35"/>
    <w:rsid w:val="3FB70382"/>
    <w:rsid w:val="40934F54"/>
    <w:rsid w:val="41182BA7"/>
    <w:rsid w:val="49C175B8"/>
    <w:rsid w:val="4C8D3147"/>
    <w:rsid w:val="52B129B7"/>
    <w:rsid w:val="548949CA"/>
    <w:rsid w:val="549A67F5"/>
    <w:rsid w:val="550F159D"/>
    <w:rsid w:val="56361F4C"/>
    <w:rsid w:val="568D179F"/>
    <w:rsid w:val="58450D5F"/>
    <w:rsid w:val="5B60598B"/>
    <w:rsid w:val="5F8C7B7F"/>
    <w:rsid w:val="67666BFD"/>
    <w:rsid w:val="6F7457DB"/>
    <w:rsid w:val="755D199D"/>
    <w:rsid w:val="795934A7"/>
    <w:rsid w:val="7D9A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="宋体" w:hAnsi="宋体" w:eastAsia="宋体" w:cstheme="minorBidi"/>
      <w:sz w:val="24"/>
      <w:szCs w:val="22"/>
      <w:lang w:val="en-US" w:eastAsia="en-US" w:bidi="ar-SA"/>
    </w:rPr>
  </w:style>
  <w:style w:type="paragraph" w:styleId="4">
    <w:name w:val="heading 1"/>
    <w:basedOn w:val="1"/>
    <w:next w:val="1"/>
    <w:link w:val="141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5">
    <w:name w:val="heading 2"/>
    <w:basedOn w:val="1"/>
    <w:next w:val="1"/>
    <w:link w:val="142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6">
    <w:name w:val="heading 3"/>
    <w:basedOn w:val="1"/>
    <w:next w:val="1"/>
    <w:link w:val="143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4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5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9">
    <w:name w:val="heading 6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10">
    <w:name w:val="heading 7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8"/>
    <w:basedOn w:val="1"/>
    <w:next w:val="1"/>
    <w:link w:val="157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2">
    <w:name w:val="heading 9"/>
    <w:basedOn w:val="1"/>
    <w:next w:val="1"/>
    <w:link w:val="158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5">
    <w:name w:val="Default Paragraph Font"/>
    <w:semiHidden/>
    <w:unhideWhenUsed/>
    <w:qFormat/>
    <w:uiPriority w:val="1"/>
  </w:style>
  <w:style w:type="table" w:default="1" w:styleId="3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macro"/>
    <w:link w:val="150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3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4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5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7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8">
    <w:name w:val="annotation text"/>
    <w:basedOn w:val="1"/>
    <w:semiHidden/>
    <w:unhideWhenUsed/>
    <w:qFormat/>
    <w:uiPriority w:val="99"/>
    <w:pPr>
      <w:jc w:val="left"/>
    </w:pPr>
  </w:style>
  <w:style w:type="paragraph" w:styleId="19">
    <w:name w:val="Body Text 3"/>
    <w:basedOn w:val="1"/>
    <w:link w:val="149"/>
    <w:unhideWhenUsed/>
    <w:qFormat/>
    <w:uiPriority w:val="99"/>
    <w:pPr>
      <w:spacing w:after="120"/>
    </w:pPr>
    <w:rPr>
      <w:sz w:val="16"/>
      <w:szCs w:val="16"/>
    </w:rPr>
  </w:style>
  <w:style w:type="paragraph" w:styleId="20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1">
    <w:name w:val="Body Text"/>
    <w:basedOn w:val="1"/>
    <w:link w:val="147"/>
    <w:unhideWhenUsed/>
    <w:qFormat/>
    <w:uiPriority w:val="99"/>
    <w:pPr>
      <w:spacing w:after="120"/>
    </w:pPr>
  </w:style>
  <w:style w:type="paragraph" w:styleId="22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3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4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5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6">
    <w:name w:val="footer"/>
    <w:basedOn w:val="1"/>
    <w:link w:val="13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header"/>
    <w:basedOn w:val="1"/>
    <w:link w:val="1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8">
    <w:name w:val="toc 1"/>
    <w:basedOn w:val="1"/>
    <w:next w:val="1"/>
    <w:semiHidden/>
    <w:unhideWhenUsed/>
    <w:qFormat/>
    <w:uiPriority w:val="39"/>
  </w:style>
  <w:style w:type="paragraph" w:styleId="29">
    <w:name w:val="Subtitle"/>
    <w:basedOn w:val="1"/>
    <w:next w:val="1"/>
    <w:link w:val="145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0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1">
    <w:name w:val="Body Text 2"/>
    <w:basedOn w:val="1"/>
    <w:link w:val="148"/>
    <w:unhideWhenUsed/>
    <w:qFormat/>
    <w:uiPriority w:val="99"/>
    <w:pPr>
      <w:spacing w:after="120" w:line="480" w:lineRule="auto"/>
    </w:pPr>
  </w:style>
  <w:style w:type="paragraph" w:styleId="32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4">
    <w:name w:val="Title"/>
    <w:basedOn w:val="1"/>
    <w:next w:val="1"/>
    <w:link w:val="144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6">
    <w:name w:val="Table Grid"/>
    <w:basedOn w:val="35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7">
    <w:name w:val="Light Shading"/>
    <w:basedOn w:val="35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35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35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35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35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35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35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35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35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35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35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35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35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35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35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35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35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35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35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35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35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35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35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35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35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35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35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35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35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35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35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35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35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35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35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6">
    <w:name w:val="Strong"/>
    <w:basedOn w:val="135"/>
    <w:qFormat/>
    <w:uiPriority w:val="22"/>
    <w:rPr>
      <w:b/>
      <w:bCs/>
    </w:rPr>
  </w:style>
  <w:style w:type="character" w:styleId="137">
    <w:name w:val="Emphasis"/>
    <w:basedOn w:val="135"/>
    <w:qFormat/>
    <w:uiPriority w:val="20"/>
    <w:rPr>
      <w:i/>
      <w:iCs/>
    </w:rPr>
  </w:style>
  <w:style w:type="character" w:customStyle="1" w:styleId="138">
    <w:name w:val="Header Char"/>
    <w:basedOn w:val="135"/>
    <w:link w:val="27"/>
    <w:qFormat/>
    <w:uiPriority w:val="99"/>
  </w:style>
  <w:style w:type="character" w:customStyle="1" w:styleId="139">
    <w:name w:val="Footer Char"/>
    <w:basedOn w:val="135"/>
    <w:link w:val="26"/>
    <w:qFormat/>
    <w:uiPriority w:val="99"/>
  </w:style>
  <w:style w:type="paragraph" w:styleId="140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41">
    <w:name w:val="Heading 1 Char"/>
    <w:basedOn w:val="135"/>
    <w:link w:val="4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2">
    <w:name w:val="Heading 2 Char"/>
    <w:basedOn w:val="135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3">
    <w:name w:val="Heading 3 Char"/>
    <w:basedOn w:val="135"/>
    <w:link w:val="6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4">
    <w:name w:val="Title Char"/>
    <w:basedOn w:val="135"/>
    <w:link w:val="34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5">
    <w:name w:val="Subtitle Char"/>
    <w:basedOn w:val="135"/>
    <w:link w:val="29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6">
    <w:name w:val="List Paragraph"/>
    <w:basedOn w:val="1"/>
    <w:qFormat/>
    <w:uiPriority w:val="34"/>
    <w:pPr>
      <w:ind w:left="720"/>
      <w:contextualSpacing/>
    </w:pPr>
  </w:style>
  <w:style w:type="character" w:customStyle="1" w:styleId="147">
    <w:name w:val="Body Text Char"/>
    <w:basedOn w:val="135"/>
    <w:link w:val="21"/>
    <w:qFormat/>
    <w:uiPriority w:val="99"/>
  </w:style>
  <w:style w:type="character" w:customStyle="1" w:styleId="148">
    <w:name w:val="Body Text 2 Char"/>
    <w:basedOn w:val="135"/>
    <w:link w:val="31"/>
    <w:qFormat/>
    <w:uiPriority w:val="99"/>
  </w:style>
  <w:style w:type="character" w:customStyle="1" w:styleId="149">
    <w:name w:val="Body Text 3 Char"/>
    <w:basedOn w:val="135"/>
    <w:link w:val="19"/>
    <w:qFormat/>
    <w:uiPriority w:val="99"/>
    <w:rPr>
      <w:sz w:val="16"/>
      <w:szCs w:val="16"/>
    </w:rPr>
  </w:style>
  <w:style w:type="character" w:customStyle="1" w:styleId="150">
    <w:name w:val="Macro Text Char"/>
    <w:basedOn w:val="135"/>
    <w:link w:val="3"/>
    <w:qFormat/>
    <w:uiPriority w:val="99"/>
    <w:rPr>
      <w:rFonts w:ascii="Courier" w:hAnsi="Courier"/>
      <w:sz w:val="20"/>
      <w:szCs w:val="20"/>
    </w:rPr>
  </w:style>
  <w:style w:type="paragraph" w:styleId="151">
    <w:name w:val="Quote"/>
    <w:basedOn w:val="1"/>
    <w:next w:val="1"/>
    <w:link w:val="152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2">
    <w:name w:val="Quote Char"/>
    <w:basedOn w:val="135"/>
    <w:link w:val="1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3">
    <w:name w:val="Heading 4 Char"/>
    <w:basedOn w:val="135"/>
    <w:link w:val="7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4">
    <w:name w:val="Heading 5 Char"/>
    <w:basedOn w:val="135"/>
    <w:link w:val="8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5">
    <w:name w:val="Heading 6 Char"/>
    <w:basedOn w:val="135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6">
    <w:name w:val="Heading 7 Char"/>
    <w:basedOn w:val="135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7">
    <w:name w:val="Heading 8 Char"/>
    <w:basedOn w:val="135"/>
    <w:link w:val="11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8">
    <w:name w:val="Heading 9 Char"/>
    <w:basedOn w:val="135"/>
    <w:link w:val="12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9">
    <w:name w:val="Intense Quote"/>
    <w:basedOn w:val="1"/>
    <w:next w:val="1"/>
    <w:link w:val="160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Intense Quote Char"/>
    <w:basedOn w:val="135"/>
    <w:link w:val="159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Emphasis"/>
    <w:basedOn w:val="135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2">
    <w:name w:val="Intense Emphasis"/>
    <w:basedOn w:val="135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3">
    <w:name w:val="Subtle Reference"/>
    <w:basedOn w:val="135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4">
    <w:name w:val="Intense Reference"/>
    <w:basedOn w:val="135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5">
    <w:name w:val="Book Title"/>
    <w:basedOn w:val="135"/>
    <w:qFormat/>
    <w:uiPriority w:val="33"/>
    <w:rPr>
      <w:b/>
      <w:bCs/>
      <w:smallCaps/>
      <w:spacing w:val="5"/>
    </w:rPr>
  </w:style>
  <w:style w:type="paragraph" w:customStyle="1" w:styleId="166">
    <w:name w:val="TOC Heading"/>
    <w:basedOn w:val="4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3048</Words>
  <Characters>3271</Characters>
  <Lines>0</Lines>
  <Paragraphs>0</Paragraphs>
  <TotalTime>0</TotalTime>
  <ScaleCrop>false</ScaleCrop>
  <LinksUpToDate>false</LinksUpToDate>
  <CharactersWithSpaces>3396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孙嘉浩</cp:lastModifiedBy>
  <dcterms:modified xsi:type="dcterms:W3CDTF">2026-05-13T02:17:07Z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2299B2F30D954BCA8A53370AFCB9C7A8_13</vt:lpwstr>
  </property>
  <property fmtid="{D5CDD505-2E9C-101B-9397-08002B2CF9AE}" pid="4" name="KSOTemplateDocerSaveRecord">
    <vt:lpwstr>eyJoZGlkIjoiOWQwYTQ2MGQ0NjY1NmRhZWNlYTQxOTg1ZjAwN2E0YzciLCJ1c2VySWQiOiIzMzk2MjUzMjMifQ==</vt:lpwstr>
  </property>
</Properties>
</file>