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br w:type="textWrapping"/>
      </w:r>
      <w:r>
        <w:rPr>
          <w:rFonts w:hint="eastAsia" w:ascii="宋体" w:hAnsi="宋体" w:eastAsia="宋体" w:cs="宋体"/>
          <w:sz w:val="28"/>
          <w:szCs w:val="28"/>
        </w:rPr>
        <w:br w:type="textWrapping"/>
      </w:r>
      <w:r>
        <w:rPr>
          <w:rFonts w:hint="eastAsia" w:ascii="宋体" w:hAnsi="宋体" w:eastAsia="宋体" w:cs="宋体"/>
          <w:sz w:val="28"/>
          <w:szCs w:val="28"/>
        </w:rPr>
        <w:br w:type="textWrapping"/>
      </w:r>
    </w:p>
    <w:p>
      <w:pPr>
        <w:jc w:val="center"/>
        <w:rPr>
          <w:rFonts w:hint="eastAsia" w:ascii="宋体" w:hAnsi="宋体" w:eastAsia="宋体" w:cs="宋体"/>
          <w:sz w:val="28"/>
          <w:szCs w:val="28"/>
        </w:rPr>
      </w:pPr>
    </w:p>
    <w:p>
      <w:pPr>
        <w:jc w:val="center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cs="宋体"/>
          <w:b/>
          <w:bCs/>
          <w:sz w:val="44"/>
          <w:szCs w:val="44"/>
          <w:lang w:val="en-US" w:eastAsia="zh-CN"/>
        </w:rPr>
        <w:t>广西电网</w:t>
      </w:r>
      <w:r>
        <w:rPr>
          <w:rFonts w:hint="eastAsia" w:ascii="宋体" w:hAnsi="宋体" w:eastAsia="宋体" w:cs="宋体"/>
          <w:b/>
          <w:bCs/>
          <w:sz w:val="44"/>
          <w:szCs w:val="44"/>
        </w:rPr>
        <w:t>公司本部2026年AB座连廊新增电梯项目地质勘察技术规范书</w:t>
      </w:r>
      <w:r>
        <w:rPr>
          <w:rFonts w:hint="eastAsia" w:ascii="宋体" w:hAnsi="宋体" w:eastAsia="宋体" w:cs="宋体"/>
          <w:b/>
          <w:bCs/>
          <w:sz w:val="28"/>
          <w:szCs w:val="28"/>
        </w:rPr>
        <w:br w:type="textWrapping"/>
      </w:r>
      <w:r>
        <w:rPr>
          <w:rFonts w:hint="eastAsia" w:ascii="宋体" w:hAnsi="宋体" w:eastAsia="宋体" w:cs="宋体"/>
          <w:sz w:val="28"/>
          <w:szCs w:val="28"/>
        </w:rPr>
        <w:br w:type="textWrapping"/>
      </w:r>
    </w:p>
    <w:p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br w:type="page"/>
      </w:r>
    </w:p>
    <w:sdt>
      <w:sdtPr>
        <w:rPr>
          <w:rFonts w:ascii="宋体" w:hAnsi="宋体" w:eastAsia="宋体" w:cstheme="minorBidi"/>
          <w:sz w:val="21"/>
          <w:szCs w:val="22"/>
          <w:lang w:val="en-US" w:eastAsia="en-US" w:bidi="ar-SA"/>
        </w:rPr>
        <w:id w:val="147466997"/>
        <w15:color w:val="DBDBDB"/>
        <w:docPartObj>
          <w:docPartGallery w:val="Table of Contents"/>
          <w:docPartUnique/>
        </w:docPartObj>
      </w:sdtPr>
      <w:sdtEndPr>
        <w:rPr>
          <w:rFonts w:ascii="宋体" w:hAnsi="宋体" w:eastAsia="宋体" w:cstheme="minorBidi"/>
          <w:sz w:val="21"/>
          <w:szCs w:val="22"/>
          <w:lang w:val="en-US" w:eastAsia="en-US" w:bidi="ar-SA"/>
        </w:rPr>
      </w:sdtEndPr>
      <w:sdtContent>
        <w:p>
          <w:pPr>
            <w:spacing w:before="0" w:beforeLines="0" w:after="0" w:afterLines="0" w:line="240" w:lineRule="auto"/>
            <w:ind w:left="0" w:leftChars="0" w:right="0" w:rightChars="0" w:firstLine="0" w:firstLineChars="0"/>
            <w:jc w:val="center"/>
            <w:rPr>
              <w:sz w:val="44"/>
              <w:szCs w:val="44"/>
            </w:rPr>
          </w:pPr>
          <w:r>
            <w:rPr>
              <w:rFonts w:ascii="宋体" w:hAnsi="宋体" w:eastAsia="宋体"/>
              <w:sz w:val="44"/>
              <w:szCs w:val="44"/>
            </w:rPr>
            <w:t>目</w:t>
          </w:r>
          <w:r>
            <w:rPr>
              <w:rFonts w:hint="eastAsia" w:ascii="宋体" w:hAnsi="宋体" w:eastAsia="宋体"/>
              <w:sz w:val="44"/>
              <w:szCs w:val="44"/>
              <w:lang w:val="en-US" w:eastAsia="zh-CN"/>
            </w:rPr>
            <w:t xml:space="preserve">  </w:t>
          </w:r>
          <w:r>
            <w:rPr>
              <w:rFonts w:ascii="宋体" w:hAnsi="宋体" w:eastAsia="宋体"/>
              <w:sz w:val="44"/>
              <w:szCs w:val="44"/>
            </w:rPr>
            <w:t>录</w:t>
          </w:r>
        </w:p>
        <w:p>
          <w:pPr>
            <w:pStyle w:val="28"/>
            <w:tabs>
              <w:tab w:val="right" w:leader="dot" w:pos="8640"/>
            </w:tabs>
          </w:pPr>
          <w:r>
            <w:fldChar w:fldCharType="begin"/>
          </w:r>
          <w:r>
            <w:instrText xml:space="preserve">TOC \o "1-3" \h \u </w:instrText>
          </w:r>
          <w:r>
            <w:fldChar w:fldCharType="separate"/>
          </w:r>
          <w:r>
            <w:fldChar w:fldCharType="begin"/>
          </w:r>
          <w:r>
            <w:instrText xml:space="preserve"> HYPERLINK \l _Toc16575 </w:instrText>
          </w:r>
          <w:r>
            <w:fldChar w:fldCharType="separate"/>
          </w:r>
          <w:r>
            <w:rPr>
              <w:rFonts w:hint="eastAsia"/>
              <w:lang w:val="en-US" w:eastAsia="zh-CN"/>
            </w:rPr>
            <w:t>第一章 总则</w:t>
          </w:r>
          <w:r>
            <w:tab/>
          </w:r>
          <w:r>
            <w:fldChar w:fldCharType="begin"/>
          </w:r>
          <w:r>
            <w:instrText xml:space="preserve"> PAGEREF _Toc16575 \h </w:instrText>
          </w:r>
          <w:r>
            <w:fldChar w:fldCharType="separate"/>
          </w:r>
          <w:r>
            <w:t>3</w:t>
          </w:r>
          <w:r>
            <w:fldChar w:fldCharType="end"/>
          </w:r>
          <w:r>
            <w:fldChar w:fldCharType="end"/>
          </w:r>
        </w:p>
        <w:p>
          <w:pPr>
            <w:pStyle w:val="28"/>
            <w:tabs>
              <w:tab w:val="right" w:leader="dot" w:pos="8640"/>
            </w:tabs>
          </w:pPr>
          <w:r>
            <w:fldChar w:fldCharType="begin"/>
          </w:r>
          <w:r>
            <w:instrText xml:space="preserve"> HYPERLINK \l _Toc18946 </w:instrText>
          </w:r>
          <w:r>
            <w:fldChar w:fldCharType="separate"/>
          </w:r>
          <w:r>
            <w:rPr>
              <w:rFonts w:hint="eastAsia"/>
              <w:lang w:val="en-US" w:eastAsia="zh-CN"/>
            </w:rPr>
            <w:t>第二章 勘察工作内容及要求</w:t>
          </w:r>
          <w:r>
            <w:tab/>
          </w:r>
          <w:r>
            <w:fldChar w:fldCharType="begin"/>
          </w:r>
          <w:r>
            <w:instrText xml:space="preserve"> PAGEREF _Toc18946 \h </w:instrText>
          </w:r>
          <w:r>
            <w:fldChar w:fldCharType="separate"/>
          </w:r>
          <w:r>
            <w:t>3</w:t>
          </w:r>
          <w:r>
            <w:fldChar w:fldCharType="end"/>
          </w:r>
          <w:r>
            <w:fldChar w:fldCharType="end"/>
          </w:r>
        </w:p>
        <w:p>
          <w:pPr>
            <w:pStyle w:val="28"/>
            <w:tabs>
              <w:tab w:val="right" w:leader="dot" w:pos="8640"/>
            </w:tabs>
          </w:pPr>
          <w:r>
            <w:fldChar w:fldCharType="begin"/>
          </w:r>
          <w:r>
            <w:instrText xml:space="preserve"> HYPERLINK \l _Toc19130 </w:instrText>
          </w:r>
          <w:r>
            <w:fldChar w:fldCharType="separate"/>
          </w:r>
          <w:r>
            <w:rPr>
              <w:rFonts w:hint="eastAsia"/>
              <w:lang w:val="en-US" w:eastAsia="zh-CN"/>
            </w:rPr>
            <w:t>第三章 成果资料交付要求</w:t>
          </w:r>
          <w:r>
            <w:tab/>
          </w:r>
          <w:r>
            <w:fldChar w:fldCharType="begin"/>
          </w:r>
          <w:r>
            <w:instrText xml:space="preserve"> PAGEREF _Toc19130 \h </w:instrText>
          </w:r>
          <w:r>
            <w:fldChar w:fldCharType="separate"/>
          </w:r>
          <w:r>
            <w:t>5</w:t>
          </w:r>
          <w:r>
            <w:fldChar w:fldCharType="end"/>
          </w:r>
          <w:r>
            <w:fldChar w:fldCharType="end"/>
          </w:r>
        </w:p>
        <w:p>
          <w:pPr>
            <w:pStyle w:val="28"/>
            <w:tabs>
              <w:tab w:val="right" w:leader="dot" w:pos="8640"/>
            </w:tabs>
          </w:pPr>
          <w:r>
            <w:fldChar w:fldCharType="begin"/>
          </w:r>
          <w:r>
            <w:instrText xml:space="preserve"> HYPERLINK \l _Toc25469 </w:instrText>
          </w:r>
          <w:r>
            <w:fldChar w:fldCharType="separate"/>
          </w:r>
          <w:r>
            <w:rPr>
              <w:rFonts w:hint="eastAsia"/>
              <w:lang w:val="en-US" w:eastAsia="zh-CN"/>
            </w:rPr>
            <w:t>第四章 投标单位资质及人员设备要求</w:t>
          </w:r>
          <w:r>
            <w:tab/>
          </w:r>
          <w:r>
            <w:fldChar w:fldCharType="begin"/>
          </w:r>
          <w:r>
            <w:instrText xml:space="preserve"> PAGEREF _Toc25469 \h </w:instrText>
          </w:r>
          <w:r>
            <w:fldChar w:fldCharType="separate"/>
          </w:r>
          <w:r>
            <w:t>6</w:t>
          </w:r>
          <w:r>
            <w:fldChar w:fldCharType="end"/>
          </w:r>
          <w:r>
            <w:fldChar w:fldCharType="end"/>
          </w:r>
        </w:p>
        <w:p>
          <w:pPr>
            <w:pStyle w:val="28"/>
            <w:tabs>
              <w:tab w:val="right" w:leader="dot" w:pos="8640"/>
            </w:tabs>
          </w:pPr>
          <w:r>
            <w:fldChar w:fldCharType="begin"/>
          </w:r>
          <w:r>
            <w:instrText xml:space="preserve"> HYPERLINK \l _Toc14111 </w:instrText>
          </w:r>
          <w:r>
            <w:fldChar w:fldCharType="separate"/>
          </w:r>
          <w:r>
            <w:rPr>
              <w:rFonts w:hint="eastAsia"/>
              <w:lang w:val="en-US" w:eastAsia="zh-CN"/>
            </w:rPr>
            <w:t>第五章 工期要求</w:t>
          </w:r>
          <w:r>
            <w:tab/>
          </w:r>
          <w:r>
            <w:fldChar w:fldCharType="begin"/>
          </w:r>
          <w:r>
            <w:instrText xml:space="preserve"> PAGEREF _Toc14111 \h </w:instrText>
          </w:r>
          <w:r>
            <w:fldChar w:fldCharType="separate"/>
          </w:r>
          <w:r>
            <w:t>6</w:t>
          </w:r>
          <w:r>
            <w:fldChar w:fldCharType="end"/>
          </w:r>
          <w:r>
            <w:fldChar w:fldCharType="end"/>
          </w:r>
        </w:p>
        <w:p>
          <w:pPr>
            <w:pStyle w:val="28"/>
            <w:tabs>
              <w:tab w:val="right" w:leader="dot" w:pos="8640"/>
            </w:tabs>
          </w:pPr>
          <w:r>
            <w:fldChar w:fldCharType="begin"/>
          </w:r>
          <w:r>
            <w:instrText xml:space="preserve"> HYPERLINK \l _Toc22119 </w:instrText>
          </w:r>
          <w:r>
            <w:fldChar w:fldCharType="separate"/>
          </w:r>
          <w:r>
            <w:rPr>
              <w:rFonts w:hint="eastAsia"/>
              <w:lang w:val="en-US" w:eastAsia="zh-CN"/>
            </w:rPr>
            <w:t>第六章 质量标准与验收要求</w:t>
          </w:r>
          <w:r>
            <w:tab/>
          </w:r>
          <w:r>
            <w:fldChar w:fldCharType="begin"/>
          </w:r>
          <w:r>
            <w:instrText xml:space="preserve"> PAGEREF _Toc22119 \h </w:instrText>
          </w:r>
          <w:r>
            <w:fldChar w:fldCharType="separate"/>
          </w:r>
          <w:r>
            <w:t>7</w:t>
          </w:r>
          <w:r>
            <w:fldChar w:fldCharType="end"/>
          </w:r>
          <w:r>
            <w:fldChar w:fldCharType="end"/>
          </w:r>
        </w:p>
        <w:p>
          <w:pPr>
            <w:pStyle w:val="28"/>
            <w:tabs>
              <w:tab w:val="right" w:leader="dot" w:pos="8640"/>
            </w:tabs>
          </w:pPr>
          <w:r>
            <w:fldChar w:fldCharType="begin"/>
          </w:r>
          <w:r>
            <w:instrText xml:space="preserve"> HYPERLINK \l _Toc3645 </w:instrText>
          </w:r>
          <w:r>
            <w:fldChar w:fldCharType="separate"/>
          </w:r>
          <w:r>
            <w:rPr>
              <w:rFonts w:hint="eastAsia"/>
              <w:lang w:val="en-US" w:eastAsia="zh-CN"/>
            </w:rPr>
            <w:t>第七章 安全文明勘察要求</w:t>
          </w:r>
          <w:r>
            <w:tab/>
          </w:r>
          <w:r>
            <w:fldChar w:fldCharType="begin"/>
          </w:r>
          <w:r>
            <w:instrText xml:space="preserve"> PAGEREF _Toc3645 \h </w:instrText>
          </w:r>
          <w:r>
            <w:fldChar w:fldCharType="separate"/>
          </w:r>
          <w:r>
            <w:t>7</w:t>
          </w:r>
          <w:r>
            <w:fldChar w:fldCharType="end"/>
          </w:r>
          <w:r>
            <w:fldChar w:fldCharType="end"/>
          </w:r>
        </w:p>
        <w:p>
          <w:pPr>
            <w:pStyle w:val="28"/>
            <w:tabs>
              <w:tab w:val="right" w:leader="dot" w:pos="8640"/>
            </w:tabs>
          </w:pPr>
          <w:r>
            <w:fldChar w:fldCharType="begin"/>
          </w:r>
          <w:r>
            <w:instrText xml:space="preserve"> HYPERLINK \l _Toc14624 </w:instrText>
          </w:r>
          <w:r>
            <w:fldChar w:fldCharType="separate"/>
          </w:r>
          <w:r>
            <w:rPr>
              <w:rFonts w:hint="eastAsia"/>
              <w:lang w:val="en-US" w:eastAsia="zh-CN"/>
            </w:rPr>
            <w:t>第八章 售后服务</w:t>
          </w:r>
          <w:r>
            <w:tab/>
          </w:r>
          <w:r>
            <w:fldChar w:fldCharType="begin"/>
          </w:r>
          <w:r>
            <w:instrText xml:space="preserve"> PAGEREF _Toc14624 \h </w:instrText>
          </w:r>
          <w:r>
            <w:fldChar w:fldCharType="separate"/>
          </w:r>
          <w:r>
            <w:t>7</w:t>
          </w:r>
          <w:r>
            <w:fldChar w:fldCharType="end"/>
          </w:r>
          <w:r>
            <w:fldChar w:fldCharType="end"/>
          </w:r>
        </w:p>
        <w:p>
          <w:r>
            <w:fldChar w:fldCharType="end"/>
          </w:r>
        </w:p>
      </w:sdtContent>
    </w:sdt>
    <w:p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br w:type="page"/>
      </w:r>
    </w:p>
    <w:p>
      <w:pPr>
        <w:jc w:val="center"/>
        <w:rPr>
          <w:rFonts w:hint="eastAsia" w:cs="宋体"/>
          <w:b/>
          <w:bCs/>
          <w:sz w:val="44"/>
          <w:szCs w:val="44"/>
          <w:lang w:val="en-US" w:eastAsia="zh-CN"/>
        </w:rPr>
      </w:pPr>
    </w:p>
    <w:p>
      <w:pPr>
        <w:jc w:val="center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cs="宋体"/>
          <w:b/>
          <w:bCs/>
          <w:sz w:val="44"/>
          <w:szCs w:val="44"/>
          <w:lang w:val="en-US" w:eastAsia="zh-CN"/>
        </w:rPr>
        <w:t>广西电网</w:t>
      </w:r>
      <w:r>
        <w:rPr>
          <w:rFonts w:hint="eastAsia" w:ascii="宋体" w:hAnsi="宋体" w:eastAsia="宋体" w:cs="宋体"/>
          <w:b/>
          <w:bCs/>
          <w:sz w:val="44"/>
          <w:szCs w:val="44"/>
        </w:rPr>
        <w:t>公司本部2026年AB座连廊新增电梯项目地质勘察技术规范书</w:t>
      </w:r>
    </w:p>
    <w:p>
      <w:pPr>
        <w:pStyle w:val="4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/>
          <w:lang w:val="en-US" w:eastAsia="zh-CN"/>
        </w:rPr>
      </w:pPr>
      <w:bookmarkStart w:id="0" w:name="_Toc16575"/>
      <w:r>
        <w:rPr>
          <w:rFonts w:hint="eastAsia"/>
          <w:lang w:val="en-US" w:eastAsia="zh-CN"/>
        </w:rPr>
        <w:t>第一章 总则</w:t>
      </w:r>
      <w:bookmarkEnd w:id="0"/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1.1 本规范书为本次地质勘察招标统一技术标准，所有投标单位须严格遵照执行，作为合同组成文件。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1.2 勘察范围：</w:t>
      </w:r>
      <w:r>
        <w:rPr>
          <w:rFonts w:hint="eastAsia" w:cs="宋体"/>
          <w:sz w:val="28"/>
          <w:szCs w:val="28"/>
          <w:lang w:val="en-US" w:eastAsia="zh-CN"/>
        </w:rPr>
        <w:t>广西电网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公司本部2026年AB座连廊新增电梯项目红线范围内场地工程地质、水文地质、不良地质、地质灾害勘察。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1.3 勘察阶段：按施工图详细勘察标准执行，成果满足施工图设计、施工图审查、施工及验收全部要求。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1.4 执行标准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cs="宋体"/>
          <w:sz w:val="28"/>
          <w:szCs w:val="28"/>
          <w:lang w:val="en-US" w:eastAsia="zh-CN"/>
        </w:rPr>
      </w:pPr>
      <w:r>
        <w:rPr>
          <w:rFonts w:hint="eastAsia" w:cs="宋体"/>
          <w:sz w:val="28"/>
          <w:szCs w:val="28"/>
          <w:lang w:val="en-US" w:eastAsia="zh-CN"/>
        </w:rPr>
        <w:t xml:space="preserve">国家标准： 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cs="宋体"/>
          <w:sz w:val="28"/>
          <w:szCs w:val="28"/>
          <w:lang w:val="en-US" w:eastAsia="zh-CN"/>
        </w:rPr>
      </w:pPr>
      <w:r>
        <w:rPr>
          <w:rFonts w:hint="eastAsia" w:cs="宋体"/>
          <w:sz w:val="28"/>
          <w:szCs w:val="28"/>
          <w:lang w:val="en-US" w:eastAsia="zh-CN"/>
        </w:rPr>
        <w:t>（</w:t>
      </w:r>
      <w:r>
        <w:rPr>
          <w:rFonts w:hint="default" w:cs="宋体"/>
          <w:sz w:val="28"/>
          <w:szCs w:val="28"/>
          <w:lang w:val="en-US" w:eastAsia="zh-CN"/>
        </w:rPr>
        <w:t>1</w:t>
      </w:r>
      <w:r>
        <w:rPr>
          <w:rFonts w:hint="eastAsia" w:cs="宋体"/>
          <w:sz w:val="28"/>
          <w:szCs w:val="28"/>
          <w:lang w:val="en-US" w:eastAsia="zh-CN"/>
        </w:rPr>
        <w:t>）《工程勘察通用规范》（</w:t>
      </w:r>
      <w:r>
        <w:rPr>
          <w:rFonts w:hint="default" w:cs="宋体"/>
          <w:sz w:val="28"/>
          <w:szCs w:val="28"/>
          <w:lang w:val="en-US" w:eastAsia="zh-CN"/>
        </w:rPr>
        <w:t>GB 55017-2021</w:t>
      </w:r>
      <w:r>
        <w:rPr>
          <w:rFonts w:hint="eastAsia" w:cs="宋体"/>
          <w:sz w:val="28"/>
          <w:szCs w:val="28"/>
          <w:lang w:val="en-US" w:eastAsia="zh-CN"/>
        </w:rPr>
        <w:t>）；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cs="宋体"/>
          <w:sz w:val="28"/>
          <w:szCs w:val="28"/>
          <w:lang w:val="en-US" w:eastAsia="zh-CN"/>
        </w:rPr>
      </w:pPr>
      <w:r>
        <w:rPr>
          <w:rFonts w:hint="eastAsia" w:cs="宋体"/>
          <w:sz w:val="28"/>
          <w:szCs w:val="28"/>
          <w:lang w:val="en-US" w:eastAsia="zh-CN"/>
        </w:rPr>
        <w:t>（</w:t>
      </w:r>
      <w:r>
        <w:rPr>
          <w:rFonts w:hint="default" w:cs="宋体"/>
          <w:sz w:val="28"/>
          <w:szCs w:val="28"/>
          <w:lang w:val="en-US" w:eastAsia="zh-CN"/>
        </w:rPr>
        <w:t>2</w:t>
      </w:r>
      <w:r>
        <w:rPr>
          <w:rFonts w:hint="eastAsia" w:cs="宋体"/>
          <w:sz w:val="28"/>
          <w:szCs w:val="28"/>
          <w:lang w:val="en-US" w:eastAsia="zh-CN"/>
        </w:rPr>
        <w:t>）《建筑与市政地基基础通用规范》（</w:t>
      </w:r>
      <w:r>
        <w:rPr>
          <w:rFonts w:hint="default" w:cs="宋体"/>
          <w:sz w:val="28"/>
          <w:szCs w:val="28"/>
          <w:lang w:val="en-US" w:eastAsia="zh-CN"/>
        </w:rPr>
        <w:t>GB 55003-2021</w:t>
      </w:r>
      <w:r>
        <w:rPr>
          <w:rFonts w:hint="eastAsia" w:cs="宋体"/>
          <w:sz w:val="28"/>
          <w:szCs w:val="28"/>
          <w:lang w:val="en-US" w:eastAsia="zh-CN"/>
        </w:rPr>
        <w:t>）；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cs="宋体"/>
          <w:sz w:val="28"/>
          <w:szCs w:val="28"/>
          <w:lang w:val="en-US" w:eastAsia="zh-CN"/>
        </w:rPr>
      </w:pPr>
      <w:r>
        <w:rPr>
          <w:rFonts w:hint="eastAsia" w:cs="宋体"/>
          <w:sz w:val="28"/>
          <w:szCs w:val="28"/>
          <w:lang w:val="en-US" w:eastAsia="zh-CN"/>
        </w:rPr>
        <w:t>（</w:t>
      </w:r>
      <w:r>
        <w:rPr>
          <w:rFonts w:hint="default" w:cs="宋体"/>
          <w:sz w:val="28"/>
          <w:szCs w:val="28"/>
          <w:lang w:val="en-US" w:eastAsia="zh-CN"/>
        </w:rPr>
        <w:t>3</w:t>
      </w:r>
      <w:r>
        <w:rPr>
          <w:rFonts w:hint="eastAsia" w:cs="宋体"/>
          <w:sz w:val="28"/>
          <w:szCs w:val="28"/>
          <w:lang w:val="en-US" w:eastAsia="zh-CN"/>
        </w:rPr>
        <w:t>）《建筑与市政工程抗震通用规范》（</w:t>
      </w:r>
      <w:r>
        <w:rPr>
          <w:rFonts w:hint="default" w:cs="宋体"/>
          <w:sz w:val="28"/>
          <w:szCs w:val="28"/>
          <w:lang w:val="en-US" w:eastAsia="zh-CN"/>
        </w:rPr>
        <w:t>GB 55002-2021</w:t>
      </w:r>
      <w:r>
        <w:rPr>
          <w:rFonts w:hint="eastAsia" w:cs="宋体"/>
          <w:sz w:val="28"/>
          <w:szCs w:val="28"/>
          <w:lang w:val="en-US" w:eastAsia="zh-CN"/>
        </w:rPr>
        <w:t>）；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cs="宋体"/>
          <w:sz w:val="28"/>
          <w:szCs w:val="28"/>
          <w:lang w:val="en-US" w:eastAsia="zh-CN"/>
        </w:rPr>
      </w:pPr>
      <w:r>
        <w:rPr>
          <w:rFonts w:hint="eastAsia" w:cs="宋体"/>
          <w:sz w:val="28"/>
          <w:szCs w:val="28"/>
          <w:lang w:val="en-US" w:eastAsia="zh-CN"/>
        </w:rPr>
        <w:t>（</w:t>
      </w:r>
      <w:r>
        <w:rPr>
          <w:rFonts w:hint="default" w:cs="宋体"/>
          <w:sz w:val="28"/>
          <w:szCs w:val="28"/>
          <w:lang w:val="en-US" w:eastAsia="zh-CN"/>
        </w:rPr>
        <w:t>4</w:t>
      </w:r>
      <w:r>
        <w:rPr>
          <w:rFonts w:hint="eastAsia" w:cs="宋体"/>
          <w:sz w:val="28"/>
          <w:szCs w:val="28"/>
          <w:lang w:val="en-US" w:eastAsia="zh-CN"/>
        </w:rPr>
        <w:t>）《岩土工程勘察规范》（</w:t>
      </w:r>
      <w:r>
        <w:rPr>
          <w:rFonts w:hint="default" w:cs="宋体"/>
          <w:sz w:val="28"/>
          <w:szCs w:val="28"/>
          <w:lang w:val="en-US" w:eastAsia="zh-CN"/>
        </w:rPr>
        <w:t xml:space="preserve">GB 50021-2001 2009 </w:t>
      </w:r>
      <w:r>
        <w:rPr>
          <w:rFonts w:hint="eastAsia" w:cs="宋体"/>
          <w:sz w:val="28"/>
          <w:szCs w:val="28"/>
          <w:lang w:val="en-US" w:eastAsia="zh-CN"/>
        </w:rPr>
        <w:t xml:space="preserve">年版）； 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cs="宋体"/>
          <w:sz w:val="28"/>
          <w:szCs w:val="28"/>
          <w:lang w:val="en-US" w:eastAsia="zh-CN"/>
        </w:rPr>
      </w:pPr>
      <w:r>
        <w:rPr>
          <w:rFonts w:hint="eastAsia" w:cs="宋体"/>
          <w:sz w:val="28"/>
          <w:szCs w:val="28"/>
          <w:lang w:val="en-US" w:eastAsia="zh-CN"/>
        </w:rPr>
        <w:t>（</w:t>
      </w:r>
      <w:r>
        <w:rPr>
          <w:rFonts w:hint="default" w:cs="宋体"/>
          <w:sz w:val="28"/>
          <w:szCs w:val="28"/>
          <w:lang w:val="en-US" w:eastAsia="zh-CN"/>
        </w:rPr>
        <w:t>5</w:t>
      </w:r>
      <w:r>
        <w:rPr>
          <w:rFonts w:hint="eastAsia" w:cs="宋体"/>
          <w:sz w:val="28"/>
          <w:szCs w:val="28"/>
          <w:lang w:val="en-US" w:eastAsia="zh-CN"/>
        </w:rPr>
        <w:t>）《岩土工程勘察安全标准》（</w:t>
      </w:r>
      <w:r>
        <w:rPr>
          <w:rFonts w:hint="default" w:cs="宋体"/>
          <w:sz w:val="28"/>
          <w:szCs w:val="28"/>
          <w:lang w:val="en-US" w:eastAsia="zh-CN"/>
        </w:rPr>
        <w:t>GB/T 50585 -2019</w:t>
      </w:r>
      <w:r>
        <w:rPr>
          <w:rFonts w:hint="eastAsia" w:cs="宋体"/>
          <w:sz w:val="28"/>
          <w:szCs w:val="28"/>
          <w:lang w:val="en-US" w:eastAsia="zh-CN"/>
        </w:rPr>
        <w:t xml:space="preserve">）； 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cs="宋体"/>
          <w:sz w:val="28"/>
          <w:szCs w:val="28"/>
          <w:lang w:val="en-US" w:eastAsia="zh-CN"/>
        </w:rPr>
      </w:pPr>
      <w:r>
        <w:rPr>
          <w:rFonts w:hint="eastAsia" w:cs="宋体"/>
          <w:sz w:val="28"/>
          <w:szCs w:val="28"/>
          <w:lang w:val="en-US" w:eastAsia="zh-CN"/>
        </w:rPr>
        <w:t>（</w:t>
      </w:r>
      <w:r>
        <w:rPr>
          <w:rFonts w:hint="default" w:cs="宋体"/>
          <w:sz w:val="28"/>
          <w:szCs w:val="28"/>
          <w:lang w:val="en-US" w:eastAsia="zh-CN"/>
        </w:rPr>
        <w:t>6</w:t>
      </w:r>
      <w:r>
        <w:rPr>
          <w:rFonts w:hint="eastAsia" w:cs="宋体"/>
          <w:sz w:val="28"/>
          <w:szCs w:val="28"/>
          <w:lang w:val="en-US" w:eastAsia="zh-CN"/>
        </w:rPr>
        <w:t>）《建筑地基基础设计规范》（</w:t>
      </w:r>
      <w:r>
        <w:rPr>
          <w:rFonts w:hint="default" w:cs="宋体"/>
          <w:sz w:val="28"/>
          <w:szCs w:val="28"/>
          <w:lang w:val="en-US" w:eastAsia="zh-CN"/>
        </w:rPr>
        <w:t>GB 50007-2011</w:t>
      </w:r>
      <w:r>
        <w:rPr>
          <w:rFonts w:hint="eastAsia" w:cs="宋体"/>
          <w:sz w:val="28"/>
          <w:szCs w:val="28"/>
          <w:lang w:val="en-US" w:eastAsia="zh-CN"/>
        </w:rPr>
        <w:t xml:space="preserve">）； 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cs="宋体"/>
          <w:sz w:val="28"/>
          <w:szCs w:val="28"/>
          <w:lang w:val="en-US" w:eastAsia="zh-CN"/>
        </w:rPr>
      </w:pPr>
      <w:r>
        <w:rPr>
          <w:rFonts w:hint="eastAsia" w:cs="宋体"/>
          <w:sz w:val="28"/>
          <w:szCs w:val="28"/>
          <w:lang w:val="en-US" w:eastAsia="zh-CN"/>
        </w:rPr>
        <w:t>（</w:t>
      </w:r>
      <w:r>
        <w:rPr>
          <w:rFonts w:hint="default" w:cs="宋体"/>
          <w:sz w:val="28"/>
          <w:szCs w:val="28"/>
          <w:lang w:val="en-US" w:eastAsia="zh-CN"/>
        </w:rPr>
        <w:t>7</w:t>
      </w:r>
      <w:r>
        <w:rPr>
          <w:rFonts w:hint="eastAsia" w:cs="宋体"/>
          <w:sz w:val="28"/>
          <w:szCs w:val="28"/>
          <w:lang w:val="en-US" w:eastAsia="zh-CN"/>
        </w:rPr>
        <w:t>）《建筑抗震设计标准》（</w:t>
      </w:r>
      <w:r>
        <w:rPr>
          <w:rFonts w:hint="default" w:cs="宋体"/>
          <w:sz w:val="28"/>
          <w:szCs w:val="28"/>
          <w:lang w:val="en-US" w:eastAsia="zh-CN"/>
        </w:rPr>
        <w:t xml:space="preserve">GB/T 50011-2010 2024 </w:t>
      </w:r>
      <w:r>
        <w:rPr>
          <w:rFonts w:hint="eastAsia" w:cs="宋体"/>
          <w:sz w:val="28"/>
          <w:szCs w:val="28"/>
          <w:lang w:val="en-US" w:eastAsia="zh-CN"/>
        </w:rPr>
        <w:t xml:space="preserve">年版）； 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cs="宋体"/>
          <w:sz w:val="28"/>
          <w:szCs w:val="28"/>
          <w:highlight w:val="none"/>
          <w:lang w:val="en-US" w:eastAsia="zh-CN"/>
        </w:rPr>
      </w:pPr>
      <w:r>
        <w:rPr>
          <w:rFonts w:hint="eastAsia" w:cs="宋体"/>
          <w:sz w:val="28"/>
          <w:szCs w:val="28"/>
          <w:highlight w:val="none"/>
          <w:lang w:val="en-US" w:eastAsia="zh-CN"/>
        </w:rPr>
        <w:t>（</w:t>
      </w:r>
      <w:r>
        <w:rPr>
          <w:rFonts w:hint="default" w:cs="宋体"/>
          <w:sz w:val="28"/>
          <w:szCs w:val="28"/>
          <w:highlight w:val="none"/>
          <w:lang w:val="en-US" w:eastAsia="zh-CN"/>
        </w:rPr>
        <w:t>8</w:t>
      </w:r>
      <w:r>
        <w:rPr>
          <w:rFonts w:hint="eastAsia" w:cs="宋体"/>
          <w:sz w:val="28"/>
          <w:szCs w:val="28"/>
          <w:highlight w:val="none"/>
          <w:lang w:val="en-US" w:eastAsia="zh-CN"/>
        </w:rPr>
        <w:t>）《土工试验方法标准》（</w:t>
      </w:r>
      <w:r>
        <w:rPr>
          <w:rFonts w:hint="default" w:cs="宋体"/>
          <w:sz w:val="28"/>
          <w:szCs w:val="28"/>
          <w:highlight w:val="none"/>
          <w:lang w:val="en-US" w:eastAsia="zh-CN"/>
        </w:rPr>
        <w:t>GB/T 50123-2019</w:t>
      </w:r>
      <w:r>
        <w:rPr>
          <w:rFonts w:hint="eastAsia" w:cs="宋体"/>
          <w:sz w:val="28"/>
          <w:szCs w:val="28"/>
          <w:highlight w:val="none"/>
          <w:lang w:val="en-US" w:eastAsia="zh-CN"/>
        </w:rPr>
        <w:t xml:space="preserve">）； 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cs="宋体"/>
          <w:sz w:val="28"/>
          <w:szCs w:val="28"/>
          <w:highlight w:val="none"/>
          <w:lang w:val="en-US" w:eastAsia="zh-CN"/>
        </w:rPr>
      </w:pPr>
      <w:r>
        <w:rPr>
          <w:rFonts w:hint="eastAsia" w:cs="宋体"/>
          <w:sz w:val="28"/>
          <w:szCs w:val="28"/>
          <w:highlight w:val="none"/>
          <w:lang w:val="en-US" w:eastAsia="zh-CN"/>
        </w:rPr>
        <w:t>（</w:t>
      </w:r>
      <w:r>
        <w:rPr>
          <w:rFonts w:hint="default" w:cs="宋体"/>
          <w:sz w:val="28"/>
          <w:szCs w:val="28"/>
          <w:highlight w:val="none"/>
          <w:lang w:val="en-US" w:eastAsia="zh-CN"/>
        </w:rPr>
        <w:t>9</w:t>
      </w:r>
      <w:r>
        <w:rPr>
          <w:rFonts w:hint="eastAsia" w:cs="宋体"/>
          <w:sz w:val="28"/>
          <w:szCs w:val="28"/>
          <w:highlight w:val="none"/>
          <w:lang w:val="en-US" w:eastAsia="zh-CN"/>
        </w:rPr>
        <w:t>）《建筑工程抗震设防分类标准》（</w:t>
      </w:r>
      <w:r>
        <w:rPr>
          <w:rFonts w:hint="default" w:cs="宋体"/>
          <w:sz w:val="28"/>
          <w:szCs w:val="28"/>
          <w:highlight w:val="none"/>
          <w:lang w:val="en-US" w:eastAsia="zh-CN"/>
        </w:rPr>
        <w:t>GB 50223-20</w:t>
      </w:r>
      <w:r>
        <w:rPr>
          <w:rFonts w:hint="eastAsia" w:cs="宋体"/>
          <w:sz w:val="28"/>
          <w:szCs w:val="28"/>
          <w:highlight w:val="none"/>
          <w:lang w:val="en-US" w:eastAsia="zh-CN"/>
        </w:rPr>
        <w:t xml:space="preserve">23）； 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cs="宋体"/>
          <w:sz w:val="28"/>
          <w:szCs w:val="28"/>
          <w:highlight w:val="none"/>
          <w:lang w:val="en-US" w:eastAsia="zh-CN"/>
        </w:rPr>
      </w:pPr>
      <w:r>
        <w:rPr>
          <w:rFonts w:hint="eastAsia" w:cs="宋体"/>
          <w:sz w:val="28"/>
          <w:szCs w:val="28"/>
          <w:highlight w:val="none"/>
          <w:lang w:val="en-US" w:eastAsia="zh-CN"/>
        </w:rPr>
        <w:t>（</w:t>
      </w:r>
      <w:r>
        <w:rPr>
          <w:rFonts w:hint="default" w:cs="宋体"/>
          <w:sz w:val="28"/>
          <w:szCs w:val="28"/>
          <w:highlight w:val="none"/>
          <w:lang w:val="en-US" w:eastAsia="zh-CN"/>
        </w:rPr>
        <w:t>10</w:t>
      </w:r>
      <w:r>
        <w:rPr>
          <w:rFonts w:hint="eastAsia" w:cs="宋体"/>
          <w:sz w:val="28"/>
          <w:szCs w:val="28"/>
          <w:highlight w:val="none"/>
          <w:lang w:val="en-US" w:eastAsia="zh-CN"/>
        </w:rPr>
        <w:t>）《建筑边坡工程技术规范》（</w:t>
      </w:r>
      <w:r>
        <w:rPr>
          <w:rFonts w:hint="default" w:cs="宋体"/>
          <w:sz w:val="28"/>
          <w:szCs w:val="28"/>
          <w:highlight w:val="none"/>
          <w:lang w:val="en-US" w:eastAsia="zh-CN"/>
        </w:rPr>
        <w:t>GB 50330-2013</w:t>
      </w:r>
      <w:r>
        <w:rPr>
          <w:rFonts w:hint="eastAsia" w:cs="宋体"/>
          <w:sz w:val="28"/>
          <w:szCs w:val="28"/>
          <w:highlight w:val="none"/>
          <w:lang w:val="en-US" w:eastAsia="zh-CN"/>
        </w:rPr>
        <w:t xml:space="preserve">）； 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cs="宋体"/>
          <w:sz w:val="28"/>
          <w:szCs w:val="28"/>
          <w:highlight w:val="none"/>
          <w:lang w:val="en-US" w:eastAsia="zh-CN"/>
        </w:rPr>
      </w:pPr>
      <w:r>
        <w:rPr>
          <w:rFonts w:hint="eastAsia" w:cs="宋体"/>
          <w:sz w:val="28"/>
          <w:szCs w:val="28"/>
          <w:highlight w:val="none"/>
          <w:lang w:val="en-US" w:eastAsia="zh-CN"/>
        </w:rPr>
        <w:t>（</w:t>
      </w:r>
      <w:r>
        <w:rPr>
          <w:rFonts w:hint="default" w:cs="宋体"/>
          <w:sz w:val="28"/>
          <w:szCs w:val="28"/>
          <w:highlight w:val="none"/>
          <w:lang w:val="en-US" w:eastAsia="zh-CN"/>
        </w:rPr>
        <w:t>11</w:t>
      </w:r>
      <w:r>
        <w:rPr>
          <w:rFonts w:hint="eastAsia" w:cs="宋体"/>
          <w:sz w:val="28"/>
          <w:szCs w:val="28"/>
          <w:highlight w:val="none"/>
          <w:lang w:val="en-US" w:eastAsia="zh-CN"/>
        </w:rPr>
        <w:t>）《中国地震动参数区划图》（</w:t>
      </w:r>
      <w:r>
        <w:rPr>
          <w:rFonts w:hint="default" w:cs="宋体"/>
          <w:sz w:val="28"/>
          <w:szCs w:val="28"/>
          <w:highlight w:val="none"/>
          <w:lang w:val="en-US" w:eastAsia="zh-CN"/>
        </w:rPr>
        <w:t>GB18306-2015</w:t>
      </w:r>
      <w:r>
        <w:rPr>
          <w:rFonts w:hint="eastAsia" w:cs="宋体"/>
          <w:sz w:val="28"/>
          <w:szCs w:val="28"/>
          <w:highlight w:val="none"/>
          <w:lang w:val="en-US" w:eastAsia="zh-CN"/>
        </w:rPr>
        <w:t xml:space="preserve">）； 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cs="宋体"/>
          <w:sz w:val="28"/>
          <w:szCs w:val="28"/>
          <w:highlight w:val="none"/>
          <w:lang w:val="en-US" w:eastAsia="zh-CN"/>
        </w:rPr>
      </w:pPr>
      <w:r>
        <w:rPr>
          <w:rFonts w:hint="eastAsia" w:cs="宋体"/>
          <w:sz w:val="28"/>
          <w:szCs w:val="28"/>
          <w:highlight w:val="none"/>
          <w:lang w:val="en-US" w:eastAsia="zh-CN"/>
        </w:rPr>
        <w:t>（</w:t>
      </w:r>
      <w:r>
        <w:rPr>
          <w:rFonts w:hint="default" w:cs="宋体"/>
          <w:sz w:val="28"/>
          <w:szCs w:val="28"/>
          <w:highlight w:val="none"/>
          <w:lang w:val="en-US" w:eastAsia="zh-CN"/>
        </w:rPr>
        <w:t>12</w:t>
      </w:r>
      <w:r>
        <w:rPr>
          <w:rFonts w:hint="eastAsia" w:cs="宋体"/>
          <w:sz w:val="28"/>
          <w:szCs w:val="28"/>
          <w:highlight w:val="none"/>
          <w:lang w:val="en-US" w:eastAsia="zh-CN"/>
        </w:rPr>
        <w:t>）《工程测量标准》（</w:t>
      </w:r>
      <w:r>
        <w:rPr>
          <w:rFonts w:hint="default" w:cs="宋体"/>
          <w:sz w:val="28"/>
          <w:szCs w:val="28"/>
          <w:highlight w:val="none"/>
          <w:lang w:val="en-US" w:eastAsia="zh-CN"/>
        </w:rPr>
        <w:t>GB 50026-2020</w:t>
      </w:r>
      <w:r>
        <w:rPr>
          <w:rFonts w:hint="eastAsia" w:cs="宋体"/>
          <w:sz w:val="28"/>
          <w:szCs w:val="28"/>
          <w:highlight w:val="none"/>
          <w:lang w:val="en-US" w:eastAsia="zh-CN"/>
        </w:rPr>
        <w:t xml:space="preserve">）； 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cs="宋体"/>
          <w:sz w:val="28"/>
          <w:szCs w:val="28"/>
          <w:highlight w:val="none"/>
          <w:lang w:val="en-US" w:eastAsia="zh-CN"/>
        </w:rPr>
      </w:pPr>
      <w:r>
        <w:rPr>
          <w:rFonts w:hint="eastAsia" w:cs="宋体"/>
          <w:sz w:val="28"/>
          <w:szCs w:val="28"/>
          <w:highlight w:val="none"/>
          <w:lang w:val="en-US" w:eastAsia="zh-CN"/>
        </w:rPr>
        <w:t>（</w:t>
      </w:r>
      <w:r>
        <w:rPr>
          <w:rFonts w:hint="default" w:cs="宋体"/>
          <w:sz w:val="28"/>
          <w:szCs w:val="28"/>
          <w:highlight w:val="none"/>
          <w:lang w:val="en-US" w:eastAsia="zh-CN"/>
        </w:rPr>
        <w:t>13</w:t>
      </w:r>
      <w:r>
        <w:rPr>
          <w:rFonts w:hint="eastAsia" w:cs="宋体"/>
          <w:sz w:val="28"/>
          <w:szCs w:val="28"/>
          <w:highlight w:val="none"/>
          <w:lang w:val="en-US" w:eastAsia="zh-CN"/>
        </w:rPr>
        <w:t>）《房屋建筑和市政基础设施工程勘察文件编制深度规定》（</w:t>
      </w:r>
      <w:r>
        <w:rPr>
          <w:rFonts w:hint="default" w:cs="宋体"/>
          <w:sz w:val="28"/>
          <w:szCs w:val="28"/>
          <w:highlight w:val="none"/>
          <w:lang w:val="en-US" w:eastAsia="zh-CN"/>
        </w:rPr>
        <w:t xml:space="preserve">2020 </w:t>
      </w:r>
      <w:r>
        <w:rPr>
          <w:rFonts w:hint="eastAsia" w:cs="宋体"/>
          <w:sz w:val="28"/>
          <w:szCs w:val="28"/>
          <w:highlight w:val="none"/>
          <w:lang w:val="en-US" w:eastAsia="zh-CN"/>
        </w:rPr>
        <w:t xml:space="preserve">年版）。 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cs="宋体"/>
          <w:sz w:val="28"/>
          <w:szCs w:val="28"/>
          <w:highlight w:val="none"/>
          <w:lang w:val="en-US" w:eastAsia="zh-CN"/>
        </w:rPr>
      </w:pPr>
      <w:r>
        <w:rPr>
          <w:rFonts w:hint="eastAsia" w:cs="宋体"/>
          <w:sz w:val="28"/>
          <w:szCs w:val="28"/>
          <w:highlight w:val="none"/>
          <w:lang w:val="en-US" w:eastAsia="zh-CN"/>
        </w:rPr>
        <w:t xml:space="preserve">行业标准： 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cs="宋体"/>
          <w:sz w:val="28"/>
          <w:szCs w:val="28"/>
          <w:highlight w:val="none"/>
          <w:lang w:val="en-US" w:eastAsia="zh-CN"/>
        </w:rPr>
      </w:pPr>
      <w:r>
        <w:rPr>
          <w:rFonts w:hint="eastAsia" w:cs="宋体"/>
          <w:sz w:val="28"/>
          <w:szCs w:val="28"/>
          <w:highlight w:val="none"/>
          <w:lang w:val="en-US" w:eastAsia="zh-CN"/>
        </w:rPr>
        <w:t>（</w:t>
      </w:r>
      <w:r>
        <w:rPr>
          <w:rFonts w:hint="default" w:cs="宋体"/>
          <w:sz w:val="28"/>
          <w:szCs w:val="28"/>
          <w:highlight w:val="none"/>
          <w:lang w:val="en-US" w:eastAsia="zh-CN"/>
        </w:rPr>
        <w:t>1</w:t>
      </w:r>
      <w:r>
        <w:rPr>
          <w:rFonts w:hint="eastAsia" w:cs="宋体"/>
          <w:sz w:val="28"/>
          <w:szCs w:val="28"/>
          <w:highlight w:val="none"/>
          <w:lang w:val="en-US" w:eastAsia="zh-CN"/>
        </w:rPr>
        <w:t>）《高层建筑岩土工程勘察标准》（</w:t>
      </w:r>
      <w:r>
        <w:rPr>
          <w:rFonts w:hint="default" w:cs="宋体"/>
          <w:sz w:val="28"/>
          <w:szCs w:val="28"/>
          <w:highlight w:val="none"/>
          <w:lang w:val="en-US" w:eastAsia="zh-CN"/>
        </w:rPr>
        <w:t>JGJ/T 72-2017</w:t>
      </w:r>
      <w:r>
        <w:rPr>
          <w:rFonts w:hint="eastAsia" w:cs="宋体"/>
          <w:sz w:val="28"/>
          <w:szCs w:val="28"/>
          <w:highlight w:val="none"/>
          <w:lang w:val="en-US" w:eastAsia="zh-CN"/>
        </w:rPr>
        <w:t xml:space="preserve">）； 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cs="宋体"/>
          <w:sz w:val="28"/>
          <w:szCs w:val="28"/>
          <w:highlight w:val="none"/>
          <w:lang w:val="en-US" w:eastAsia="zh-CN"/>
        </w:rPr>
      </w:pPr>
      <w:r>
        <w:rPr>
          <w:rFonts w:hint="eastAsia" w:cs="宋体"/>
          <w:sz w:val="28"/>
          <w:szCs w:val="28"/>
          <w:highlight w:val="none"/>
          <w:lang w:val="en-US" w:eastAsia="zh-CN"/>
        </w:rPr>
        <w:t>（</w:t>
      </w:r>
      <w:r>
        <w:rPr>
          <w:rFonts w:hint="default" w:cs="宋体"/>
          <w:sz w:val="28"/>
          <w:szCs w:val="28"/>
          <w:highlight w:val="none"/>
          <w:lang w:val="en-US" w:eastAsia="zh-CN"/>
        </w:rPr>
        <w:t>2</w:t>
      </w:r>
      <w:r>
        <w:rPr>
          <w:rFonts w:hint="eastAsia" w:cs="宋体"/>
          <w:sz w:val="28"/>
          <w:szCs w:val="28"/>
          <w:highlight w:val="none"/>
          <w:lang w:val="en-US" w:eastAsia="zh-CN"/>
        </w:rPr>
        <w:t>）《建筑桩基技术规范》（</w:t>
      </w:r>
      <w:r>
        <w:rPr>
          <w:rFonts w:hint="default" w:cs="宋体"/>
          <w:sz w:val="28"/>
          <w:szCs w:val="28"/>
          <w:highlight w:val="none"/>
          <w:lang w:val="en-US" w:eastAsia="zh-CN"/>
        </w:rPr>
        <w:t>JGJ 94-2008</w:t>
      </w:r>
      <w:r>
        <w:rPr>
          <w:rFonts w:hint="eastAsia" w:cs="宋体"/>
          <w:sz w:val="28"/>
          <w:szCs w:val="28"/>
          <w:highlight w:val="none"/>
          <w:lang w:val="en-US" w:eastAsia="zh-CN"/>
        </w:rPr>
        <w:t xml:space="preserve">）； 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cs="宋体"/>
          <w:sz w:val="28"/>
          <w:szCs w:val="28"/>
          <w:highlight w:val="none"/>
          <w:lang w:val="en-US" w:eastAsia="zh-CN"/>
        </w:rPr>
      </w:pPr>
      <w:r>
        <w:rPr>
          <w:rFonts w:hint="eastAsia" w:cs="宋体"/>
          <w:sz w:val="28"/>
          <w:szCs w:val="28"/>
          <w:highlight w:val="none"/>
          <w:lang w:val="en-US" w:eastAsia="zh-CN"/>
        </w:rPr>
        <w:t>（</w:t>
      </w:r>
      <w:r>
        <w:rPr>
          <w:rFonts w:hint="default" w:cs="宋体"/>
          <w:sz w:val="28"/>
          <w:szCs w:val="28"/>
          <w:highlight w:val="none"/>
          <w:lang w:val="en-US" w:eastAsia="zh-CN"/>
        </w:rPr>
        <w:t>3</w:t>
      </w:r>
      <w:r>
        <w:rPr>
          <w:rFonts w:hint="eastAsia" w:cs="宋体"/>
          <w:sz w:val="28"/>
          <w:szCs w:val="28"/>
          <w:highlight w:val="none"/>
          <w:lang w:val="en-US" w:eastAsia="zh-CN"/>
        </w:rPr>
        <w:t xml:space="preserve">）《建筑地基处理技术规程》（DBJ/T45-192-2026）； 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cs="宋体"/>
          <w:sz w:val="28"/>
          <w:szCs w:val="28"/>
          <w:highlight w:val="none"/>
          <w:lang w:val="en-US" w:eastAsia="zh-CN"/>
        </w:rPr>
      </w:pPr>
      <w:r>
        <w:rPr>
          <w:rFonts w:hint="eastAsia" w:cs="宋体"/>
          <w:sz w:val="28"/>
          <w:szCs w:val="28"/>
          <w:highlight w:val="none"/>
          <w:lang w:val="en-US" w:eastAsia="zh-CN"/>
        </w:rPr>
        <w:t>（</w:t>
      </w:r>
      <w:r>
        <w:rPr>
          <w:rFonts w:hint="default" w:cs="宋体"/>
          <w:sz w:val="28"/>
          <w:szCs w:val="28"/>
          <w:highlight w:val="none"/>
          <w:lang w:val="en-US" w:eastAsia="zh-CN"/>
        </w:rPr>
        <w:t>4</w:t>
      </w:r>
      <w:r>
        <w:rPr>
          <w:rFonts w:hint="eastAsia" w:cs="宋体"/>
          <w:sz w:val="28"/>
          <w:szCs w:val="28"/>
          <w:highlight w:val="none"/>
          <w:lang w:val="en-US" w:eastAsia="zh-CN"/>
        </w:rPr>
        <w:t>）《建筑基坑支护技术规程》（</w:t>
      </w:r>
      <w:r>
        <w:rPr>
          <w:rFonts w:hint="default" w:cs="宋体"/>
          <w:sz w:val="28"/>
          <w:szCs w:val="28"/>
          <w:highlight w:val="none"/>
          <w:lang w:val="en-US" w:eastAsia="zh-CN"/>
        </w:rPr>
        <w:t>JGJ 120-2012</w:t>
      </w:r>
      <w:r>
        <w:rPr>
          <w:rFonts w:hint="eastAsia" w:cs="宋体"/>
          <w:sz w:val="28"/>
          <w:szCs w:val="28"/>
          <w:highlight w:val="none"/>
          <w:lang w:val="en-US" w:eastAsia="zh-CN"/>
        </w:rPr>
        <w:t xml:space="preserve">）； 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cs="宋体"/>
          <w:sz w:val="28"/>
          <w:szCs w:val="28"/>
          <w:highlight w:val="none"/>
          <w:lang w:val="en-US" w:eastAsia="zh-CN"/>
        </w:rPr>
      </w:pPr>
      <w:r>
        <w:rPr>
          <w:rFonts w:hint="eastAsia" w:cs="宋体"/>
          <w:sz w:val="28"/>
          <w:szCs w:val="28"/>
          <w:highlight w:val="none"/>
          <w:lang w:val="en-US" w:eastAsia="zh-CN"/>
        </w:rPr>
        <w:t>（</w:t>
      </w:r>
      <w:r>
        <w:rPr>
          <w:rFonts w:hint="default" w:cs="宋体"/>
          <w:sz w:val="28"/>
          <w:szCs w:val="28"/>
          <w:highlight w:val="none"/>
          <w:lang w:val="en-US" w:eastAsia="zh-CN"/>
        </w:rPr>
        <w:t>5</w:t>
      </w:r>
      <w:r>
        <w:rPr>
          <w:rFonts w:hint="eastAsia" w:cs="宋体"/>
          <w:sz w:val="28"/>
          <w:szCs w:val="28"/>
          <w:highlight w:val="none"/>
          <w:lang w:val="en-US" w:eastAsia="zh-CN"/>
        </w:rPr>
        <w:t>）《建筑工程地质勘探与取样技术规程》（</w:t>
      </w:r>
      <w:r>
        <w:rPr>
          <w:rFonts w:hint="default" w:cs="宋体"/>
          <w:sz w:val="28"/>
          <w:szCs w:val="28"/>
          <w:highlight w:val="none"/>
          <w:lang w:val="en-US" w:eastAsia="zh-CN"/>
        </w:rPr>
        <w:t>JGJ/T 87-2012</w:t>
      </w:r>
      <w:r>
        <w:rPr>
          <w:rFonts w:hint="eastAsia" w:cs="宋体"/>
          <w:sz w:val="28"/>
          <w:szCs w:val="28"/>
          <w:highlight w:val="none"/>
          <w:lang w:val="en-US" w:eastAsia="zh-CN"/>
        </w:rPr>
        <w:t xml:space="preserve">）； 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cs="宋体"/>
          <w:sz w:val="28"/>
          <w:szCs w:val="28"/>
          <w:highlight w:val="none"/>
          <w:lang w:val="en-US" w:eastAsia="zh-CN"/>
        </w:rPr>
      </w:pPr>
      <w:r>
        <w:rPr>
          <w:rFonts w:hint="eastAsia" w:cs="宋体"/>
          <w:sz w:val="28"/>
          <w:szCs w:val="28"/>
          <w:highlight w:val="none"/>
          <w:lang w:val="en-US" w:eastAsia="zh-CN"/>
        </w:rPr>
        <w:t>（</w:t>
      </w:r>
      <w:r>
        <w:rPr>
          <w:rFonts w:hint="default" w:cs="宋体"/>
          <w:sz w:val="28"/>
          <w:szCs w:val="28"/>
          <w:highlight w:val="none"/>
          <w:lang w:val="en-US" w:eastAsia="zh-CN"/>
        </w:rPr>
        <w:t>6</w:t>
      </w:r>
      <w:r>
        <w:rPr>
          <w:rFonts w:hint="eastAsia" w:cs="宋体"/>
          <w:sz w:val="28"/>
          <w:szCs w:val="28"/>
          <w:highlight w:val="none"/>
          <w:lang w:val="en-US" w:eastAsia="zh-CN"/>
        </w:rPr>
        <w:t>）《建筑工程抗浮技术标准》（</w:t>
      </w:r>
      <w:r>
        <w:rPr>
          <w:rFonts w:hint="default" w:cs="宋体"/>
          <w:sz w:val="28"/>
          <w:szCs w:val="28"/>
          <w:highlight w:val="none"/>
          <w:lang w:val="en-US" w:eastAsia="zh-CN"/>
        </w:rPr>
        <w:t>JGJ 476-2019</w:t>
      </w:r>
      <w:r>
        <w:rPr>
          <w:rFonts w:hint="eastAsia" w:cs="宋体"/>
          <w:sz w:val="28"/>
          <w:szCs w:val="28"/>
          <w:highlight w:val="none"/>
          <w:lang w:val="en-US" w:eastAsia="zh-CN"/>
        </w:rPr>
        <w:t xml:space="preserve">）。 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cs="宋体"/>
          <w:sz w:val="28"/>
          <w:szCs w:val="28"/>
          <w:highlight w:val="none"/>
          <w:lang w:val="en-US" w:eastAsia="zh-CN"/>
        </w:rPr>
      </w:pPr>
      <w:r>
        <w:rPr>
          <w:rFonts w:hint="eastAsia" w:cs="宋体"/>
          <w:sz w:val="28"/>
          <w:szCs w:val="28"/>
          <w:highlight w:val="none"/>
          <w:lang w:val="en-US" w:eastAsia="zh-CN"/>
        </w:rPr>
        <w:t xml:space="preserve">地方标准： 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cs="宋体"/>
          <w:sz w:val="28"/>
          <w:szCs w:val="28"/>
          <w:highlight w:val="none"/>
          <w:lang w:val="en-US" w:eastAsia="zh-CN"/>
        </w:rPr>
      </w:pPr>
      <w:r>
        <w:rPr>
          <w:rFonts w:hint="eastAsia" w:cs="宋体"/>
          <w:sz w:val="28"/>
          <w:szCs w:val="28"/>
          <w:highlight w:val="none"/>
          <w:lang w:val="en-US" w:eastAsia="zh-CN"/>
        </w:rPr>
        <w:t>（</w:t>
      </w:r>
      <w:r>
        <w:rPr>
          <w:rFonts w:hint="default" w:cs="宋体"/>
          <w:sz w:val="28"/>
          <w:szCs w:val="28"/>
          <w:highlight w:val="none"/>
          <w:lang w:val="en-US" w:eastAsia="zh-CN"/>
        </w:rPr>
        <w:t>1</w:t>
      </w:r>
      <w:r>
        <w:rPr>
          <w:rFonts w:hint="eastAsia" w:cs="宋体"/>
          <w:sz w:val="28"/>
          <w:szCs w:val="28"/>
          <w:highlight w:val="none"/>
          <w:lang w:val="en-US" w:eastAsia="zh-CN"/>
        </w:rPr>
        <w:t xml:space="preserve">）《岩土工程勘察规程》（DBJ/T45-066-2026） ； 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cs="宋体"/>
          <w:sz w:val="28"/>
          <w:szCs w:val="28"/>
          <w:highlight w:val="none"/>
          <w:lang w:val="en-US" w:eastAsia="zh-CN"/>
        </w:rPr>
      </w:pPr>
      <w:r>
        <w:rPr>
          <w:rFonts w:hint="eastAsia" w:cs="宋体"/>
          <w:sz w:val="28"/>
          <w:szCs w:val="28"/>
          <w:highlight w:val="none"/>
          <w:lang w:val="en-US" w:eastAsia="zh-CN"/>
        </w:rPr>
        <w:t>（</w:t>
      </w:r>
      <w:r>
        <w:rPr>
          <w:rFonts w:hint="default" w:cs="宋体"/>
          <w:sz w:val="28"/>
          <w:szCs w:val="28"/>
          <w:highlight w:val="none"/>
          <w:lang w:val="en-US" w:eastAsia="zh-CN"/>
        </w:rPr>
        <w:t>2</w:t>
      </w:r>
      <w:r>
        <w:rPr>
          <w:rFonts w:hint="eastAsia" w:cs="宋体"/>
          <w:sz w:val="28"/>
          <w:szCs w:val="28"/>
          <w:highlight w:val="none"/>
          <w:lang w:val="en-US" w:eastAsia="zh-CN"/>
        </w:rPr>
        <w:t>）《广西建筑地基基础设计规范》（</w:t>
      </w:r>
      <w:r>
        <w:rPr>
          <w:rFonts w:hint="default" w:cs="宋体"/>
          <w:sz w:val="28"/>
          <w:szCs w:val="28"/>
          <w:highlight w:val="none"/>
          <w:lang w:val="en-US" w:eastAsia="zh-CN"/>
        </w:rPr>
        <w:t>DBJ45/003-2015</w:t>
      </w:r>
      <w:r>
        <w:rPr>
          <w:rFonts w:hint="eastAsia" w:cs="宋体"/>
          <w:sz w:val="28"/>
          <w:szCs w:val="28"/>
          <w:highlight w:val="none"/>
          <w:lang w:val="en-US" w:eastAsia="zh-CN"/>
        </w:rPr>
        <w:t xml:space="preserve">）； 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cs="宋体"/>
          <w:sz w:val="28"/>
          <w:szCs w:val="28"/>
          <w:highlight w:val="none"/>
          <w:lang w:val="en-US" w:eastAsia="zh-CN"/>
        </w:rPr>
      </w:pPr>
      <w:r>
        <w:rPr>
          <w:rFonts w:hint="eastAsia" w:cs="宋体"/>
          <w:sz w:val="28"/>
          <w:szCs w:val="28"/>
          <w:highlight w:val="none"/>
          <w:lang w:val="en-US" w:eastAsia="zh-CN"/>
        </w:rPr>
        <w:t>（</w:t>
      </w:r>
      <w:r>
        <w:rPr>
          <w:rFonts w:hint="default" w:cs="宋体"/>
          <w:sz w:val="28"/>
          <w:szCs w:val="28"/>
          <w:highlight w:val="none"/>
          <w:lang w:val="en-US" w:eastAsia="zh-CN"/>
        </w:rPr>
        <w:t>3</w:t>
      </w:r>
      <w:r>
        <w:rPr>
          <w:rFonts w:hint="eastAsia" w:cs="宋体"/>
          <w:sz w:val="28"/>
          <w:szCs w:val="28"/>
          <w:highlight w:val="none"/>
          <w:lang w:val="en-US" w:eastAsia="zh-CN"/>
        </w:rPr>
        <w:t xml:space="preserve">）《岩溶地区建筑地基基础技术规程》（DBJ/T45-024-2026）； 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cs="宋体"/>
          <w:sz w:val="28"/>
          <w:szCs w:val="28"/>
          <w:highlight w:val="none"/>
          <w:lang w:val="en-US" w:eastAsia="zh-CN"/>
        </w:rPr>
      </w:pPr>
      <w:r>
        <w:rPr>
          <w:rFonts w:hint="eastAsia" w:cs="宋体"/>
          <w:sz w:val="28"/>
          <w:szCs w:val="28"/>
          <w:highlight w:val="none"/>
          <w:lang w:val="en-US" w:eastAsia="zh-CN"/>
        </w:rPr>
        <w:t>（</w:t>
      </w:r>
      <w:r>
        <w:rPr>
          <w:rFonts w:hint="default" w:cs="宋体"/>
          <w:sz w:val="28"/>
          <w:szCs w:val="28"/>
          <w:highlight w:val="none"/>
          <w:lang w:val="en-US" w:eastAsia="zh-CN"/>
        </w:rPr>
        <w:t>4</w:t>
      </w:r>
      <w:r>
        <w:rPr>
          <w:rFonts w:hint="eastAsia" w:cs="宋体"/>
          <w:sz w:val="28"/>
          <w:szCs w:val="28"/>
          <w:highlight w:val="none"/>
          <w:lang w:val="en-US" w:eastAsia="zh-CN"/>
        </w:rPr>
        <w:t>）《膨胀土地区建筑技术规程》（</w:t>
      </w:r>
      <w:r>
        <w:rPr>
          <w:rFonts w:hint="default" w:cs="宋体"/>
          <w:sz w:val="28"/>
          <w:szCs w:val="28"/>
          <w:highlight w:val="none"/>
          <w:lang w:val="en-US" w:eastAsia="zh-CN"/>
        </w:rPr>
        <w:t>DB45/T 396-2022</w:t>
      </w:r>
      <w:r>
        <w:rPr>
          <w:rFonts w:hint="eastAsia" w:cs="宋体"/>
          <w:sz w:val="28"/>
          <w:szCs w:val="28"/>
          <w:highlight w:val="none"/>
          <w:lang w:val="en-US" w:eastAsia="zh-CN"/>
        </w:rPr>
        <w:t xml:space="preserve">）； 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</w:pPr>
      <w:r>
        <w:rPr>
          <w:rFonts w:hint="eastAsia" w:cs="宋体"/>
          <w:sz w:val="28"/>
          <w:szCs w:val="28"/>
          <w:highlight w:val="none"/>
          <w:lang w:val="en-US" w:eastAsia="zh-CN"/>
        </w:rPr>
        <w:t>（</w:t>
      </w:r>
      <w:r>
        <w:rPr>
          <w:rFonts w:hint="default" w:cs="宋体"/>
          <w:sz w:val="28"/>
          <w:szCs w:val="28"/>
          <w:highlight w:val="none"/>
          <w:lang w:val="en-US" w:eastAsia="zh-CN"/>
        </w:rPr>
        <w:t>5</w:t>
      </w:r>
      <w:r>
        <w:rPr>
          <w:rFonts w:hint="eastAsia" w:cs="宋体"/>
          <w:sz w:val="28"/>
          <w:szCs w:val="28"/>
          <w:highlight w:val="none"/>
          <w:lang w:val="en-US" w:eastAsia="zh-CN"/>
        </w:rPr>
        <w:t>）《建筑基坑支护技术规范》（</w:t>
      </w:r>
      <w:r>
        <w:rPr>
          <w:rFonts w:hint="default" w:cs="宋体"/>
          <w:sz w:val="28"/>
          <w:szCs w:val="28"/>
          <w:highlight w:val="none"/>
          <w:lang w:val="en-US" w:eastAsia="zh-CN"/>
        </w:rPr>
        <w:t>DBJ/T45-065-2018</w:t>
      </w:r>
      <w:r>
        <w:rPr>
          <w:rFonts w:hint="eastAsia" w:cs="宋体"/>
          <w:sz w:val="28"/>
          <w:szCs w:val="28"/>
          <w:highlight w:val="none"/>
          <w:lang w:val="en-US" w:eastAsia="zh-CN"/>
        </w:rPr>
        <w:t xml:space="preserve">）。 </w:t>
      </w:r>
    </w:p>
    <w:p>
      <w:pPr>
        <w:pStyle w:val="4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/>
          <w:lang w:val="en-US" w:eastAsia="zh-CN"/>
        </w:rPr>
      </w:pPr>
      <w:bookmarkStart w:id="1" w:name="_Toc18946"/>
      <w:r>
        <w:rPr>
          <w:rFonts w:hint="eastAsia"/>
          <w:lang w:val="en-US" w:eastAsia="zh-CN"/>
        </w:rPr>
        <w:t>第二章 勘察工作内容及要求</w:t>
      </w:r>
      <w:bookmarkEnd w:id="1"/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2.1 前期资料收集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1. 收集区域地质、地形地貌、地震、气象、水文、地下水资料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2. 收集场地规划红线、总平图纸、周边建构筑物、地下管线资料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3. 调查场地历史用途、回填情况、地质灾害隐患分布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2.2 现场地质测绘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完成全场地质踏勘测绘，查明场地地形、地层分布、岩土类别、地表水体、边坡、沟壑、填土分布、软弱土层分布范围。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2.3 钻探工作要求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1. 钻孔严格按规范布设，建筑物角点、中心点、轮廓线必须布孔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2. 控制性钻孔、一般性钻孔数量、孔距、孔深严格符合规范要求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3. 钻孔深度必须穿透地基压缩层，深入稳定持力层以下满足规范深度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4. 填土、软土、淤泥、破碎岩层地段必须加密布孔、加深孔深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5. 钻探全程规范取芯，完整留存岩芯，按规定拍照建档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2.4 原位测试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1. 标准贯入试验：各土层分层按频次实施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2. 重型/轻型动力触探：用于碎石土、填土、风化岩层检测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3. 原位测试数据真实完整，不得删减、篡改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2.5 土样、岩样水样采集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1. 按土层分层采取原状土样、扰动土样、岩石试样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2. 采取地下水试样，完成水质腐蚀性分析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3. 取样数量、规格、封存、送检全部符合国标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2.6 室内土工试验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1. 常规物理指标试验：含水率、密度、孔隙比、液塑限、颗粒分析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2. 力学指标试验：压缩试验、直剪试验、承载力指标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3. 岩石抗压、抗剪、软化试验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4. 地下水腐蚀性、地基土腐蚀性评价试验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2.7 水文地质勘察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1. 查明场地地下水位、初见水位、稳定水位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2. 查明地下水埋藏条件、径流流向、补给排泄条件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3. 评价地下水对基础、混凝土、钢筋腐蚀等级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4. 判定场地基坑涌水、降水施工影响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2.8 不良地质与特殊岩土勘察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1. 查明场地有无滑坡、崩塌、岩溶、土洞、孤石、断裂破碎带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2. 查明淤泥、软土、膨胀土、红黏土、杂填土分布范围、厚度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3. 分析不良地质对建筑基础、基坑、边坡施工安全影响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4. 提出专项治理、避让、加固技术建议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2.9 抗震勘察评价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1. 划分场地土类型、场地类别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2. 判定场地抗震有利、不利、危险地段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3. 提供抗震设防相关全部参数</w:t>
      </w:r>
    </w:p>
    <w:p>
      <w:pPr>
        <w:pStyle w:val="4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/>
          <w:lang w:val="en-US" w:eastAsia="zh-CN"/>
        </w:rPr>
      </w:pPr>
      <w:bookmarkStart w:id="2" w:name="_Toc19130"/>
      <w:r>
        <w:rPr>
          <w:rFonts w:hint="eastAsia"/>
          <w:lang w:val="en-US" w:eastAsia="zh-CN"/>
        </w:rPr>
        <w:t>第三章 成果资料交付要求</w:t>
      </w:r>
      <w:bookmarkEnd w:id="2"/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3.1 最终提交正式岩土工程勘察报告书（盖章归档版）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3.2 成果包含内容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1. 勘察总说明、工程概况、勘察依据、勘察方法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2. 场地地形地貌、区域地质条件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3. 地层岩性分层详细描述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4. 地下水条件及腐蚀性评价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5. 岩土物理力学性质指标统计表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6. 地基承载力、桩基参数、边坡参数推荐值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7. 场地稳定性、适宜性综合评价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8. 基础型式优选建议、地基处理方案建议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9. 基坑开挖、降水、支护专项建议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10. 抗震分析结论、施工注意事项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3.3 附图附表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勘探点平面布置图、工程地质剖面图、钻孔柱状图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原位测试曲线图、土工试验成果汇总表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3.4 交付份数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纸质版</w:t>
      </w:r>
      <w:r>
        <w:rPr>
          <w:rFonts w:hint="eastAsia" w:cs="宋体"/>
          <w:sz w:val="28"/>
          <w:szCs w:val="28"/>
          <w:lang w:val="en-US" w:eastAsia="zh-CN"/>
        </w:rPr>
        <w:t>4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套，电子版PDF+CAD完整格式1套</w:t>
      </w:r>
    </w:p>
    <w:p>
      <w:pPr>
        <w:pStyle w:val="4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/>
          <w:lang w:val="en-US" w:eastAsia="zh-CN"/>
        </w:rPr>
      </w:pPr>
      <w:bookmarkStart w:id="3" w:name="_Toc25469"/>
      <w:r>
        <w:rPr>
          <w:rFonts w:hint="eastAsia"/>
          <w:lang w:val="en-US" w:eastAsia="zh-CN"/>
        </w:rPr>
        <w:t>第四章 投标单位资质及人员设备要求</w:t>
      </w:r>
      <w:bookmarkEnd w:id="3"/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4.1 投标人须具备工程勘察专业甲级资质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4.2 具备独立法人资格，近3年同类大型场地勘察业绩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4.3 项目负责人须具备注册岩土工程师执业资格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4.4 现场作业人员、钻探设备、检测仪器齐全合规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4.5 严禁转包、分包、挂靠承接本项目勘察工作</w:t>
      </w:r>
    </w:p>
    <w:p>
      <w:pPr>
        <w:pStyle w:val="4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/>
          <w:lang w:val="en-US" w:eastAsia="zh-CN"/>
        </w:rPr>
      </w:pPr>
      <w:bookmarkStart w:id="4" w:name="_Toc14111"/>
      <w:r>
        <w:rPr>
          <w:rFonts w:hint="eastAsia"/>
          <w:lang w:val="en-US" w:eastAsia="zh-CN"/>
        </w:rPr>
        <w:t>第五章 工期要求</w:t>
      </w:r>
      <w:bookmarkEnd w:id="4"/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1. 中标后3日内进场开展前期工作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2. 现场外业勘察15日历天内全部完成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3. 外业结束后7日内提交正式完整勘察成果报告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4. 无条件配合图纸审查、设计答疑、施工全过程技术配合</w:t>
      </w:r>
    </w:p>
    <w:p>
      <w:pPr>
        <w:pStyle w:val="4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/>
          <w:lang w:val="en-US" w:eastAsia="zh-CN"/>
        </w:rPr>
      </w:pPr>
      <w:bookmarkStart w:id="5" w:name="_Toc22119"/>
      <w:r>
        <w:rPr>
          <w:rFonts w:hint="eastAsia"/>
          <w:lang w:val="en-US" w:eastAsia="zh-CN"/>
        </w:rPr>
        <w:t>第六章 质量标准与验收要求</w:t>
      </w:r>
      <w:bookmarkEnd w:id="5"/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6.1 勘察成果通过施工图审查机构审核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6.2 勘察数据真实可靠，不得弄虚作假、虚报地层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6.3 因勘察疏漏、数据错误造成设计变更、工程损失，由勘察单位全权承担责任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6.4 全程接受建设单位、监理单位监督检查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6.5 无条件根据审查意见无偿修改完善勘察报告</w:t>
      </w:r>
    </w:p>
    <w:p>
      <w:pPr>
        <w:pStyle w:val="4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/>
          <w:lang w:val="en-US" w:eastAsia="zh-CN"/>
        </w:rPr>
      </w:pPr>
      <w:bookmarkStart w:id="6" w:name="_Toc3645"/>
      <w:r>
        <w:rPr>
          <w:rFonts w:hint="eastAsia"/>
          <w:lang w:val="en-US" w:eastAsia="zh-CN"/>
        </w:rPr>
        <w:t>第七章 安全文明勘察要求</w:t>
      </w:r>
      <w:bookmarkEnd w:id="6"/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1. 严格落实现场安全生产管理制度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2. 做好场地围挡、安全警示、地下管线保护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3. 杜绝安全事故、扬尘污染、噪音扰民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4. 完工后平整清理现场，恢复场地原貌</w:t>
      </w:r>
    </w:p>
    <w:p>
      <w:pPr>
        <w:pStyle w:val="4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/>
          <w:lang w:val="en-US" w:eastAsia="zh-CN"/>
        </w:rPr>
      </w:pPr>
      <w:bookmarkStart w:id="7" w:name="_Toc14624"/>
      <w:r>
        <w:rPr>
          <w:rFonts w:hint="eastAsia"/>
          <w:lang w:val="en-US" w:eastAsia="zh-CN"/>
        </w:rPr>
        <w:t>第八</w:t>
      </w:r>
      <w:bookmarkStart w:id="8" w:name="_GoBack"/>
      <w:bookmarkEnd w:id="8"/>
      <w:r>
        <w:rPr>
          <w:rFonts w:hint="eastAsia"/>
          <w:lang w:val="en-US" w:eastAsia="zh-CN"/>
        </w:rPr>
        <w:t>章 售后服务</w:t>
      </w:r>
      <w:bookmarkEnd w:id="7"/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1. 全程配合方案设计、施工图设计技术对接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2. 参与图纸会审、技术交底、现场验槽工作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3. 施工期间现场技术服务、问题答疑、变更配合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4. 终身承担勘察质量相关技术责任</w:t>
      </w:r>
    </w:p>
    <w:sectPr>
      <w:headerReference r:id="rId5" w:type="default"/>
      <w:footerReference r:id="rId6" w:type="default"/>
      <w:pgSz w:w="12240" w:h="15840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S Gothic">
    <w:panose1 w:val="020B0609070205080204"/>
    <w:charset w:val="80"/>
    <w:family w:val="auto"/>
    <w:pitch w:val="default"/>
    <w:sig w:usb0="E00002FF" w:usb1="6AC7FDFB" w:usb2="08000012" w:usb3="00000000" w:csb0="4002009F" w:csb1="DFD70000"/>
  </w:font>
  <w:font w:name="Courier">
    <w:altName w:val="Courier New"/>
    <w:panose1 w:val="02000500000000000000"/>
    <w:charset w:val="00"/>
    <w:family w:val="auto"/>
    <w:pitch w:val="default"/>
    <w:sig w:usb0="00000000" w:usb1="00000000" w:usb2="00000000" w:usb3="00000000" w:csb0="00000001" w:csb1="00000000"/>
  </w:font>
  <w:font w:name="ＭＳ 明朝">
    <w:altName w:val="宋体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6"/>
      <w:jc w:val="center"/>
    </w:pPr>
    <w:r>
      <w:t xml:space="preserve">— 第 </w:t>
    </w:r>
    <w:r>
      <w:fldChar w:fldCharType="begin"/>
    </w:r>
    <w:r>
      <w:instrText xml:space="preserve">PAGE</w:instrText>
    </w:r>
    <w:r>
      <w:fldChar w:fldCharType="end"/>
    </w:r>
    <w:r>
      <w:t xml:space="preserve"> 页 —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7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7E"/>
    <w:multiLevelType w:val="singleLevel"/>
    <w:tmpl w:val="FFFFFF7E"/>
    <w:lvl w:ilvl="0" w:tentative="0">
      <w:start w:val="1"/>
      <w:numFmt w:val="decimal"/>
      <w:pStyle w:val="22"/>
      <w:lvlText w:val="%1."/>
      <w:lvlJc w:val="left"/>
      <w:pPr>
        <w:tabs>
          <w:tab w:val="left" w:pos="1080"/>
        </w:tabs>
        <w:ind w:left="1080" w:hanging="360"/>
      </w:pPr>
    </w:lvl>
  </w:abstractNum>
  <w:abstractNum w:abstractNumId="1">
    <w:nsid w:val="FFFFFF7F"/>
    <w:multiLevelType w:val="singleLevel"/>
    <w:tmpl w:val="FFFFFF7F"/>
    <w:lvl w:ilvl="0" w:tentative="0">
      <w:start w:val="1"/>
      <w:numFmt w:val="decimal"/>
      <w:pStyle w:val="14"/>
      <w:lvlText w:val="%1."/>
      <w:lvlJc w:val="left"/>
      <w:pPr>
        <w:tabs>
          <w:tab w:val="left" w:pos="720"/>
        </w:tabs>
        <w:ind w:left="720" w:hanging="360"/>
      </w:pPr>
    </w:lvl>
  </w:abstractNum>
  <w:abstractNum w:abstractNumId="2">
    <w:nsid w:val="FFFFFF82"/>
    <w:multiLevelType w:val="singleLevel"/>
    <w:tmpl w:val="FFFFFF82"/>
    <w:lvl w:ilvl="0" w:tentative="0">
      <w:start w:val="1"/>
      <w:numFmt w:val="bullet"/>
      <w:pStyle w:val="20"/>
      <w:lvlText w:val=""/>
      <w:lvlJc w:val="left"/>
      <w:pPr>
        <w:tabs>
          <w:tab w:val="left" w:pos="1080"/>
        </w:tabs>
        <w:ind w:left="1080" w:hanging="360"/>
      </w:pPr>
      <w:rPr>
        <w:rFonts w:hint="default" w:ascii="Symbol" w:hAnsi="Symbol"/>
      </w:rPr>
    </w:lvl>
  </w:abstractNum>
  <w:abstractNum w:abstractNumId="3">
    <w:nsid w:val="FFFFFF83"/>
    <w:multiLevelType w:val="singleLevel"/>
    <w:tmpl w:val="FFFFFF83"/>
    <w:lvl w:ilvl="0" w:tentative="0">
      <w:start w:val="1"/>
      <w:numFmt w:val="bullet"/>
      <w:pStyle w:val="25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</w:rPr>
    </w:lvl>
  </w:abstractNum>
  <w:abstractNum w:abstractNumId="4">
    <w:nsid w:val="FFFFFF88"/>
    <w:multiLevelType w:val="singleLevel"/>
    <w:tmpl w:val="FFFFFF88"/>
    <w:lvl w:ilvl="0" w:tentative="0">
      <w:start w:val="1"/>
      <w:numFmt w:val="decimal"/>
      <w:pStyle w:val="15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5">
    <w:nsid w:val="FFFFFF89"/>
    <w:multiLevelType w:val="singleLevel"/>
    <w:tmpl w:val="FFFFFF89"/>
    <w:lvl w:ilvl="0" w:tentative="0">
      <w:start w:val="1"/>
      <w:numFmt w:val="bullet"/>
      <w:pStyle w:val="17"/>
      <w:lvlText w:val=""/>
      <w:lvlJc w:val="left"/>
      <w:pPr>
        <w:tabs>
          <w:tab w:val="left" w:pos="360"/>
        </w:tabs>
        <w:ind w:left="3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  <w:rsid w:val="03502274"/>
    <w:rsid w:val="091936DA"/>
    <w:rsid w:val="0F470253"/>
    <w:rsid w:val="12236426"/>
    <w:rsid w:val="138559C1"/>
    <w:rsid w:val="15435BF2"/>
    <w:rsid w:val="18E428EE"/>
    <w:rsid w:val="233C68DC"/>
    <w:rsid w:val="2778358F"/>
    <w:rsid w:val="2D833137"/>
    <w:rsid w:val="334D2235"/>
    <w:rsid w:val="354E490A"/>
    <w:rsid w:val="37EE2F92"/>
    <w:rsid w:val="38745DCA"/>
    <w:rsid w:val="39903DBE"/>
    <w:rsid w:val="3C5D4096"/>
    <w:rsid w:val="41182BA7"/>
    <w:rsid w:val="49C175B8"/>
    <w:rsid w:val="4C8D3147"/>
    <w:rsid w:val="52B129B7"/>
    <w:rsid w:val="548949CA"/>
    <w:rsid w:val="549A67F5"/>
    <w:rsid w:val="550F159D"/>
    <w:rsid w:val="56361F4C"/>
    <w:rsid w:val="568D179F"/>
    <w:rsid w:val="58450D5F"/>
    <w:rsid w:val="5B60598B"/>
    <w:rsid w:val="67666BFD"/>
    <w:rsid w:val="6F7457DB"/>
    <w:rsid w:val="755D199D"/>
    <w:rsid w:val="795934A7"/>
    <w:rsid w:val="7D9A0A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qFormat="1" w:uiPriority="99" w:semiHidden="0" w:name="macro"/>
    <w:lsdException w:uiPriority="99" w:name="toa heading"/>
    <w:lsdException w:qFormat="1" w:uiPriority="99" w:semiHidden="0" w:name="List"/>
    <w:lsdException w:qFormat="1" w:uiPriority="99" w:semiHidden="0" w:name="List Bullet"/>
    <w:lsdException w:qFormat="1" w:uiPriority="99" w:semiHidden="0" w:name="List Number"/>
    <w:lsdException w:qFormat="1" w:uiPriority="99" w:semiHidden="0" w:name="List 2"/>
    <w:lsdException w:qFormat="1" w:uiPriority="99" w:semiHidden="0" w:name="List 3"/>
    <w:lsdException w:uiPriority="99" w:name="List 4"/>
    <w:lsdException w:uiPriority="99" w:name="List 5"/>
    <w:lsdException w:qFormat="1" w:uiPriority="99" w:semiHidden="0" w:name="List Bullet 2"/>
    <w:lsdException w:qFormat="1" w:uiPriority="99" w:semiHidden="0" w:name="List Bullet 3"/>
    <w:lsdException w:uiPriority="99" w:name="List Bullet 4"/>
    <w:lsdException w:uiPriority="99" w:name="List Bullet 5"/>
    <w:lsdException w:qFormat="1" w:uiPriority="99" w:semiHidden="0" w:name="List Number 2"/>
    <w:lsdException w:qFormat="1" w:uiPriority="99" w:semiHidden="0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semiHidden="0" w:name="Body Text"/>
    <w:lsdException w:uiPriority="99" w:name="Body Text Indent"/>
    <w:lsdException w:qFormat="1" w:uiPriority="99" w:semiHidden="0" w:name="List Continue"/>
    <w:lsdException w:qFormat="1" w:uiPriority="99" w:semiHidden="0" w:name="List Continue 2"/>
    <w:lsdException w:qFormat="1" w:uiPriority="99" w:semiHidden="0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iPriority="99" w:semiHidden="0" w:name="Body Text 2"/>
    <w:lsdException w:qFormat="1" w:uiPriority="99" w:semiHidden="0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60" w:semiHidden="0" w:name="Light Shading"/>
    <w:lsdException w:qFormat="1" w:unhideWhenUsed="0" w:uiPriority="61" w:semiHidden="0" w:name="Light List"/>
    <w:lsdException w:qFormat="1" w:unhideWhenUsed="0" w:uiPriority="62" w:semiHidden="0" w:name="Light Grid"/>
    <w:lsdException w:qFormat="1" w:unhideWhenUsed="0" w:uiPriority="63" w:semiHidden="0" w:name="Medium Shading 1"/>
    <w:lsdException w:qFormat="1" w:unhideWhenUsed="0" w:uiPriority="64" w:semiHidden="0" w:name="Medium Shading 2"/>
    <w:lsdException w:qFormat="1" w:unhideWhenUsed="0" w:uiPriority="65" w:semiHidden="0" w:name="Medium List 1"/>
    <w:lsdException w:qFormat="1" w:unhideWhenUsed="0" w:uiPriority="66" w:semiHidden="0" w:name="Medium List 2"/>
    <w:lsdException w:qFormat="1" w:unhideWhenUsed="0" w:uiPriority="67" w:semiHidden="0" w:name="Medium Grid 1"/>
    <w:lsdException w:qFormat="1" w:unhideWhenUsed="0" w:uiPriority="68" w:semiHidden="0" w:name="Medium Grid 2"/>
    <w:lsdException w:qFormat="1" w:unhideWhenUsed="0" w:uiPriority="69" w:semiHidden="0" w:name="Medium Grid 3"/>
    <w:lsdException w:qFormat="1" w:unhideWhenUsed="0" w:uiPriority="70" w:semiHidden="0" w:name="Dark List"/>
    <w:lsdException w:qFormat="1" w:unhideWhenUsed="0" w:uiPriority="71" w:semiHidden="0" w:name="Colorful Shading"/>
    <w:lsdException w:qFormat="1" w:unhideWhenUsed="0" w:uiPriority="72" w:semiHidden="0" w:name="Colorful List"/>
    <w:lsdException w:qFormat="1" w:unhideWhenUsed="0" w:uiPriority="73" w:semiHidden="0" w:name="Colorful Grid"/>
    <w:lsdException w:qFormat="1" w:unhideWhenUsed="0" w:uiPriority="60" w:semiHidden="0" w:name="Light Shading Accent 1"/>
    <w:lsdException w:qFormat="1" w:unhideWhenUsed="0" w:uiPriority="61" w:semiHidden="0" w:name="Light List Accent 1"/>
    <w:lsdException w:qFormat="1" w:unhideWhenUsed="0" w:uiPriority="62" w:semiHidden="0" w:name="Light Grid Accent 1"/>
    <w:lsdException w:qFormat="1" w:unhideWhenUsed="0" w:uiPriority="63" w:semiHidden="0" w:name="Medium Shading 1 Accent 1"/>
    <w:lsdException w:qFormat="1" w:unhideWhenUsed="0" w:uiPriority="64" w:semiHidden="0" w:name="Medium Shading 2 Accent 1"/>
    <w:lsdException w:qFormat="1"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qFormat="1" w:unhideWhenUsed="0" w:uiPriority="66" w:semiHidden="0" w:name="Medium List 2 Accent 1"/>
    <w:lsdException w:qFormat="1" w:unhideWhenUsed="0" w:uiPriority="67" w:semiHidden="0" w:name="Medium Grid 1 Accent 1"/>
    <w:lsdException w:qFormat="1" w:unhideWhenUsed="0" w:uiPriority="68" w:semiHidden="0" w:name="Medium Grid 2 Accent 1"/>
    <w:lsdException w:qFormat="1" w:unhideWhenUsed="0" w:uiPriority="69" w:semiHidden="0" w:name="Medium Grid 3 Accent 1"/>
    <w:lsdException w:qFormat="1" w:unhideWhenUsed="0" w:uiPriority="70" w:semiHidden="0" w:name="Dark List Accent 1"/>
    <w:lsdException w:qFormat="1" w:unhideWhenUsed="0" w:uiPriority="71" w:semiHidden="0" w:name="Colorful Shading Accent 1"/>
    <w:lsdException w:qFormat="1" w:unhideWhenUsed="0" w:uiPriority="72" w:semiHidden="0" w:name="Colorful List Accent 1"/>
    <w:lsdException w:qFormat="1" w:unhideWhenUsed="0" w:uiPriority="73" w:semiHidden="0" w:name="Colorful Grid Accent 1"/>
    <w:lsdException w:qFormat="1" w:unhideWhenUsed="0" w:uiPriority="60" w:semiHidden="0" w:name="Light Shading Accent 2"/>
    <w:lsdException w:qFormat="1" w:unhideWhenUsed="0" w:uiPriority="61" w:semiHidden="0" w:name="Light List Accent 2"/>
    <w:lsdException w:qFormat="1" w:unhideWhenUsed="0" w:uiPriority="62" w:semiHidden="0" w:name="Light Grid Accent 2"/>
    <w:lsdException w:qFormat="1" w:unhideWhenUsed="0" w:uiPriority="63" w:semiHidden="0" w:name="Medium Shading 1 Accent 2"/>
    <w:lsdException w:qFormat="1" w:unhideWhenUsed="0" w:uiPriority="64" w:semiHidden="0" w:name="Medium Shading 2 Accent 2"/>
    <w:lsdException w:qFormat="1" w:unhideWhenUsed="0" w:uiPriority="65" w:semiHidden="0" w:name="Medium List 1 Accent 2"/>
    <w:lsdException w:qFormat="1" w:unhideWhenUsed="0" w:uiPriority="66" w:semiHidden="0" w:name="Medium List 2 Accent 2"/>
    <w:lsdException w:qFormat="1" w:unhideWhenUsed="0" w:uiPriority="67" w:semiHidden="0" w:name="Medium Grid 1 Accent 2"/>
    <w:lsdException w:qFormat="1" w:unhideWhenUsed="0" w:uiPriority="68" w:semiHidden="0" w:name="Medium Grid 2 Accent 2"/>
    <w:lsdException w:qFormat="1" w:unhideWhenUsed="0" w:uiPriority="69" w:semiHidden="0" w:name="Medium Grid 3 Accent 2"/>
    <w:lsdException w:qFormat="1" w:unhideWhenUsed="0" w:uiPriority="70" w:semiHidden="0" w:name="Dark List Accent 2"/>
    <w:lsdException w:qFormat="1" w:unhideWhenUsed="0" w:uiPriority="71" w:semiHidden="0" w:name="Colorful Shading Accent 2"/>
    <w:lsdException w:qFormat="1" w:unhideWhenUsed="0" w:uiPriority="72" w:semiHidden="0" w:name="Colorful List Accent 2"/>
    <w:lsdException w:qFormat="1" w:unhideWhenUsed="0" w:uiPriority="73" w:semiHidden="0" w:name="Colorful Grid Accent 2"/>
    <w:lsdException w:qFormat="1" w:unhideWhenUsed="0" w:uiPriority="60" w:semiHidden="0" w:name="Light Shading Accent 3"/>
    <w:lsdException w:qFormat="1" w:unhideWhenUsed="0" w:uiPriority="61" w:semiHidden="0" w:name="Light List Accent 3"/>
    <w:lsdException w:qFormat="1" w:unhideWhenUsed="0" w:uiPriority="62" w:semiHidden="0" w:name="Light Grid Accent 3"/>
    <w:lsdException w:qFormat="1" w:unhideWhenUsed="0" w:uiPriority="63" w:semiHidden="0" w:name="Medium Shading 1 Accent 3"/>
    <w:lsdException w:qFormat="1" w:unhideWhenUsed="0" w:uiPriority="64" w:semiHidden="0" w:name="Medium Shading 2 Accent 3"/>
    <w:lsdException w:qFormat="1" w:unhideWhenUsed="0" w:uiPriority="65" w:semiHidden="0" w:name="Medium List 1 Accent 3"/>
    <w:lsdException w:qFormat="1" w:unhideWhenUsed="0" w:uiPriority="66" w:semiHidden="0" w:name="Medium List 2 Accent 3"/>
    <w:lsdException w:qFormat="1" w:unhideWhenUsed="0" w:uiPriority="67" w:semiHidden="0" w:name="Medium Grid 1 Accent 3"/>
    <w:lsdException w:qFormat="1" w:unhideWhenUsed="0" w:uiPriority="68" w:semiHidden="0" w:name="Medium Grid 2 Accent 3"/>
    <w:lsdException w:qFormat="1" w:unhideWhenUsed="0" w:uiPriority="69" w:semiHidden="0" w:name="Medium Grid 3 Accent 3"/>
    <w:lsdException w:qFormat="1" w:unhideWhenUsed="0" w:uiPriority="70" w:semiHidden="0" w:name="Dark List Accent 3"/>
    <w:lsdException w:qFormat="1" w:unhideWhenUsed="0" w:uiPriority="71" w:semiHidden="0" w:name="Colorful Shading Accent 3"/>
    <w:lsdException w:qFormat="1" w:unhideWhenUsed="0" w:uiPriority="72" w:semiHidden="0" w:name="Colorful List Accent 3"/>
    <w:lsdException w:qFormat="1" w:unhideWhenUsed="0" w:uiPriority="73" w:semiHidden="0" w:name="Colorful Grid Accent 3"/>
    <w:lsdException w:qFormat="1" w:unhideWhenUsed="0" w:uiPriority="60" w:semiHidden="0" w:name="Light Shading Accent 4"/>
    <w:lsdException w:qFormat="1" w:unhideWhenUsed="0" w:uiPriority="61" w:semiHidden="0" w:name="Light List Accent 4"/>
    <w:lsdException w:qFormat="1" w:unhideWhenUsed="0" w:uiPriority="62" w:semiHidden="0" w:name="Light Grid Accent 4"/>
    <w:lsdException w:qFormat="1" w:unhideWhenUsed="0" w:uiPriority="63" w:semiHidden="0" w:name="Medium Shading 1 Accent 4"/>
    <w:lsdException w:qFormat="1" w:unhideWhenUsed="0" w:uiPriority="64" w:semiHidden="0" w:name="Medium Shading 2 Accent 4"/>
    <w:lsdException w:qFormat="1" w:unhideWhenUsed="0" w:uiPriority="65" w:semiHidden="0" w:name="Medium List 1 Accent 4"/>
    <w:lsdException w:qFormat="1" w:unhideWhenUsed="0" w:uiPriority="66" w:semiHidden="0" w:name="Medium List 2 Accent 4"/>
    <w:lsdException w:qFormat="1" w:unhideWhenUsed="0" w:uiPriority="67" w:semiHidden="0" w:name="Medium Grid 1 Accent 4"/>
    <w:lsdException w:qFormat="1" w:unhideWhenUsed="0" w:uiPriority="68" w:semiHidden="0" w:name="Medium Grid 2 Accent 4"/>
    <w:lsdException w:qFormat="1" w:unhideWhenUsed="0" w:uiPriority="69" w:semiHidden="0" w:name="Medium Grid 3 Accent 4"/>
    <w:lsdException w:qFormat="1" w:unhideWhenUsed="0" w:uiPriority="70" w:semiHidden="0" w:name="Dark List Accent 4"/>
    <w:lsdException w:qFormat="1" w:unhideWhenUsed="0" w:uiPriority="71" w:semiHidden="0" w:name="Colorful Shading Accent 4"/>
    <w:lsdException w:qFormat="1" w:unhideWhenUsed="0" w:uiPriority="72" w:semiHidden="0" w:name="Colorful List Accent 4"/>
    <w:lsdException w:qFormat="1" w:unhideWhenUsed="0" w:uiPriority="73" w:semiHidden="0" w:name="Colorful Grid Accent 4"/>
    <w:lsdException w:qFormat="1" w:unhideWhenUsed="0" w:uiPriority="60" w:semiHidden="0" w:name="Light Shading Accent 5"/>
    <w:lsdException w:qFormat="1" w:unhideWhenUsed="0" w:uiPriority="61" w:semiHidden="0" w:name="Light List Accent 5"/>
    <w:lsdException w:qFormat="1" w:unhideWhenUsed="0" w:uiPriority="62" w:semiHidden="0" w:name="Light Grid Accent 5"/>
    <w:lsdException w:qFormat="1" w:unhideWhenUsed="0" w:uiPriority="63" w:semiHidden="0" w:name="Medium Shading 1 Accent 5"/>
    <w:lsdException w:qFormat="1" w:unhideWhenUsed="0" w:uiPriority="64" w:semiHidden="0" w:name="Medium Shading 2 Accent 5"/>
    <w:lsdException w:qFormat="1" w:unhideWhenUsed="0" w:uiPriority="65" w:semiHidden="0" w:name="Medium List 1 Accent 5"/>
    <w:lsdException w:qFormat="1" w:unhideWhenUsed="0" w:uiPriority="66" w:semiHidden="0" w:name="Medium List 2 Accent 5"/>
    <w:lsdException w:qFormat="1" w:unhideWhenUsed="0" w:uiPriority="67" w:semiHidden="0" w:name="Medium Grid 1 Accent 5"/>
    <w:lsdException w:qFormat="1" w:unhideWhenUsed="0" w:uiPriority="68" w:semiHidden="0" w:name="Medium Grid 2 Accent 5"/>
    <w:lsdException w:qFormat="1" w:unhideWhenUsed="0" w:uiPriority="69" w:semiHidden="0" w:name="Medium Grid 3 Accent 5"/>
    <w:lsdException w:qFormat="1" w:unhideWhenUsed="0" w:uiPriority="70" w:semiHidden="0" w:name="Dark List Accent 5"/>
    <w:lsdException w:qFormat="1" w:unhideWhenUsed="0" w:uiPriority="71" w:semiHidden="0" w:name="Colorful Shading Accent 5"/>
    <w:lsdException w:qFormat="1" w:unhideWhenUsed="0" w:uiPriority="72" w:semiHidden="0" w:name="Colorful List Accent 5"/>
    <w:lsdException w:qFormat="1" w:unhideWhenUsed="0" w:uiPriority="73" w:semiHidden="0" w:name="Colorful Grid Accent 5"/>
    <w:lsdException w:qFormat="1" w:unhideWhenUsed="0" w:uiPriority="60" w:semiHidden="0" w:name="Light Shading Accent 6"/>
    <w:lsdException w:qFormat="1" w:unhideWhenUsed="0" w:uiPriority="61" w:semiHidden="0" w:name="Light List Accent 6"/>
    <w:lsdException w:qFormat="1" w:unhideWhenUsed="0" w:uiPriority="62" w:semiHidden="0" w:name="Light Grid Accent 6"/>
    <w:lsdException w:qFormat="1" w:unhideWhenUsed="0" w:uiPriority="63" w:semiHidden="0" w:name="Medium Shading 1 Accent 6"/>
    <w:lsdException w:qFormat="1" w:unhideWhenUsed="0" w:uiPriority="64" w:semiHidden="0" w:name="Medium Shading 2 Accent 6"/>
    <w:lsdException w:qFormat="1" w:unhideWhenUsed="0" w:uiPriority="65" w:semiHidden="0" w:name="Medium List 1 Accent 6"/>
    <w:lsdException w:qFormat="1" w:unhideWhenUsed="0" w:uiPriority="66" w:semiHidden="0" w:name="Medium List 2 Accent 6"/>
    <w:lsdException w:qFormat="1" w:unhideWhenUsed="0" w:uiPriority="67" w:semiHidden="0" w:name="Medium Grid 1 Accent 6"/>
    <w:lsdException w:qFormat="1" w:unhideWhenUsed="0" w:uiPriority="68" w:semiHidden="0" w:name="Medium Grid 2 Accent 6"/>
    <w:lsdException w:qFormat="1" w:unhideWhenUsed="0" w:uiPriority="69" w:semiHidden="0" w:name="Medium Grid 3 Accent 6"/>
    <w:lsdException w:qFormat="1" w:unhideWhenUsed="0" w:uiPriority="70" w:semiHidden="0" w:name="Dark List Accent 6"/>
    <w:lsdException w:qFormat="1" w:unhideWhenUsed="0" w:uiPriority="71" w:semiHidden="0" w:name="Colorful Shading Accent 6"/>
    <w:lsdException w:qFormat="1" w:unhideWhenUsed="0" w:uiPriority="72" w:semiHidden="0" w:name="Colorful List Accent 6"/>
    <w:lsdException w:qFormat="1"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spacing w:after="200" w:line="276" w:lineRule="auto"/>
    </w:pPr>
    <w:rPr>
      <w:rFonts w:ascii="宋体" w:hAnsi="宋体" w:eastAsia="宋体" w:cstheme="minorBidi"/>
      <w:sz w:val="24"/>
      <w:szCs w:val="22"/>
      <w:lang w:val="en-US" w:eastAsia="en-US" w:bidi="ar-SA"/>
    </w:rPr>
  </w:style>
  <w:style w:type="paragraph" w:styleId="4">
    <w:name w:val="heading 1"/>
    <w:basedOn w:val="1"/>
    <w:next w:val="1"/>
    <w:link w:val="141"/>
    <w:qFormat/>
    <w:uiPriority w:val="9"/>
    <w:pPr>
      <w:keepNext/>
      <w:keepLines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paragraph" w:styleId="5">
    <w:name w:val="heading 2"/>
    <w:basedOn w:val="1"/>
    <w:next w:val="1"/>
    <w:link w:val="142"/>
    <w:unhideWhenUsed/>
    <w:qFormat/>
    <w:uiPriority w:val="9"/>
    <w:pPr>
      <w:keepNext/>
      <w:keepLines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paragraph" w:styleId="6">
    <w:name w:val="heading 3"/>
    <w:basedOn w:val="1"/>
    <w:next w:val="1"/>
    <w:link w:val="143"/>
    <w:unhideWhenUsed/>
    <w:qFormat/>
    <w:uiPriority w:val="9"/>
    <w:pPr>
      <w:keepNext/>
      <w:keepLines/>
      <w:spacing w:before="200" w:after="0"/>
      <w:outlineLvl w:val="2"/>
    </w:pPr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paragraph" w:styleId="7">
    <w:name w:val="heading 4"/>
    <w:basedOn w:val="1"/>
    <w:next w:val="1"/>
    <w:link w:val="153"/>
    <w:semiHidden/>
    <w:unhideWhenUsed/>
    <w:qFormat/>
    <w:uiPriority w:val="9"/>
    <w:pPr>
      <w:keepNext/>
      <w:keepLines/>
      <w:spacing w:before="200" w:after="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paragraph" w:styleId="8">
    <w:name w:val="heading 5"/>
    <w:basedOn w:val="1"/>
    <w:next w:val="1"/>
    <w:link w:val="154"/>
    <w:semiHidden/>
    <w:unhideWhenUsed/>
    <w:qFormat/>
    <w:uiPriority w:val="9"/>
    <w:pPr>
      <w:keepNext/>
      <w:keepLines/>
      <w:spacing w:before="200" w:after="0"/>
      <w:outlineLvl w:val="4"/>
    </w:pPr>
    <w:rPr>
      <w:rFonts w:asciiTheme="majorHAnsi" w:hAnsiTheme="majorHAnsi" w:eastAsiaTheme="majorEastAsia" w:cstheme="majorBidi"/>
      <w:color w:val="254061" w:themeColor="accent1" w:themeShade="80"/>
    </w:rPr>
  </w:style>
  <w:style w:type="paragraph" w:styleId="9">
    <w:name w:val="heading 6"/>
    <w:basedOn w:val="1"/>
    <w:next w:val="1"/>
    <w:link w:val="155"/>
    <w:semiHidden/>
    <w:unhideWhenUsed/>
    <w:qFormat/>
    <w:uiPriority w:val="9"/>
    <w:pPr>
      <w:keepNext/>
      <w:keepLines/>
      <w:spacing w:before="200" w:after="0"/>
      <w:outlineLvl w:val="5"/>
    </w:pPr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paragraph" w:styleId="10">
    <w:name w:val="heading 7"/>
    <w:basedOn w:val="1"/>
    <w:next w:val="1"/>
    <w:link w:val="156"/>
    <w:semiHidden/>
    <w:unhideWhenUsed/>
    <w:qFormat/>
    <w:uiPriority w:val="9"/>
    <w:pPr>
      <w:keepNext/>
      <w:keepLines/>
      <w:spacing w:before="200" w:after="0"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1">
    <w:name w:val="heading 8"/>
    <w:basedOn w:val="1"/>
    <w:next w:val="1"/>
    <w:link w:val="157"/>
    <w:semiHidden/>
    <w:unhideWhenUsed/>
    <w:qFormat/>
    <w:uiPriority w:val="9"/>
    <w:pPr>
      <w:keepNext/>
      <w:keepLines/>
      <w:spacing w:before="200" w:after="0"/>
      <w:outlineLvl w:val="7"/>
    </w:pPr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paragraph" w:styleId="12">
    <w:name w:val="heading 9"/>
    <w:basedOn w:val="1"/>
    <w:next w:val="1"/>
    <w:link w:val="158"/>
    <w:semiHidden/>
    <w:unhideWhenUsed/>
    <w:qFormat/>
    <w:uiPriority w:val="9"/>
    <w:pPr>
      <w:keepNext/>
      <w:keepLines/>
      <w:spacing w:before="200" w:after="0"/>
      <w:outlineLvl w:val="8"/>
    </w:pPr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default="1" w:styleId="135">
    <w:name w:val="Default Paragraph Font"/>
    <w:semiHidden/>
    <w:unhideWhenUsed/>
    <w:qFormat/>
    <w:uiPriority w:val="1"/>
  </w:style>
  <w:style w:type="table" w:default="1" w:styleId="3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目录 21"/>
    <w:basedOn w:val="1"/>
    <w:next w:val="1"/>
    <w:qFormat/>
    <w:uiPriority w:val="0"/>
    <w:pPr>
      <w:spacing w:before="100" w:beforeAutospacing="1" w:after="100" w:afterAutospacing="1"/>
      <w:ind w:left="420" w:leftChars="200"/>
    </w:pPr>
  </w:style>
  <w:style w:type="paragraph" w:styleId="3">
    <w:name w:val="macro"/>
    <w:link w:val="150"/>
    <w:unhideWhenUsed/>
    <w:qFormat/>
    <w:uiPriority w:val="99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200" w:line="276" w:lineRule="auto"/>
    </w:pPr>
    <w:rPr>
      <w:rFonts w:ascii="Courier" w:hAnsi="Courier" w:eastAsiaTheme="minorEastAsia" w:cstheme="minorBidi"/>
      <w:sz w:val="20"/>
      <w:szCs w:val="20"/>
      <w:lang w:val="en-US" w:eastAsia="en-US" w:bidi="ar-SA"/>
    </w:rPr>
  </w:style>
  <w:style w:type="paragraph" w:styleId="13">
    <w:name w:val="List 3"/>
    <w:basedOn w:val="1"/>
    <w:unhideWhenUsed/>
    <w:qFormat/>
    <w:uiPriority w:val="99"/>
    <w:pPr>
      <w:ind w:left="1080" w:hanging="360"/>
      <w:contextualSpacing/>
    </w:pPr>
  </w:style>
  <w:style w:type="paragraph" w:styleId="14">
    <w:name w:val="List Number 2"/>
    <w:basedOn w:val="1"/>
    <w:unhideWhenUsed/>
    <w:qFormat/>
    <w:uiPriority w:val="99"/>
    <w:pPr>
      <w:numPr>
        <w:ilvl w:val="0"/>
        <w:numId w:val="1"/>
      </w:numPr>
      <w:contextualSpacing/>
    </w:pPr>
  </w:style>
  <w:style w:type="paragraph" w:styleId="15">
    <w:name w:val="List Number"/>
    <w:basedOn w:val="1"/>
    <w:unhideWhenUsed/>
    <w:qFormat/>
    <w:uiPriority w:val="99"/>
    <w:pPr>
      <w:numPr>
        <w:ilvl w:val="0"/>
        <w:numId w:val="2"/>
      </w:numPr>
      <w:contextualSpacing/>
    </w:pPr>
  </w:style>
  <w:style w:type="paragraph" w:styleId="16">
    <w:name w:val="caption"/>
    <w:basedOn w:val="1"/>
    <w:next w:val="1"/>
    <w:semiHidden/>
    <w:unhideWhenUsed/>
    <w:qFormat/>
    <w:uiPriority w:val="35"/>
    <w:pPr>
      <w:spacing w:line="240" w:lineRule="auto"/>
    </w:pPr>
    <w:rPr>
      <w:b/>
      <w:bCs/>
      <w:color w:val="4F81BD" w:themeColor="accent1"/>
      <w:sz w:val="18"/>
      <w:szCs w:val="18"/>
      <w14:textFill>
        <w14:solidFill>
          <w14:schemeClr w14:val="accent1"/>
        </w14:solidFill>
      </w14:textFill>
    </w:rPr>
  </w:style>
  <w:style w:type="paragraph" w:styleId="17">
    <w:name w:val="List Bullet"/>
    <w:basedOn w:val="1"/>
    <w:unhideWhenUsed/>
    <w:qFormat/>
    <w:uiPriority w:val="99"/>
    <w:pPr>
      <w:numPr>
        <w:ilvl w:val="0"/>
        <w:numId w:val="3"/>
      </w:numPr>
      <w:contextualSpacing/>
    </w:pPr>
  </w:style>
  <w:style w:type="paragraph" w:styleId="18">
    <w:name w:val="annotation text"/>
    <w:basedOn w:val="1"/>
    <w:semiHidden/>
    <w:unhideWhenUsed/>
    <w:qFormat/>
    <w:uiPriority w:val="99"/>
    <w:pPr>
      <w:jc w:val="left"/>
    </w:pPr>
  </w:style>
  <w:style w:type="paragraph" w:styleId="19">
    <w:name w:val="Body Text 3"/>
    <w:basedOn w:val="1"/>
    <w:link w:val="149"/>
    <w:unhideWhenUsed/>
    <w:qFormat/>
    <w:uiPriority w:val="99"/>
    <w:pPr>
      <w:spacing w:after="120"/>
    </w:pPr>
    <w:rPr>
      <w:sz w:val="16"/>
      <w:szCs w:val="16"/>
    </w:rPr>
  </w:style>
  <w:style w:type="paragraph" w:styleId="20">
    <w:name w:val="List Bullet 3"/>
    <w:basedOn w:val="1"/>
    <w:unhideWhenUsed/>
    <w:qFormat/>
    <w:uiPriority w:val="99"/>
    <w:pPr>
      <w:numPr>
        <w:ilvl w:val="0"/>
        <w:numId w:val="4"/>
      </w:numPr>
      <w:contextualSpacing/>
    </w:pPr>
  </w:style>
  <w:style w:type="paragraph" w:styleId="21">
    <w:name w:val="Body Text"/>
    <w:basedOn w:val="1"/>
    <w:link w:val="147"/>
    <w:unhideWhenUsed/>
    <w:qFormat/>
    <w:uiPriority w:val="99"/>
    <w:pPr>
      <w:spacing w:after="120"/>
    </w:pPr>
  </w:style>
  <w:style w:type="paragraph" w:styleId="22">
    <w:name w:val="List Number 3"/>
    <w:basedOn w:val="1"/>
    <w:unhideWhenUsed/>
    <w:qFormat/>
    <w:uiPriority w:val="99"/>
    <w:pPr>
      <w:numPr>
        <w:ilvl w:val="0"/>
        <w:numId w:val="5"/>
      </w:numPr>
      <w:contextualSpacing/>
    </w:pPr>
  </w:style>
  <w:style w:type="paragraph" w:styleId="23">
    <w:name w:val="List 2"/>
    <w:basedOn w:val="1"/>
    <w:unhideWhenUsed/>
    <w:qFormat/>
    <w:uiPriority w:val="99"/>
    <w:pPr>
      <w:ind w:left="720" w:hanging="360"/>
      <w:contextualSpacing/>
    </w:pPr>
  </w:style>
  <w:style w:type="paragraph" w:styleId="24">
    <w:name w:val="List Continue"/>
    <w:basedOn w:val="1"/>
    <w:unhideWhenUsed/>
    <w:qFormat/>
    <w:uiPriority w:val="99"/>
    <w:pPr>
      <w:spacing w:after="120"/>
      <w:ind w:left="360"/>
      <w:contextualSpacing/>
    </w:pPr>
  </w:style>
  <w:style w:type="paragraph" w:styleId="25">
    <w:name w:val="List Bullet 2"/>
    <w:basedOn w:val="1"/>
    <w:unhideWhenUsed/>
    <w:qFormat/>
    <w:uiPriority w:val="99"/>
    <w:pPr>
      <w:numPr>
        <w:ilvl w:val="0"/>
        <w:numId w:val="6"/>
      </w:numPr>
      <w:contextualSpacing/>
    </w:pPr>
  </w:style>
  <w:style w:type="paragraph" w:styleId="26">
    <w:name w:val="footer"/>
    <w:basedOn w:val="1"/>
    <w:link w:val="139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7">
    <w:name w:val="header"/>
    <w:basedOn w:val="1"/>
    <w:link w:val="138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8">
    <w:name w:val="toc 1"/>
    <w:basedOn w:val="1"/>
    <w:next w:val="1"/>
    <w:semiHidden/>
    <w:unhideWhenUsed/>
    <w:qFormat/>
    <w:uiPriority w:val="39"/>
  </w:style>
  <w:style w:type="paragraph" w:styleId="29">
    <w:name w:val="Subtitle"/>
    <w:basedOn w:val="1"/>
    <w:next w:val="1"/>
    <w:link w:val="145"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30">
    <w:name w:val="List"/>
    <w:basedOn w:val="1"/>
    <w:unhideWhenUsed/>
    <w:qFormat/>
    <w:uiPriority w:val="99"/>
    <w:pPr>
      <w:ind w:left="360" w:hanging="360"/>
      <w:contextualSpacing/>
    </w:pPr>
  </w:style>
  <w:style w:type="paragraph" w:styleId="31">
    <w:name w:val="Body Text 2"/>
    <w:basedOn w:val="1"/>
    <w:link w:val="148"/>
    <w:unhideWhenUsed/>
    <w:qFormat/>
    <w:uiPriority w:val="99"/>
    <w:pPr>
      <w:spacing w:after="120" w:line="480" w:lineRule="auto"/>
    </w:pPr>
  </w:style>
  <w:style w:type="paragraph" w:styleId="32">
    <w:name w:val="List Continue 2"/>
    <w:basedOn w:val="1"/>
    <w:unhideWhenUsed/>
    <w:qFormat/>
    <w:uiPriority w:val="99"/>
    <w:pPr>
      <w:spacing w:after="120"/>
      <w:ind w:left="720"/>
      <w:contextualSpacing/>
    </w:pPr>
  </w:style>
  <w:style w:type="paragraph" w:styleId="33">
    <w:name w:val="List Continue 3"/>
    <w:basedOn w:val="1"/>
    <w:unhideWhenUsed/>
    <w:qFormat/>
    <w:uiPriority w:val="99"/>
    <w:pPr>
      <w:spacing w:after="120"/>
      <w:ind w:left="1080"/>
      <w:contextualSpacing/>
    </w:pPr>
  </w:style>
  <w:style w:type="paragraph" w:styleId="34">
    <w:name w:val="Title"/>
    <w:basedOn w:val="1"/>
    <w:next w:val="1"/>
    <w:link w:val="144"/>
    <w:qFormat/>
    <w:uiPriority w:val="10"/>
    <w:pPr>
      <w:pBdr>
        <w:bottom w:val="single" w:color="4F81BD" w:themeColor="accent1" w:sz="8" w:space="4"/>
      </w:pBdr>
      <w:spacing w:after="300" w:line="240" w:lineRule="auto"/>
      <w:contextualSpacing/>
    </w:pPr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table" w:styleId="36">
    <w:name w:val="Table Grid"/>
    <w:basedOn w:val="35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37">
    <w:name w:val="Light Shading"/>
    <w:basedOn w:val="35"/>
    <w:qFormat/>
    <w:uiPriority w:val="60"/>
    <w:pPr>
      <w:spacing w:after="0" w:line="240" w:lineRule="auto"/>
    </w:pPr>
    <w:rPr>
      <w:color w:val="000000" w:themeColor="text1" w:themeShade="BF"/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</w:style>
  <w:style w:type="table" w:styleId="38">
    <w:name w:val="Light Shading Accent 1"/>
    <w:basedOn w:val="35"/>
    <w:qFormat/>
    <w:uiPriority w:val="60"/>
    <w:pPr>
      <w:spacing w:after="0" w:line="240" w:lineRule="auto"/>
    </w:pPr>
    <w:rPr>
      <w:color w:val="376092" w:themeColor="accent1" w:themeShade="BF"/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39">
    <w:name w:val="Light Shading Accent 2"/>
    <w:basedOn w:val="35"/>
    <w:qFormat/>
    <w:uiPriority w:val="60"/>
    <w:pPr>
      <w:spacing w:after="0" w:line="240" w:lineRule="auto"/>
    </w:pPr>
    <w:rPr>
      <w:color w:val="953735" w:themeColor="accent2" w:themeShade="BF"/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</w:style>
  <w:style w:type="table" w:styleId="40">
    <w:name w:val="Light Shading Accent 3"/>
    <w:basedOn w:val="35"/>
    <w:qFormat/>
    <w:uiPriority w:val="60"/>
    <w:pPr>
      <w:spacing w:after="0" w:line="240" w:lineRule="auto"/>
    </w:pPr>
    <w:rPr>
      <w:color w:val="77933C" w:themeColor="accent3" w:themeShade="BF"/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41">
    <w:name w:val="Light Shading Accent 4"/>
    <w:basedOn w:val="35"/>
    <w:qFormat/>
    <w:uiPriority w:val="60"/>
    <w:pPr>
      <w:spacing w:after="0" w:line="240" w:lineRule="auto"/>
    </w:pPr>
    <w:rPr>
      <w:color w:val="604A7B" w:themeColor="accent4" w:themeShade="BF"/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42">
    <w:name w:val="Light Shading Accent 5"/>
    <w:basedOn w:val="35"/>
    <w:qFormat/>
    <w:uiPriority w:val="60"/>
    <w:pPr>
      <w:spacing w:after="0" w:line="240" w:lineRule="auto"/>
    </w:pPr>
    <w:rPr>
      <w:color w:val="31859C" w:themeColor="accent5" w:themeShade="BF"/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</w:style>
  <w:style w:type="table" w:styleId="43">
    <w:name w:val="Light Shading Accent 6"/>
    <w:basedOn w:val="35"/>
    <w:qFormat/>
    <w:uiPriority w:val="60"/>
    <w:pPr>
      <w:spacing w:after="0" w:line="240" w:lineRule="auto"/>
    </w:pPr>
    <w:rPr>
      <w:color w:val="E46C0A" w:themeColor="accent6" w:themeShade="BF"/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</w:style>
  <w:style w:type="table" w:styleId="44">
    <w:name w:val="Light List"/>
    <w:basedOn w:val="35"/>
    <w:qFormat/>
    <w:uiPriority w:val="61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45">
    <w:name w:val="Light List Accent 1"/>
    <w:basedOn w:val="35"/>
    <w:qFormat/>
    <w:uiPriority w:val="61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46">
    <w:name w:val="Light List Accent 2"/>
    <w:basedOn w:val="35"/>
    <w:qFormat/>
    <w:uiPriority w:val="61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47">
    <w:name w:val="Light List Accent 3"/>
    <w:basedOn w:val="35"/>
    <w:qFormat/>
    <w:uiPriority w:val="61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48">
    <w:name w:val="Light List Accent 4"/>
    <w:basedOn w:val="35"/>
    <w:qFormat/>
    <w:uiPriority w:val="61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49">
    <w:name w:val="Light List Accent 5"/>
    <w:basedOn w:val="35"/>
    <w:qFormat/>
    <w:uiPriority w:val="61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50">
    <w:name w:val="Light List Accent 6"/>
    <w:basedOn w:val="35"/>
    <w:qFormat/>
    <w:uiPriority w:val="61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51">
    <w:name w:val="Light Grid"/>
    <w:basedOn w:val="35"/>
    <w:qFormat/>
    <w:uiPriority w:val="62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  <w:shd w:val="clear" w:color="auto" w:fill="BFBFBF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</w:tcPr>
    </w:tblStylePr>
  </w:style>
  <w:style w:type="table" w:styleId="52">
    <w:name w:val="Light Grid Accent 1"/>
    <w:basedOn w:val="35"/>
    <w:qFormat/>
    <w:uiPriority w:val="62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</w:tcPr>
    </w:tblStylePr>
  </w:style>
  <w:style w:type="table" w:styleId="53">
    <w:name w:val="Light Grid Accent 2"/>
    <w:basedOn w:val="35"/>
    <w:qFormat/>
    <w:uiPriority w:val="62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  <w:shd w:val="clear" w:color="auto" w:fill="EFD3D3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</w:tcPr>
    </w:tblStylePr>
  </w:style>
  <w:style w:type="table" w:styleId="54">
    <w:name w:val="Light Grid Accent 3"/>
    <w:basedOn w:val="35"/>
    <w:qFormat/>
    <w:uiPriority w:val="62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</w:tcPr>
    </w:tblStylePr>
  </w:style>
  <w:style w:type="table" w:styleId="55">
    <w:name w:val="Light Grid Accent 4"/>
    <w:basedOn w:val="35"/>
    <w:qFormat/>
    <w:uiPriority w:val="62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</w:tcPr>
    </w:tblStylePr>
  </w:style>
  <w:style w:type="table" w:styleId="56">
    <w:name w:val="Light Grid Accent 5"/>
    <w:basedOn w:val="35"/>
    <w:qFormat/>
    <w:uiPriority w:val="62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  <w:shd w:val="clear" w:color="auto" w:fill="D2EAF0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</w:tcPr>
    </w:tblStylePr>
  </w:style>
  <w:style w:type="table" w:styleId="57">
    <w:name w:val="Light Grid Accent 6"/>
    <w:basedOn w:val="35"/>
    <w:qFormat/>
    <w:uiPriority w:val="62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  <w:shd w:val="clear" w:color="auto" w:fill="FDE5D1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</w:tcPr>
    </w:tblStylePr>
  </w:style>
  <w:style w:type="table" w:styleId="58">
    <w:name w:val="Medium Shading 1"/>
    <w:basedOn w:val="35"/>
    <w:qFormat/>
    <w:uiPriority w:val="63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3F3F3F" w:themeColor="text1" w:themeTint="BF" w:sz="8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3F3F3F" w:themeColor="text1" w:themeTint="BF" w:sz="6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FBFBF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9">
    <w:name w:val="Medium Shading 1 Accent 1"/>
    <w:basedOn w:val="35"/>
    <w:qFormat/>
    <w:uiPriority w:val="63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0">
    <w:name w:val="Medium Shading 1 Accent 2"/>
    <w:basedOn w:val="35"/>
    <w:qFormat/>
    <w:uiPriority w:val="63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3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1">
    <w:name w:val="Medium Shading 1 Accent 3"/>
    <w:basedOn w:val="35"/>
    <w:qFormat/>
    <w:uiPriority w:val="63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B4CC82" w:themeColor="accent3" w:themeTint="BF" w:sz="8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4CC82" w:themeColor="accent3" w:themeTint="BF" w:sz="6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2">
    <w:name w:val="Medium Shading 1 Accent 4"/>
    <w:basedOn w:val="35"/>
    <w:qFormat/>
    <w:uiPriority w:val="63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3">
    <w:name w:val="Medium Shading 1 Accent 5"/>
    <w:basedOn w:val="35"/>
    <w:qFormat/>
    <w:uiPriority w:val="63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4">
    <w:name w:val="Medium Shading 1 Accent 6"/>
    <w:basedOn w:val="35"/>
    <w:qFormat/>
    <w:uiPriority w:val="63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5D1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5">
    <w:name w:val="Medium Shading 2"/>
    <w:basedOn w:val="35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6">
    <w:name w:val="Medium Shading 2 Accent 1"/>
    <w:basedOn w:val="35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7">
    <w:name w:val="Medium Shading 2 Accent 2"/>
    <w:basedOn w:val="35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8">
    <w:name w:val="Medium Shading 2 Accent 3"/>
    <w:basedOn w:val="35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9">
    <w:name w:val="Medium Shading 2 Accent 4"/>
    <w:basedOn w:val="35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70">
    <w:name w:val="Medium Shading 2 Accent 5"/>
    <w:basedOn w:val="35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71">
    <w:name w:val="Medium Shading 2 Accent 6"/>
    <w:basedOn w:val="35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72">
    <w:name w:val="Medium List 1"/>
    <w:basedOn w:val="35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shd w:val="clear" w:color="auto" w:fill="BFBFBF" w:themeFill="text1" w:themeFillTint="3F"/>
      </w:tcPr>
    </w:tblStylePr>
  </w:style>
  <w:style w:type="table" w:styleId="73">
    <w:name w:val="Medium List 1 Accent 1"/>
    <w:basedOn w:val="35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74">
    <w:name w:val="Medium List 1 Accent 2"/>
    <w:basedOn w:val="35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shd w:val="clear" w:color="auto" w:fill="EFD3D3" w:themeFill="accent2" w:themeFillTint="3F"/>
      </w:tcPr>
    </w:tblStylePr>
  </w:style>
  <w:style w:type="table" w:styleId="75">
    <w:name w:val="Medium List 1 Accent 3"/>
    <w:basedOn w:val="35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76">
    <w:name w:val="Medium List 1 Accent 4"/>
    <w:basedOn w:val="35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77">
    <w:name w:val="Medium List 1 Accent 5"/>
    <w:basedOn w:val="35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shd w:val="clear" w:color="auto" w:fill="D2EAF0" w:themeFill="accent5" w:themeFillTint="3F"/>
      </w:tcPr>
    </w:tblStylePr>
  </w:style>
  <w:style w:type="table" w:styleId="78">
    <w:name w:val="Medium List 1 Accent 6"/>
    <w:basedOn w:val="35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shd w:val="clear" w:color="auto" w:fill="FDE5D1" w:themeFill="accent6" w:themeFillTint="3F"/>
      </w:tcPr>
    </w:tblStylePr>
  </w:style>
  <w:style w:type="table" w:styleId="79">
    <w:name w:val="Medium List 2"/>
    <w:basedOn w:val="35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FBFBF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0">
    <w:name w:val="Medium List 2 Accent 1"/>
    <w:basedOn w:val="35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1">
    <w:name w:val="Medium List 2 Accent 2"/>
    <w:basedOn w:val="35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3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2">
    <w:name w:val="Medium List 2 Accent 3"/>
    <w:basedOn w:val="35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3">
    <w:name w:val="Medium List 2 Accent 4"/>
    <w:basedOn w:val="35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4">
    <w:name w:val="Medium List 2 Accent 5"/>
    <w:basedOn w:val="35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0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5">
    <w:name w:val="Medium List 2 Accent 6"/>
    <w:basedOn w:val="35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5D1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6">
    <w:name w:val="Medium Grid 1"/>
    <w:basedOn w:val="35"/>
    <w:qFormat/>
    <w:uiPriority w:val="67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  <w:insideV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3F3F3F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87">
    <w:name w:val="Medium Grid 1 Accent 1"/>
    <w:basedOn w:val="35"/>
    <w:qFormat/>
    <w:uiPriority w:val="67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88">
    <w:name w:val="Medium Grid 1 Accent 2"/>
    <w:basedOn w:val="35"/>
    <w:qFormat/>
    <w:uiPriority w:val="67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89">
    <w:name w:val="Medium Grid 1 Accent 3"/>
    <w:basedOn w:val="35"/>
    <w:qFormat/>
    <w:uiPriority w:val="67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  <w:insideV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4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90">
    <w:name w:val="Medium Grid 1 Accent 4"/>
    <w:basedOn w:val="35"/>
    <w:qFormat/>
    <w:uiPriority w:val="67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91">
    <w:name w:val="Medium Grid 1 Accent 5"/>
    <w:basedOn w:val="35"/>
    <w:qFormat/>
    <w:uiPriority w:val="67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92">
    <w:name w:val="Medium Grid 1 Accent 6"/>
    <w:basedOn w:val="35"/>
    <w:qFormat/>
    <w:uiPriority w:val="67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93">
    <w:name w:val="Medium Grid 2"/>
    <w:basedOn w:val="35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E5E5" w:themeFill="tex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7F7F7F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4">
    <w:name w:val="Medium Grid 2 Accent 1"/>
    <w:basedOn w:val="35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7C0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5">
    <w:name w:val="Medium Grid 2 Accent 2"/>
    <w:basedOn w:val="35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6">
    <w:name w:val="Medium Grid 2 Accent 3"/>
    <w:basedOn w:val="35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7">
    <w:name w:val="Medium Grid 2 Accent 4"/>
    <w:basedOn w:val="35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2EFF5" w:themeFill="accent4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8">
    <w:name w:val="Medium Grid 2 Accent 5"/>
    <w:basedOn w:val="35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9">
    <w:name w:val="Medium Grid 2 Accent 6"/>
    <w:basedOn w:val="35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100">
    <w:name w:val="Medium Grid 3"/>
    <w:basedOn w:val="35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7F7F7F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7F7F7F" w:themeFill="text1" w:themeFillTint="7F"/>
      </w:tcPr>
    </w:tblStylePr>
  </w:style>
  <w:style w:type="table" w:styleId="101">
    <w:name w:val="Medium Grid 3 Accent 1"/>
    <w:basedOn w:val="35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C0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7C0DE" w:themeFill="accent1" w:themeFillTint="7F"/>
      </w:tcPr>
    </w:tblStylePr>
  </w:style>
  <w:style w:type="table" w:styleId="102">
    <w:name w:val="Medium Grid 3 Accent 2"/>
    <w:basedOn w:val="35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DFA7A6" w:themeFill="accent2" w:themeFillTint="7F"/>
      </w:tcPr>
    </w:tblStylePr>
  </w:style>
  <w:style w:type="table" w:styleId="103">
    <w:name w:val="Medium Grid 3 Accent 3"/>
    <w:basedOn w:val="35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CDDDAC" w:themeFill="accent3" w:themeFillTint="7F"/>
      </w:tcPr>
    </w:tblStylePr>
  </w:style>
  <w:style w:type="table" w:styleId="104">
    <w:name w:val="Medium Grid 3 Accent 4"/>
    <w:basedOn w:val="35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BFB1D0" w:themeFill="accent4" w:themeFillTint="7F"/>
      </w:tcPr>
    </w:tblStylePr>
  </w:style>
  <w:style w:type="table" w:styleId="105">
    <w:name w:val="Medium Grid 3 Accent 5"/>
    <w:basedOn w:val="35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5D5E2" w:themeFill="accent5" w:themeFillTint="7F"/>
      </w:tcPr>
    </w:tblStylePr>
  </w:style>
  <w:style w:type="table" w:styleId="106">
    <w:name w:val="Medium Grid 3 Accent 6"/>
    <w:basedOn w:val="35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FBCAA2" w:themeFill="accent6" w:themeFillTint="7F"/>
      </w:tcPr>
    </w:tblStylePr>
  </w:style>
  <w:style w:type="table" w:styleId="107">
    <w:name w:val="Dark List"/>
    <w:basedOn w:val="35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108">
    <w:name w:val="Dark List Accent 1"/>
    <w:basedOn w:val="35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1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60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</w:style>
  <w:style w:type="table" w:styleId="109">
    <w:name w:val="Dark List Accent 2"/>
    <w:basedOn w:val="35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7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</w:style>
  <w:style w:type="table" w:styleId="110">
    <w:name w:val="Dark List Accent 3"/>
    <w:basedOn w:val="35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7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111">
    <w:name w:val="Dark List Accent 4"/>
    <w:basedOn w:val="35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0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112">
    <w:name w:val="Dark List Accent 5"/>
    <w:basedOn w:val="35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113">
    <w:name w:val="Dark List Accent 6"/>
    <w:basedOn w:val="35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9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</w:style>
  <w:style w:type="table" w:styleId="114">
    <w:name w:val="Colorful Shading"/>
    <w:basedOn w:val="35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7F7F7F" w:themeFill="tex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5">
    <w:name w:val="Colorful Shading Accent 1"/>
    <w:basedOn w:val="35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B4D74" w:themeFill="accen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B4D74" w:themeFill="accen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B4D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C0DE" w:themeFill="accen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6">
    <w:name w:val="Colorful Shading Accent 2"/>
    <w:basedOn w:val="35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7">
    <w:name w:val="Colorful Shading Accent 3"/>
    <w:basedOn w:val="35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18">
    <w:name w:val="Colorful Shading Accent 4"/>
    <w:basedOn w:val="35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4C3A62" w:themeFill="accent4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4C3A62" w:themeFill="accent4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A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9">
    <w:name w:val="Colorful Shading Accent 5"/>
    <w:basedOn w:val="35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20">
    <w:name w:val="Colorful Shading Accent 6"/>
    <w:basedOn w:val="35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B65607" w:themeFill="accent6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B65607" w:themeFill="accent6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7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21">
    <w:name w:val="Colorful List"/>
    <w:basedOn w:val="35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22">
    <w:name w:val="Colorful List Accent 1"/>
    <w:basedOn w:val="35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123">
    <w:name w:val="Colorful List Accent 2"/>
    <w:basedOn w:val="35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124">
    <w:name w:val="Colorful List Accent 3"/>
    <w:basedOn w:val="35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F83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125">
    <w:name w:val="Colorful List Accent 4"/>
    <w:basedOn w:val="35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D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126">
    <w:name w:val="Colorful List Accent 5"/>
    <w:basedOn w:val="35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F3730A" w:themeFill="accent6" w:themeFillShade="CC"/>
      </w:tcPr>
    </w:tblStylePr>
    <w:tblStylePr w:type="lastRow">
      <w:rPr>
        <w:b/>
        <w:bCs/>
        <w:color w:val="F3740B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127">
    <w:name w:val="Colorful List Accent 6"/>
    <w:basedOn w:val="35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58EA6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128">
    <w:name w:val="Colorful Grid"/>
    <w:basedOn w:val="35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129">
    <w:name w:val="Colorful Grid Accent 1"/>
    <w:basedOn w:val="35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130">
    <w:name w:val="Colorful Grid Accent 2"/>
    <w:basedOn w:val="35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31">
    <w:name w:val="Colorful Grid Accent 3"/>
    <w:basedOn w:val="35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32">
    <w:name w:val="Colorful Grid Accent 4"/>
    <w:basedOn w:val="35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33">
    <w:name w:val="Colorful Grid Accent 5"/>
    <w:basedOn w:val="35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34">
    <w:name w:val="Colorful Grid Accent 6"/>
    <w:basedOn w:val="35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136">
    <w:name w:val="Strong"/>
    <w:basedOn w:val="135"/>
    <w:qFormat/>
    <w:uiPriority w:val="22"/>
    <w:rPr>
      <w:b/>
      <w:bCs/>
    </w:rPr>
  </w:style>
  <w:style w:type="character" w:styleId="137">
    <w:name w:val="Emphasis"/>
    <w:basedOn w:val="135"/>
    <w:qFormat/>
    <w:uiPriority w:val="20"/>
    <w:rPr>
      <w:i/>
      <w:iCs/>
    </w:rPr>
  </w:style>
  <w:style w:type="character" w:customStyle="1" w:styleId="138">
    <w:name w:val="Header Char"/>
    <w:basedOn w:val="135"/>
    <w:link w:val="27"/>
    <w:qFormat/>
    <w:uiPriority w:val="99"/>
  </w:style>
  <w:style w:type="character" w:customStyle="1" w:styleId="139">
    <w:name w:val="Footer Char"/>
    <w:basedOn w:val="135"/>
    <w:link w:val="26"/>
    <w:qFormat/>
    <w:uiPriority w:val="99"/>
  </w:style>
  <w:style w:type="paragraph" w:styleId="140">
    <w:name w:val="No Spacing"/>
    <w:qFormat/>
    <w:uiPriority w:val="1"/>
    <w:pPr>
      <w:spacing w:after="0" w:line="240" w:lineRule="auto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character" w:customStyle="1" w:styleId="141">
    <w:name w:val="Heading 1 Char"/>
    <w:basedOn w:val="135"/>
    <w:link w:val="4"/>
    <w:qFormat/>
    <w:uiPriority w:val="9"/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character" w:customStyle="1" w:styleId="142">
    <w:name w:val="Heading 2 Char"/>
    <w:basedOn w:val="135"/>
    <w:link w:val="5"/>
    <w:qFormat/>
    <w:uiPriority w:val="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character" w:customStyle="1" w:styleId="143">
    <w:name w:val="Heading 3 Char"/>
    <w:basedOn w:val="135"/>
    <w:link w:val="6"/>
    <w:qFormat/>
    <w:uiPriority w:val="9"/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44">
    <w:name w:val="Title Char"/>
    <w:basedOn w:val="135"/>
    <w:link w:val="34"/>
    <w:qFormat/>
    <w:uiPriority w:val="10"/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character" w:customStyle="1" w:styleId="145">
    <w:name w:val="Subtitle Char"/>
    <w:basedOn w:val="135"/>
    <w:link w:val="29"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146">
    <w:name w:val="List Paragraph"/>
    <w:basedOn w:val="1"/>
    <w:qFormat/>
    <w:uiPriority w:val="34"/>
    <w:pPr>
      <w:ind w:left="720"/>
      <w:contextualSpacing/>
    </w:pPr>
  </w:style>
  <w:style w:type="character" w:customStyle="1" w:styleId="147">
    <w:name w:val="Body Text Char"/>
    <w:basedOn w:val="135"/>
    <w:link w:val="21"/>
    <w:qFormat/>
    <w:uiPriority w:val="99"/>
  </w:style>
  <w:style w:type="character" w:customStyle="1" w:styleId="148">
    <w:name w:val="Body Text 2 Char"/>
    <w:basedOn w:val="135"/>
    <w:link w:val="31"/>
    <w:qFormat/>
    <w:uiPriority w:val="99"/>
  </w:style>
  <w:style w:type="character" w:customStyle="1" w:styleId="149">
    <w:name w:val="Body Text 3 Char"/>
    <w:basedOn w:val="135"/>
    <w:link w:val="19"/>
    <w:qFormat/>
    <w:uiPriority w:val="99"/>
    <w:rPr>
      <w:sz w:val="16"/>
      <w:szCs w:val="16"/>
    </w:rPr>
  </w:style>
  <w:style w:type="character" w:customStyle="1" w:styleId="150">
    <w:name w:val="Macro Text Char"/>
    <w:basedOn w:val="135"/>
    <w:link w:val="3"/>
    <w:qFormat/>
    <w:uiPriority w:val="99"/>
    <w:rPr>
      <w:rFonts w:ascii="Courier" w:hAnsi="Courier"/>
      <w:sz w:val="20"/>
      <w:szCs w:val="20"/>
    </w:rPr>
  </w:style>
  <w:style w:type="paragraph" w:styleId="151">
    <w:name w:val="Quote"/>
    <w:basedOn w:val="1"/>
    <w:next w:val="1"/>
    <w:link w:val="152"/>
    <w:qFormat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52">
    <w:name w:val="Quote Char"/>
    <w:basedOn w:val="135"/>
    <w:link w:val="151"/>
    <w:qFormat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53">
    <w:name w:val="Heading 4 Char"/>
    <w:basedOn w:val="135"/>
    <w:link w:val="7"/>
    <w:semiHidden/>
    <w:qFormat/>
    <w:uiPriority w:val="9"/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4">
    <w:name w:val="Heading 5 Char"/>
    <w:basedOn w:val="135"/>
    <w:link w:val="8"/>
    <w:semiHidden/>
    <w:qFormat/>
    <w:uiPriority w:val="9"/>
    <w:rPr>
      <w:rFonts w:asciiTheme="majorHAnsi" w:hAnsiTheme="majorHAnsi" w:eastAsiaTheme="majorEastAsia" w:cstheme="majorBidi"/>
      <w:color w:val="254061" w:themeColor="accent1" w:themeShade="80"/>
    </w:rPr>
  </w:style>
  <w:style w:type="character" w:customStyle="1" w:styleId="155">
    <w:name w:val="Heading 6 Char"/>
    <w:basedOn w:val="135"/>
    <w:link w:val="9"/>
    <w:semiHidden/>
    <w:qFormat/>
    <w:uiPriority w:val="9"/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character" w:customStyle="1" w:styleId="156">
    <w:name w:val="Heading 7 Char"/>
    <w:basedOn w:val="135"/>
    <w:link w:val="10"/>
    <w:semiHidden/>
    <w:qFormat/>
    <w:uiPriority w:val="9"/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157">
    <w:name w:val="Heading 8 Char"/>
    <w:basedOn w:val="135"/>
    <w:link w:val="11"/>
    <w:semiHidden/>
    <w:qFormat/>
    <w:uiPriority w:val="9"/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character" w:customStyle="1" w:styleId="158">
    <w:name w:val="Heading 9 Char"/>
    <w:basedOn w:val="135"/>
    <w:link w:val="12"/>
    <w:semiHidden/>
    <w:qFormat/>
    <w:uiPriority w:val="9"/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59">
    <w:name w:val="Intense Quote"/>
    <w:basedOn w:val="1"/>
    <w:next w:val="1"/>
    <w:link w:val="160"/>
    <w:qFormat/>
    <w:uiPriority w:val="30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60">
    <w:name w:val="Intense Quote Char"/>
    <w:basedOn w:val="135"/>
    <w:link w:val="159"/>
    <w:qFormat/>
    <w:uiPriority w:val="30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61">
    <w:name w:val="Subtle Emphasis"/>
    <w:basedOn w:val="135"/>
    <w:qFormat/>
    <w:uiPriority w:val="19"/>
    <w:rPr>
      <w:i/>
      <w:iCs/>
      <w:color w:val="808080" w:themeColor="text1" w:themeTint="80"/>
      <w14:textFill>
        <w14:solidFill>
          <w14:schemeClr w14:val="tx1">
            <w14:lumMod w14:val="50000"/>
            <w14:lumOff w14:val="50000"/>
          </w14:schemeClr>
        </w14:solidFill>
      </w14:textFill>
    </w:rPr>
  </w:style>
  <w:style w:type="character" w:customStyle="1" w:styleId="162">
    <w:name w:val="Intense Emphasis"/>
    <w:basedOn w:val="135"/>
    <w:qFormat/>
    <w:uiPriority w:val="21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63">
    <w:name w:val="Subtle Reference"/>
    <w:basedOn w:val="135"/>
    <w:qFormat/>
    <w:uiPriority w:val="31"/>
    <w:rPr>
      <w:smallCaps/>
      <w:color w:val="C0504D" w:themeColor="accent2"/>
      <w:u w:val="single"/>
      <w14:textFill>
        <w14:solidFill>
          <w14:schemeClr w14:val="accent2"/>
        </w14:solidFill>
      </w14:textFill>
    </w:rPr>
  </w:style>
  <w:style w:type="character" w:customStyle="1" w:styleId="164">
    <w:name w:val="Intense Reference"/>
    <w:basedOn w:val="135"/>
    <w:qFormat/>
    <w:uiPriority w:val="32"/>
    <w:rPr>
      <w:b/>
      <w:bCs/>
      <w:smallCaps/>
      <w:color w:val="C0504D" w:themeColor="accent2"/>
      <w:spacing w:val="5"/>
      <w:u w:val="single"/>
      <w14:textFill>
        <w14:solidFill>
          <w14:schemeClr w14:val="accent2"/>
        </w14:solidFill>
      </w14:textFill>
    </w:rPr>
  </w:style>
  <w:style w:type="character" w:customStyle="1" w:styleId="165">
    <w:name w:val="Book Title"/>
    <w:basedOn w:val="135"/>
    <w:qFormat/>
    <w:uiPriority w:val="33"/>
    <w:rPr>
      <w:b/>
      <w:bCs/>
      <w:smallCaps/>
      <w:spacing w:val="5"/>
    </w:rPr>
  </w:style>
  <w:style w:type="paragraph" w:customStyle="1" w:styleId="166">
    <w:name w:val="TOC Heading"/>
    <w:basedOn w:val="4"/>
    <w:next w:val="1"/>
    <w:semiHidden/>
    <w:unhideWhenUsed/>
    <w:qFormat/>
    <w:uiPriority w:val="39"/>
    <w:pPr>
      <w:outlineLvl w:val="9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numbering" Target="numbering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10</Pages>
  <Words>2333</Words>
  <Characters>2718</Characters>
  <Lines>0</Lines>
  <Paragraphs>0</Paragraphs>
  <TotalTime>11</TotalTime>
  <ScaleCrop>false</ScaleCrop>
  <LinksUpToDate>false</LinksUpToDate>
  <CharactersWithSpaces>2887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2013-12-23T23:15:00Z</dcterms:created>
  <dc:creator>python-docx</dc:creator>
  <dc:description>generated by python-docx</dc:description>
  <cp:lastModifiedBy>孙嘉浩</cp:lastModifiedBy>
  <dcterms:modified xsi:type="dcterms:W3CDTF">2026-05-07T07:54:21Z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751799E69B154C9A8CA41AEF0727B57A_13</vt:lpwstr>
  </property>
  <property fmtid="{D5CDD505-2E9C-101B-9397-08002B2CF9AE}" pid="4" name="KSOTemplateDocerSaveRecord">
    <vt:lpwstr>eyJoZGlkIjoiMjM0YWMzMmZhN2RhMDVmYTJiYjYzMTQ4OTE1YWNhMzIiLCJ1c2VySWQiOiIzMjk4MTkzMzAifQ==</vt:lpwstr>
  </property>
</Properties>
</file>