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南网科研院用电设备自动响应系统及快速自动响应负荷样机测试服务</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r>
        <w:rPr>
          <w:rFonts w:hint="default" w:ascii="Times New Roman" w:hAnsi="Times New Roman" w:eastAsia="宋体" w:cs="Times New Roman"/>
          <w:b/>
          <w:bCs/>
          <w:color w:val="000000"/>
          <w:kern w:val="0"/>
          <w:sz w:val="24"/>
          <w:szCs w:val="24"/>
          <w:lang w:val="en-US" w:eastAsia="zh-CN" w:bidi="ar"/>
        </w:rPr>
        <w:t>零星采购技术附件</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一、采购范围及要求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按照表1的测试项目需求，提供用户响应协同调控仿真程序、典型用电设备无感响应潜力评估算法等测试服务，</w:t>
      </w:r>
      <w:r>
        <w:rPr>
          <w:rFonts w:hint="eastAsia" w:ascii="Times New Roman" w:hAnsi="Times New Roman" w:cs="Times New Roman"/>
          <w:sz w:val="24"/>
          <w:lang w:val="en-US" w:eastAsia="zh-CN"/>
        </w:rPr>
        <w:t>出具1份测试报告。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表1 用电设备自动响应系统测试项目需求</w:t>
      </w:r>
    </w:p>
    <w:tbl>
      <w:tblPr>
        <w:tblStyle w:val="7"/>
        <w:tblW w:w="49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2294"/>
        <w:gridCol w:w="5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000" w:type="pct"/>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left"/>
              <w:textAlignment w:val="baseline"/>
              <w:rPr>
                <w:rFonts w:hint="eastAsia" w:ascii="宋体" w:hAnsi="宋体" w:eastAsia="宋体" w:cs="宋体"/>
                <w:sz w:val="21"/>
                <w:szCs w:val="21"/>
                <w:lang w:val="en-US" w:eastAsia="zh-CN" w:bidi="ar"/>
              </w:rPr>
            </w:pPr>
            <w:r>
              <w:rPr>
                <w:rFonts w:hint="eastAsia" w:ascii="宋体" w:hAnsi="宋体" w:eastAsia="宋体" w:cs="宋体"/>
                <w:b/>
                <w:bCs/>
                <w:sz w:val="21"/>
                <w:szCs w:val="21"/>
                <w:lang w:val="en-US" w:eastAsia="zh-CN" w:bidi="ar"/>
              </w:rPr>
              <w:t>一、</w:t>
            </w:r>
            <w:r>
              <w:rPr>
                <w:rFonts w:hint="eastAsia" w:ascii="宋体" w:hAnsi="宋体" w:eastAsia="宋体" w:cs="宋体"/>
                <w:b/>
                <w:bCs/>
                <w:szCs w:val="21"/>
                <w:lang w:val="en-US" w:eastAsia="zh-CN"/>
              </w:rPr>
              <w:t>用电设备自动响应系统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416"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textAlignment w:val="baseline"/>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t>序号</w:t>
            </w:r>
          </w:p>
        </w:tc>
        <w:tc>
          <w:tcPr>
            <w:tcW w:w="1353"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textAlignment w:val="baseline"/>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t>测试对象</w:t>
            </w:r>
          </w:p>
        </w:tc>
        <w:tc>
          <w:tcPr>
            <w:tcW w:w="3229"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textAlignment w:val="baseline"/>
              <w:rPr>
                <w:rFonts w:hint="default"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t>测试说明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416"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textAlignment w:val="baseline"/>
              <w:rPr>
                <w:rFonts w:hint="default" w:ascii="Times New Roman" w:hAnsi="Times New Roman" w:eastAsia="宋体" w:cs="Times New Roman"/>
                <w:sz w:val="21"/>
                <w:szCs w:val="21"/>
                <w:lang w:val="en-US" w:eastAsia="zh-CN" w:bidi="ar"/>
              </w:rPr>
            </w:pPr>
            <w:r>
              <w:rPr>
                <w:rFonts w:hint="default" w:ascii="Times New Roman" w:hAnsi="Times New Roman" w:eastAsia="宋体" w:cs="Times New Roman"/>
                <w:sz w:val="21"/>
                <w:szCs w:val="21"/>
                <w:lang w:val="en-US" w:eastAsia="zh-CN" w:bidi="ar"/>
              </w:rPr>
              <w:t>1</w:t>
            </w:r>
          </w:p>
        </w:tc>
        <w:tc>
          <w:tcPr>
            <w:tcW w:w="1353"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用户响应协同调控仿真程序</w:t>
            </w:r>
          </w:p>
        </w:tc>
        <w:tc>
          <w:tcPr>
            <w:tcW w:w="3229"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both"/>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可接入可控负荷数量</w:t>
            </w:r>
            <w:r>
              <w:rPr>
                <w:rFonts w:hint="default" w:ascii="Times New Roman" w:hAnsi="Times New Roman" w:eastAsia="宋体" w:cs="Times New Roman"/>
                <w:sz w:val="21"/>
                <w:szCs w:val="21"/>
                <w:lang w:val="en-US" w:eastAsia="zh-CN" w:bidi="ar"/>
              </w:rPr>
              <w:t>≥</w:t>
            </w:r>
            <w:r>
              <w:rPr>
                <w:rFonts w:hint="eastAsia" w:ascii="Times New Roman" w:hAnsi="Times New Roman" w:eastAsia="宋体" w:cs="Times New Roman"/>
                <w:sz w:val="21"/>
                <w:szCs w:val="21"/>
                <w:lang w:val="en-US" w:eastAsia="zh-CN" w:bidi="ar"/>
              </w:rPr>
              <w:t>1000000台。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16"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2</w:t>
            </w:r>
          </w:p>
        </w:tc>
        <w:tc>
          <w:tcPr>
            <w:tcW w:w="1353"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典型用电设备无感响应潜力评估算法</w:t>
            </w:r>
          </w:p>
        </w:tc>
        <w:tc>
          <w:tcPr>
            <w:tcW w:w="3229"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both"/>
              <w:textAlignment w:val="baseline"/>
              <w:rPr>
                <w:rFonts w:hint="default" w:ascii="Times New Roman" w:hAnsi="Times New Roman" w:eastAsia="宋体" w:cs="Times New Roman"/>
                <w:sz w:val="21"/>
                <w:szCs w:val="21"/>
                <w:lang w:val="en-US" w:eastAsia="zh-CN" w:bidi="ar"/>
              </w:rPr>
            </w:pPr>
            <w:r>
              <w:rPr>
                <w:rFonts w:hint="default" w:ascii="Times New Roman" w:hAnsi="Times New Roman" w:eastAsia="宋体" w:cs="Times New Roman"/>
                <w:sz w:val="21"/>
                <w:szCs w:val="21"/>
                <w:lang w:val="en-US" w:eastAsia="zh-CN" w:bidi="ar"/>
              </w:rPr>
              <w:t>支持</w:t>
            </w:r>
            <w:r>
              <w:rPr>
                <w:rFonts w:hint="eastAsia" w:ascii="Times New Roman" w:hAnsi="Times New Roman" w:eastAsia="宋体" w:cs="Times New Roman"/>
                <w:sz w:val="21"/>
                <w:szCs w:val="21"/>
                <w:lang w:val="en-US" w:eastAsia="zh-CN" w:bidi="ar"/>
              </w:rPr>
              <w:t>用电设备种类</w:t>
            </w:r>
            <w:r>
              <w:rPr>
                <w:rFonts w:hint="default" w:ascii="Times New Roman" w:hAnsi="Times New Roman" w:eastAsia="宋体" w:cs="Times New Roman"/>
                <w:sz w:val="21"/>
                <w:szCs w:val="21"/>
                <w:lang w:val="en-US" w:eastAsia="zh-CN" w:bidi="ar"/>
              </w:rPr>
              <w:t>≥</w:t>
            </w:r>
            <w:r>
              <w:rPr>
                <w:rFonts w:hint="eastAsia" w:ascii="Times New Roman" w:hAnsi="Times New Roman" w:eastAsia="宋体" w:cs="Times New Roman"/>
                <w:sz w:val="21"/>
                <w:szCs w:val="21"/>
                <w:lang w:val="en-US" w:eastAsia="zh-CN" w:bidi="ar"/>
              </w:rPr>
              <w:t>5，对可调节潜力进行查询展示、分析。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16"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3</w:t>
            </w:r>
          </w:p>
        </w:tc>
        <w:tc>
          <w:tcPr>
            <w:tcW w:w="1353"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adjustRightInd w:val="0"/>
              <w:snapToGrid w:val="0"/>
              <w:jc w:val="center"/>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台区设备模拟生成算法</w:t>
            </w:r>
          </w:p>
        </w:tc>
        <w:tc>
          <w:tcPr>
            <w:tcW w:w="3229"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adjustRightInd w:val="0"/>
              <w:snapToGrid w:val="0"/>
              <w:jc w:val="both"/>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可生成仿真的台区档案、设备档案、设备负荷数据，支持查询、删除、修改功能。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0" w:type="auto"/>
            <w:vAlign w:val="center"/>
          </w:tcPr>
          <w:p>
            <w:pPr>
              <w:adjustRightInd w:val="0"/>
              <w:snapToGrid w:val="0"/>
              <w:jc w:val="center"/>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4</w:t>
            </w:r>
          </w:p>
        </w:tc>
        <w:tc>
          <w:tcPr>
            <w:tcW w:w="0" w:type="auto"/>
            <w:shd w:val="clear" w:color="auto" w:fill="auto"/>
            <w:vAlign w:val="center"/>
          </w:tcPr>
          <w:p>
            <w:pPr>
              <w:adjustRightInd w:val="0"/>
              <w:snapToGrid w:val="0"/>
              <w:jc w:val="center"/>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台区设备招测控制算法</w:t>
            </w:r>
          </w:p>
        </w:tc>
        <w:tc>
          <w:tcPr>
            <w:tcW w:w="0" w:type="auto"/>
            <w:shd w:val="clear" w:color="auto" w:fill="auto"/>
            <w:vAlign w:val="center"/>
          </w:tcPr>
          <w:p>
            <w:pPr>
              <w:adjustRightInd w:val="0"/>
              <w:snapToGrid w:val="0"/>
              <w:jc w:val="both"/>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可对台区管理单位下采集点对应的设备进行负荷曲线的招测控制。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0" w:type="auto"/>
            <w:vAlign w:val="center"/>
          </w:tcPr>
          <w:p>
            <w:pPr>
              <w:adjustRightInd w:val="0"/>
              <w:snapToGrid w:val="0"/>
              <w:jc w:val="center"/>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5</w:t>
            </w:r>
          </w:p>
        </w:tc>
        <w:tc>
          <w:tcPr>
            <w:tcW w:w="0" w:type="auto"/>
            <w:shd w:val="clear" w:color="auto" w:fill="auto"/>
            <w:vAlign w:val="center"/>
          </w:tcPr>
          <w:p>
            <w:pPr>
              <w:adjustRightInd w:val="0"/>
              <w:snapToGrid w:val="0"/>
              <w:jc w:val="center"/>
              <w:textAlignment w:val="baseline"/>
              <w:rPr>
                <w:rFonts w:hint="eastAsia" w:ascii="Times New Roman" w:hAnsi="Times New Roman" w:eastAsia="宋体" w:cs="Times New Roman"/>
                <w:kern w:val="2"/>
                <w:sz w:val="21"/>
                <w:szCs w:val="21"/>
                <w:lang w:val="en-US" w:eastAsia="zh-CN" w:bidi="ar"/>
              </w:rPr>
            </w:pPr>
            <w:r>
              <w:rPr>
                <w:rFonts w:hint="eastAsia" w:ascii="Times New Roman" w:hAnsi="Times New Roman" w:eastAsia="宋体" w:cs="Times New Roman"/>
                <w:sz w:val="21"/>
                <w:szCs w:val="21"/>
                <w:lang w:val="en-US" w:eastAsia="zh-CN" w:bidi="ar"/>
              </w:rPr>
              <w:t>均衡分析计算算法</w:t>
            </w:r>
          </w:p>
        </w:tc>
        <w:tc>
          <w:tcPr>
            <w:tcW w:w="0" w:type="auto"/>
            <w:shd w:val="clear" w:color="auto" w:fill="auto"/>
            <w:vAlign w:val="center"/>
          </w:tcPr>
          <w:p>
            <w:pPr>
              <w:adjustRightInd w:val="0"/>
              <w:snapToGrid w:val="0"/>
              <w:jc w:val="both"/>
              <w:textAlignment w:val="baseline"/>
              <w:rPr>
                <w:rFonts w:hint="eastAsia" w:ascii="Times New Roman" w:hAnsi="Times New Roman" w:eastAsia="宋体" w:cs="Times New Roman"/>
                <w:kern w:val="2"/>
                <w:sz w:val="21"/>
                <w:szCs w:val="21"/>
                <w:lang w:val="en-US" w:eastAsia="zh-CN" w:bidi="ar"/>
              </w:rPr>
            </w:pPr>
            <w:r>
              <w:rPr>
                <w:rFonts w:hint="eastAsia" w:ascii="Times New Roman" w:hAnsi="Times New Roman" w:eastAsia="宋体" w:cs="Times New Roman"/>
                <w:sz w:val="21"/>
                <w:szCs w:val="21"/>
                <w:lang w:val="en-US" w:eastAsia="zh-CN" w:bidi="ar"/>
              </w:rPr>
              <w:t>可对均衡分析计算后的设备以及台区电量数据比对，计算、分析、展示峰值和峰谷差等关键数据。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0" w:type="auto"/>
            <w:vAlign w:val="center"/>
          </w:tcPr>
          <w:p>
            <w:pPr>
              <w:adjustRightInd w:val="0"/>
              <w:snapToGrid w:val="0"/>
              <w:jc w:val="center"/>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6</w:t>
            </w:r>
          </w:p>
        </w:tc>
        <w:tc>
          <w:tcPr>
            <w:tcW w:w="0" w:type="auto"/>
            <w:shd w:val="clear" w:color="auto" w:fill="auto"/>
            <w:vAlign w:val="center"/>
          </w:tcPr>
          <w:p>
            <w:pPr>
              <w:adjustRightInd w:val="0"/>
              <w:snapToGrid w:val="0"/>
              <w:jc w:val="center"/>
              <w:textAlignment w:val="baseline"/>
              <w:rPr>
                <w:rFonts w:hint="eastAsia" w:ascii="Times New Roman" w:hAnsi="Times New Roman" w:eastAsia="宋体" w:cs="Times New Roman"/>
                <w:kern w:val="2"/>
                <w:sz w:val="21"/>
                <w:szCs w:val="21"/>
                <w:lang w:val="en-US" w:eastAsia="zh-CN" w:bidi="ar"/>
              </w:rPr>
            </w:pPr>
            <w:r>
              <w:rPr>
                <w:rFonts w:hint="eastAsia" w:ascii="Times New Roman" w:hAnsi="Times New Roman" w:eastAsia="宋体" w:cs="Times New Roman"/>
                <w:sz w:val="21"/>
                <w:szCs w:val="21"/>
                <w:lang w:val="en-US" w:eastAsia="zh-CN" w:bidi="ar"/>
              </w:rPr>
              <w:t>风险评估算法</w:t>
            </w:r>
          </w:p>
        </w:tc>
        <w:tc>
          <w:tcPr>
            <w:tcW w:w="0" w:type="auto"/>
            <w:shd w:val="clear" w:color="auto" w:fill="auto"/>
            <w:vAlign w:val="center"/>
          </w:tcPr>
          <w:p>
            <w:pPr>
              <w:adjustRightInd w:val="0"/>
              <w:snapToGrid w:val="0"/>
              <w:jc w:val="both"/>
              <w:textAlignment w:val="baseline"/>
              <w:rPr>
                <w:rFonts w:hint="eastAsia" w:ascii="Times New Roman" w:hAnsi="Times New Roman" w:eastAsia="宋体" w:cs="Times New Roman"/>
                <w:kern w:val="2"/>
                <w:sz w:val="21"/>
                <w:szCs w:val="21"/>
                <w:lang w:val="en-US" w:eastAsia="zh-CN" w:bidi="ar"/>
              </w:rPr>
            </w:pPr>
            <w:r>
              <w:rPr>
                <w:rFonts w:hint="eastAsia" w:ascii="Times New Roman" w:hAnsi="Times New Roman" w:eastAsia="宋体" w:cs="Times New Roman"/>
                <w:sz w:val="21"/>
                <w:szCs w:val="21"/>
                <w:lang w:val="en-US" w:eastAsia="zh-CN" w:bidi="ar"/>
              </w:rPr>
              <w:t>可对台区的概率性风险指标、严重程度指标和运行性能指标结果进行查询展示。</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按照表2的测试项目需求，提供快速自动响应负荷样机的功能及性能测试服务，出具1份测试报告。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表2 快速自动响应负荷样机测试项目需求</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2309"/>
        <w:gridCol w:w="5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both"/>
              <w:textAlignment w:val="baseline"/>
              <w:rPr>
                <w:rFonts w:hint="eastAsia" w:ascii="宋体" w:hAnsi="宋体" w:eastAsia="宋体" w:cs="宋体"/>
                <w:sz w:val="21"/>
                <w:szCs w:val="21"/>
                <w:lang w:val="en-US" w:eastAsia="zh-CN" w:bidi="ar"/>
              </w:rPr>
            </w:pPr>
            <w:r>
              <w:rPr>
                <w:rFonts w:hint="eastAsia" w:ascii="宋体" w:hAnsi="宋体" w:eastAsia="宋体" w:cs="宋体"/>
                <w:b/>
                <w:bCs/>
                <w:sz w:val="21"/>
                <w:szCs w:val="21"/>
                <w:lang w:val="en-US" w:eastAsia="zh-CN" w:bidi="ar"/>
              </w:rPr>
              <w:t>二、快速自动响应负荷样机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000" w:type="pct"/>
            <w:gridSpan w:val="3"/>
            <w:vAlign w:val="center"/>
          </w:tcPr>
          <w:p>
            <w:pPr>
              <w:adjustRightInd w:val="0"/>
              <w:snapToGrid w:val="0"/>
              <w:jc w:val="both"/>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b/>
                <w:bCs/>
                <w:sz w:val="21"/>
                <w:szCs w:val="21"/>
                <w:highlight w:val="none"/>
                <w:lang w:val="en-US" w:eastAsia="zh-CN"/>
              </w:rPr>
              <w:t>（一）</w:t>
            </w:r>
            <w:r>
              <w:rPr>
                <w:rFonts w:hint="default" w:ascii="Times New Roman" w:hAnsi="Times New Roman" w:eastAsia="宋体" w:cs="Times New Roman"/>
                <w:b/>
                <w:bCs/>
                <w:sz w:val="21"/>
                <w:szCs w:val="21"/>
                <w:highlight w:val="none"/>
                <w:lang w:val="en-US" w:eastAsia="zh-CN"/>
              </w:rPr>
              <w:t>功能测试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9" w:type="pct"/>
            <w:shd w:val="clear" w:color="auto" w:fill="auto"/>
            <w:vAlign w:val="center"/>
          </w:tcPr>
          <w:p>
            <w:pPr>
              <w:adjustRightInd w:val="0"/>
              <w:snapToGrid w:val="0"/>
              <w:jc w:val="center"/>
              <w:textAlignment w:val="baseline"/>
              <w:rPr>
                <w:rFonts w:hint="eastAsia" w:ascii="宋体" w:hAnsi="宋体" w:eastAsia="宋体" w:cs="宋体"/>
                <w:b/>
                <w:bCs/>
                <w:kern w:val="2"/>
                <w:sz w:val="21"/>
                <w:szCs w:val="21"/>
                <w:lang w:val="en-US" w:eastAsia="zh-CN" w:bidi="ar"/>
              </w:rPr>
            </w:pPr>
            <w:r>
              <w:rPr>
                <w:rFonts w:hint="eastAsia" w:ascii="宋体" w:hAnsi="宋体" w:eastAsia="宋体" w:cs="宋体"/>
                <w:b/>
                <w:bCs/>
                <w:sz w:val="21"/>
                <w:szCs w:val="21"/>
                <w:lang w:val="en-US" w:eastAsia="zh-CN" w:bidi="ar"/>
              </w:rPr>
              <w:t>序号</w:t>
            </w:r>
          </w:p>
        </w:tc>
        <w:tc>
          <w:tcPr>
            <w:tcW w:w="1355" w:type="pct"/>
            <w:shd w:val="clear" w:color="auto" w:fill="auto"/>
            <w:vAlign w:val="center"/>
          </w:tcPr>
          <w:p>
            <w:pPr>
              <w:adjustRightInd w:val="0"/>
              <w:snapToGrid w:val="0"/>
              <w:jc w:val="center"/>
              <w:textAlignment w:val="baseline"/>
              <w:rPr>
                <w:rFonts w:hint="eastAsia" w:ascii="宋体" w:hAnsi="宋体" w:eastAsia="宋体" w:cs="宋体"/>
                <w:b/>
                <w:bCs/>
                <w:kern w:val="2"/>
                <w:sz w:val="21"/>
                <w:szCs w:val="21"/>
                <w:lang w:val="en-US" w:eastAsia="zh-CN" w:bidi="ar"/>
              </w:rPr>
            </w:pPr>
            <w:r>
              <w:rPr>
                <w:rFonts w:hint="eastAsia" w:ascii="宋体" w:hAnsi="宋体" w:eastAsia="宋体" w:cs="宋体"/>
                <w:b/>
                <w:bCs/>
                <w:sz w:val="21"/>
                <w:szCs w:val="21"/>
                <w:lang w:val="en-US" w:eastAsia="zh-CN" w:bidi="ar"/>
              </w:rPr>
              <w:t>测试对象</w:t>
            </w:r>
          </w:p>
        </w:tc>
        <w:tc>
          <w:tcPr>
            <w:tcW w:w="3235" w:type="pct"/>
            <w:shd w:val="clear" w:color="auto" w:fill="auto"/>
            <w:vAlign w:val="center"/>
          </w:tcPr>
          <w:p>
            <w:pPr>
              <w:adjustRightInd w:val="0"/>
              <w:snapToGrid w:val="0"/>
              <w:jc w:val="center"/>
              <w:textAlignment w:val="baseline"/>
              <w:rPr>
                <w:rFonts w:hint="eastAsia" w:ascii="宋体" w:hAnsi="宋体" w:eastAsia="宋体" w:cs="宋体"/>
                <w:b/>
                <w:bCs/>
                <w:kern w:val="2"/>
                <w:sz w:val="21"/>
                <w:szCs w:val="21"/>
                <w:lang w:val="en-US" w:eastAsia="zh-CN" w:bidi="ar"/>
              </w:rPr>
            </w:pPr>
            <w:r>
              <w:rPr>
                <w:rFonts w:hint="eastAsia" w:ascii="宋体" w:hAnsi="宋体" w:eastAsia="宋体" w:cs="宋体"/>
                <w:b/>
                <w:bCs/>
                <w:sz w:val="21"/>
                <w:szCs w:val="21"/>
                <w:lang w:val="en-US" w:eastAsia="zh-CN" w:bidi="ar"/>
              </w:rPr>
              <w:t>测试说明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09" w:type="pct"/>
            <w:shd w:val="clear" w:color="auto" w:fill="auto"/>
            <w:vAlign w:val="center"/>
          </w:tcPr>
          <w:p>
            <w:pPr>
              <w:adjustRightInd w:val="0"/>
              <w:snapToGrid w:val="0"/>
              <w:jc w:val="center"/>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1</w:t>
            </w:r>
          </w:p>
        </w:tc>
        <w:tc>
          <w:tcPr>
            <w:tcW w:w="1355" w:type="pct"/>
            <w:shd w:val="clear" w:color="auto" w:fill="auto"/>
            <w:vAlign w:val="center"/>
          </w:tcPr>
          <w:p>
            <w:pPr>
              <w:adjustRightInd w:val="0"/>
              <w:snapToGrid w:val="0"/>
              <w:jc w:val="center"/>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基本构成</w:t>
            </w:r>
          </w:p>
        </w:tc>
        <w:tc>
          <w:tcPr>
            <w:tcW w:w="3235" w:type="pct"/>
            <w:shd w:val="clear" w:color="auto" w:fill="auto"/>
            <w:vAlign w:val="center"/>
          </w:tcPr>
          <w:p>
            <w:pPr>
              <w:adjustRightInd w:val="0"/>
              <w:snapToGrid w:val="0"/>
              <w:jc w:val="both"/>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快速自动响应负荷样机由信息采集单元、控制执行单元、通讯单元和电源模块组成。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09" w:type="pct"/>
            <w:shd w:val="clear" w:color="auto" w:fill="auto"/>
            <w:vAlign w:val="center"/>
          </w:tcPr>
          <w:p>
            <w:pPr>
              <w:adjustRightInd w:val="0"/>
              <w:snapToGrid w:val="0"/>
              <w:jc w:val="center"/>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2</w:t>
            </w:r>
          </w:p>
        </w:tc>
        <w:tc>
          <w:tcPr>
            <w:tcW w:w="1355" w:type="pct"/>
            <w:shd w:val="clear" w:color="auto" w:fill="auto"/>
            <w:vAlign w:val="center"/>
          </w:tcPr>
          <w:p>
            <w:pPr>
              <w:adjustRightInd w:val="0"/>
              <w:snapToGrid w:val="0"/>
              <w:jc w:val="center"/>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负荷信息采集功能</w:t>
            </w:r>
          </w:p>
        </w:tc>
        <w:tc>
          <w:tcPr>
            <w:tcW w:w="3235" w:type="pct"/>
            <w:shd w:val="clear" w:color="auto" w:fill="auto"/>
            <w:vAlign w:val="center"/>
          </w:tcPr>
          <w:p>
            <w:pPr>
              <w:adjustRightInd w:val="0"/>
              <w:snapToGrid w:val="0"/>
              <w:jc w:val="both"/>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快速自动响应负荷样机可使用MODBUS、DLT645、IEC104通信规约采集各类负荷数据。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09" w:type="pct"/>
            <w:shd w:val="clear" w:color="auto" w:fill="auto"/>
            <w:vAlign w:val="center"/>
          </w:tcPr>
          <w:p>
            <w:pPr>
              <w:adjustRightInd w:val="0"/>
              <w:snapToGrid w:val="0"/>
              <w:jc w:val="center"/>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3</w:t>
            </w:r>
          </w:p>
        </w:tc>
        <w:tc>
          <w:tcPr>
            <w:tcW w:w="1355" w:type="pct"/>
            <w:shd w:val="clear" w:color="auto" w:fill="auto"/>
            <w:vAlign w:val="center"/>
          </w:tcPr>
          <w:p>
            <w:pPr>
              <w:adjustRightInd w:val="0"/>
              <w:snapToGrid w:val="0"/>
              <w:jc w:val="center"/>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通信功能</w:t>
            </w:r>
          </w:p>
        </w:tc>
        <w:tc>
          <w:tcPr>
            <w:tcW w:w="3235" w:type="pct"/>
            <w:shd w:val="clear" w:color="auto" w:fill="auto"/>
            <w:vAlign w:val="center"/>
          </w:tcPr>
          <w:p>
            <w:pPr>
              <w:adjustRightInd w:val="0"/>
              <w:snapToGrid w:val="0"/>
              <w:jc w:val="both"/>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快速自动响应负荷样机可使用MODBUS、IEC104规约实现同上级主站通信。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09" w:type="pct"/>
            <w:shd w:val="clear" w:color="auto" w:fill="auto"/>
            <w:vAlign w:val="center"/>
          </w:tcPr>
          <w:p>
            <w:pPr>
              <w:adjustRightInd w:val="0"/>
              <w:snapToGrid w:val="0"/>
              <w:jc w:val="center"/>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4</w:t>
            </w:r>
          </w:p>
        </w:tc>
        <w:tc>
          <w:tcPr>
            <w:tcW w:w="1355" w:type="pct"/>
            <w:shd w:val="clear" w:color="auto" w:fill="auto"/>
            <w:vAlign w:val="center"/>
          </w:tcPr>
          <w:p>
            <w:pPr>
              <w:adjustRightInd w:val="0"/>
              <w:snapToGrid w:val="0"/>
              <w:jc w:val="center"/>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负荷自动需求响应</w:t>
            </w:r>
            <w:bookmarkStart w:id="0" w:name="_GoBack"/>
            <w:bookmarkEnd w:id="0"/>
            <w:r>
              <w:rPr>
                <w:rFonts w:hint="eastAsia" w:ascii="Times New Roman" w:hAnsi="Times New Roman" w:eastAsia="宋体" w:cs="Times New Roman"/>
                <w:sz w:val="21"/>
                <w:szCs w:val="21"/>
                <w:lang w:val="en-US" w:eastAsia="zh-CN" w:bidi="ar"/>
              </w:rPr>
              <w:t>功能</w:t>
            </w:r>
          </w:p>
        </w:tc>
        <w:tc>
          <w:tcPr>
            <w:tcW w:w="3235" w:type="pct"/>
            <w:shd w:val="clear" w:color="auto" w:fill="auto"/>
            <w:vAlign w:val="center"/>
          </w:tcPr>
          <w:p>
            <w:pPr>
              <w:adjustRightInd w:val="0"/>
              <w:snapToGrid w:val="0"/>
              <w:jc w:val="both"/>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具备开关量输出接口，可控制实现控制负荷回路通断；</w:t>
            </w:r>
          </w:p>
          <w:p>
            <w:pPr>
              <w:adjustRightInd w:val="0"/>
              <w:snapToGrid w:val="0"/>
              <w:jc w:val="both"/>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具备遥控选择、遥控执行、遥控撤销功能；</w:t>
            </w:r>
          </w:p>
          <w:p>
            <w:pPr>
              <w:adjustRightInd w:val="0"/>
              <w:snapToGrid w:val="0"/>
              <w:jc w:val="both"/>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具备群调群控功能，可以自动分解主站遥调指令，下发给被控负荷设备。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09" w:type="pct"/>
            <w:shd w:val="clear" w:color="auto" w:fill="auto"/>
            <w:vAlign w:val="center"/>
          </w:tcPr>
          <w:p>
            <w:pPr>
              <w:adjustRightInd w:val="0"/>
              <w:snapToGrid w:val="0"/>
              <w:jc w:val="center"/>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5</w:t>
            </w:r>
          </w:p>
        </w:tc>
        <w:tc>
          <w:tcPr>
            <w:tcW w:w="1355" w:type="pct"/>
            <w:shd w:val="clear" w:color="auto" w:fill="auto"/>
            <w:vAlign w:val="center"/>
          </w:tcPr>
          <w:p>
            <w:pPr>
              <w:adjustRightInd w:val="0"/>
              <w:snapToGrid w:val="0"/>
              <w:jc w:val="center"/>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保护与告警功能</w:t>
            </w:r>
          </w:p>
        </w:tc>
        <w:tc>
          <w:tcPr>
            <w:tcW w:w="3235" w:type="pct"/>
            <w:shd w:val="clear" w:color="auto" w:fill="auto"/>
            <w:vAlign w:val="center"/>
          </w:tcPr>
          <w:p>
            <w:pPr>
              <w:adjustRightInd w:val="0"/>
              <w:snapToGrid w:val="0"/>
              <w:jc w:val="both"/>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具备通讯中断判断告警功能；</w:t>
            </w:r>
          </w:p>
          <w:p>
            <w:pPr>
              <w:adjustRightInd w:val="0"/>
              <w:snapToGrid w:val="0"/>
              <w:jc w:val="both"/>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支持通过脚本语言实现越限告警判断功能。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3"/>
            <w:vAlign w:val="center"/>
          </w:tcPr>
          <w:p>
            <w:pPr>
              <w:adjustRightInd w:val="0"/>
              <w:snapToGrid w:val="0"/>
              <w:jc w:val="both"/>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b/>
                <w:bCs/>
                <w:sz w:val="21"/>
                <w:szCs w:val="21"/>
                <w:highlight w:val="none"/>
                <w:lang w:val="en-US" w:eastAsia="zh-CN"/>
              </w:rPr>
              <w:t>（二）性</w:t>
            </w:r>
            <w:r>
              <w:rPr>
                <w:rFonts w:hint="default" w:ascii="Times New Roman" w:hAnsi="Times New Roman" w:eastAsia="宋体" w:cs="Times New Roman"/>
                <w:b/>
                <w:bCs/>
                <w:sz w:val="21"/>
                <w:szCs w:val="21"/>
                <w:highlight w:val="none"/>
                <w:lang w:val="en-US" w:eastAsia="zh-CN"/>
              </w:rPr>
              <w:t>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9" w:type="pct"/>
            <w:shd w:val="clear" w:color="auto" w:fill="auto"/>
            <w:vAlign w:val="center"/>
          </w:tcPr>
          <w:p>
            <w:pPr>
              <w:adjustRightInd w:val="0"/>
              <w:snapToGrid w:val="0"/>
              <w:jc w:val="center"/>
              <w:textAlignment w:val="baseline"/>
              <w:rPr>
                <w:rFonts w:hint="default" w:ascii="宋体" w:hAnsi="宋体" w:eastAsia="宋体" w:cs="宋体"/>
                <w:b/>
                <w:bCs/>
                <w:kern w:val="2"/>
                <w:sz w:val="21"/>
                <w:szCs w:val="21"/>
                <w:lang w:val="en-US" w:eastAsia="zh-CN" w:bidi="ar"/>
              </w:rPr>
            </w:pPr>
            <w:r>
              <w:rPr>
                <w:rFonts w:hint="eastAsia" w:ascii="宋体" w:hAnsi="宋体" w:eastAsia="宋体" w:cs="宋体"/>
                <w:b/>
                <w:bCs/>
                <w:sz w:val="21"/>
                <w:szCs w:val="21"/>
                <w:lang w:val="en-US" w:eastAsia="zh-CN" w:bidi="ar"/>
              </w:rPr>
              <w:t>序号</w:t>
            </w:r>
          </w:p>
        </w:tc>
        <w:tc>
          <w:tcPr>
            <w:tcW w:w="1355" w:type="pct"/>
            <w:shd w:val="clear" w:color="auto" w:fill="auto"/>
            <w:vAlign w:val="center"/>
          </w:tcPr>
          <w:p>
            <w:pPr>
              <w:adjustRightInd w:val="0"/>
              <w:snapToGrid w:val="0"/>
              <w:jc w:val="center"/>
              <w:textAlignment w:val="baseline"/>
              <w:rPr>
                <w:rFonts w:hint="eastAsia" w:ascii="宋体" w:hAnsi="宋体" w:eastAsia="宋体" w:cs="宋体"/>
                <w:b/>
                <w:bCs/>
                <w:kern w:val="2"/>
                <w:sz w:val="21"/>
                <w:szCs w:val="21"/>
                <w:lang w:val="en-US" w:eastAsia="zh-CN" w:bidi="ar"/>
              </w:rPr>
            </w:pPr>
            <w:r>
              <w:rPr>
                <w:rFonts w:hint="eastAsia" w:ascii="宋体" w:hAnsi="宋体" w:eastAsia="宋体" w:cs="宋体"/>
                <w:b/>
                <w:bCs/>
                <w:sz w:val="21"/>
                <w:szCs w:val="21"/>
                <w:lang w:val="en-US" w:eastAsia="zh-CN" w:bidi="ar"/>
              </w:rPr>
              <w:t>测试对象</w:t>
            </w:r>
          </w:p>
        </w:tc>
        <w:tc>
          <w:tcPr>
            <w:tcW w:w="3235" w:type="pct"/>
            <w:shd w:val="clear" w:color="auto" w:fill="auto"/>
            <w:vAlign w:val="center"/>
          </w:tcPr>
          <w:p>
            <w:pPr>
              <w:adjustRightInd w:val="0"/>
              <w:snapToGrid w:val="0"/>
              <w:jc w:val="center"/>
              <w:textAlignment w:val="baseline"/>
              <w:rPr>
                <w:rFonts w:hint="eastAsia" w:ascii="宋体" w:hAnsi="宋体" w:eastAsia="宋体" w:cs="宋体"/>
                <w:b/>
                <w:bCs/>
                <w:kern w:val="2"/>
                <w:sz w:val="21"/>
                <w:szCs w:val="21"/>
                <w:lang w:val="en-US" w:eastAsia="zh-CN" w:bidi="ar"/>
              </w:rPr>
            </w:pPr>
            <w:r>
              <w:rPr>
                <w:rFonts w:hint="eastAsia" w:ascii="宋体" w:hAnsi="宋体" w:eastAsia="宋体" w:cs="宋体"/>
                <w:b/>
                <w:bCs/>
                <w:sz w:val="21"/>
                <w:szCs w:val="21"/>
                <w:lang w:val="en-US" w:eastAsia="zh-CN" w:bidi="ar"/>
              </w:rPr>
              <w:t>测试说明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09" w:type="pct"/>
            <w:shd w:val="clear" w:color="auto" w:fill="auto"/>
            <w:vAlign w:val="center"/>
          </w:tcPr>
          <w:p>
            <w:pPr>
              <w:adjustRightInd w:val="0"/>
              <w:snapToGrid w:val="0"/>
              <w:jc w:val="center"/>
              <w:textAlignment w:val="baseline"/>
              <w:rPr>
                <w:rFonts w:hint="eastAsia" w:ascii="Times New Roman" w:hAnsi="Times New Roman" w:eastAsia="宋体" w:cs="Times New Roman"/>
                <w:kern w:val="2"/>
                <w:sz w:val="21"/>
                <w:szCs w:val="21"/>
                <w:lang w:val="en-US" w:eastAsia="zh-CN" w:bidi="ar"/>
              </w:rPr>
            </w:pPr>
            <w:r>
              <w:rPr>
                <w:rFonts w:hint="eastAsia" w:ascii="Times New Roman" w:hAnsi="Times New Roman" w:eastAsia="宋体" w:cs="Times New Roman"/>
                <w:sz w:val="21"/>
                <w:szCs w:val="21"/>
                <w:lang w:val="en-US" w:eastAsia="zh-CN" w:bidi="ar"/>
              </w:rPr>
              <w:t>6</w:t>
            </w:r>
          </w:p>
        </w:tc>
        <w:tc>
          <w:tcPr>
            <w:tcW w:w="1355" w:type="pct"/>
            <w:shd w:val="clear" w:color="auto" w:fill="auto"/>
            <w:vAlign w:val="center"/>
          </w:tcPr>
          <w:p>
            <w:pPr>
              <w:adjustRightInd w:val="0"/>
              <w:snapToGrid w:val="0"/>
              <w:jc w:val="center"/>
              <w:textAlignment w:val="baseline"/>
              <w:rPr>
                <w:rFonts w:hint="eastAsia" w:ascii="Times New Roman" w:hAnsi="Times New Roman" w:eastAsia="宋体" w:cs="Times New Roman"/>
                <w:kern w:val="2"/>
                <w:sz w:val="21"/>
                <w:szCs w:val="21"/>
                <w:lang w:val="en-US" w:eastAsia="zh-CN" w:bidi="ar"/>
              </w:rPr>
            </w:pPr>
            <w:r>
              <w:rPr>
                <w:rFonts w:hint="eastAsia" w:ascii="Times New Roman" w:hAnsi="Times New Roman" w:eastAsia="宋体" w:cs="Times New Roman"/>
                <w:sz w:val="21"/>
                <w:szCs w:val="21"/>
                <w:lang w:val="en-US" w:eastAsia="zh-CN" w:bidi="ar"/>
              </w:rPr>
              <w:t>接入能力</w:t>
            </w:r>
          </w:p>
        </w:tc>
        <w:tc>
          <w:tcPr>
            <w:tcW w:w="3235" w:type="pct"/>
            <w:shd w:val="clear" w:color="auto" w:fill="auto"/>
            <w:vAlign w:val="center"/>
          </w:tcPr>
          <w:p>
            <w:pPr>
              <w:adjustRightInd w:val="0"/>
              <w:snapToGrid w:val="0"/>
              <w:jc w:val="both"/>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支持接入数据点位数≥5000点。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09" w:type="pct"/>
            <w:vAlign w:val="center"/>
          </w:tcPr>
          <w:p>
            <w:pPr>
              <w:adjustRightInd w:val="0"/>
              <w:snapToGrid w:val="0"/>
              <w:jc w:val="center"/>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7</w:t>
            </w:r>
          </w:p>
        </w:tc>
        <w:tc>
          <w:tcPr>
            <w:tcW w:w="1355" w:type="pct"/>
            <w:shd w:val="clear" w:color="auto" w:fill="auto"/>
            <w:vAlign w:val="center"/>
          </w:tcPr>
          <w:p>
            <w:pPr>
              <w:adjustRightInd w:val="0"/>
              <w:snapToGrid w:val="0"/>
              <w:jc w:val="center"/>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功率响应时间测试</w:t>
            </w:r>
          </w:p>
        </w:tc>
        <w:tc>
          <w:tcPr>
            <w:tcW w:w="3235" w:type="pct"/>
            <w:shd w:val="clear" w:color="auto" w:fill="auto"/>
            <w:vAlign w:val="center"/>
          </w:tcPr>
          <w:p>
            <w:pPr>
              <w:adjustRightInd w:val="0"/>
              <w:snapToGrid w:val="0"/>
              <w:jc w:val="both"/>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在本地界面/远程平台进行控制指令下发，终端接收信号到功率调整时间小于50ms。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09" w:type="pct"/>
            <w:vAlign w:val="center"/>
          </w:tcPr>
          <w:p>
            <w:pPr>
              <w:adjustRightInd w:val="0"/>
              <w:snapToGrid w:val="0"/>
              <w:jc w:val="center"/>
              <w:textAlignment w:val="baseline"/>
              <w:rPr>
                <w:rFonts w:hint="default"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8</w:t>
            </w:r>
          </w:p>
        </w:tc>
        <w:tc>
          <w:tcPr>
            <w:tcW w:w="1355" w:type="pct"/>
            <w:shd w:val="clear" w:color="auto" w:fill="auto"/>
            <w:vAlign w:val="center"/>
          </w:tcPr>
          <w:p>
            <w:pPr>
              <w:adjustRightInd w:val="0"/>
              <w:snapToGrid w:val="0"/>
              <w:jc w:val="center"/>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负荷指令响应计算时间</w:t>
            </w:r>
          </w:p>
        </w:tc>
        <w:tc>
          <w:tcPr>
            <w:tcW w:w="3235" w:type="pct"/>
            <w:shd w:val="clear" w:color="auto" w:fill="auto"/>
            <w:vAlign w:val="center"/>
          </w:tcPr>
          <w:p>
            <w:pPr>
              <w:adjustRightInd w:val="0"/>
              <w:snapToGrid w:val="0"/>
              <w:jc w:val="both"/>
              <w:textAlignment w:val="baseline"/>
              <w:rPr>
                <w:rFonts w:hint="eastAsia"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控制器接收到上级系统下发的负荷群控控制指令后，完成控制逻辑判断、负荷分配计算的时间小于1s。</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二、资格条件</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2"/>
        <w:gridCol w:w="7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pct"/>
            <w:vAlign w:val="center"/>
          </w:tcPr>
          <w:p>
            <w:pPr>
              <w:numPr>
                <w:ilvl w:val="0"/>
                <w:numId w:val="0"/>
              </w:numPr>
              <w:jc w:val="center"/>
              <w:rPr>
                <w:rFonts w:hint="default" w:ascii="Times New Roman" w:hAnsi="Times New Roman" w:cs="Times New Roman"/>
                <w:b/>
                <w:bCs/>
                <w:i w:val="0"/>
                <w:iCs w:val="0"/>
                <w:sz w:val="21"/>
                <w:szCs w:val="21"/>
                <w:vertAlign w:val="baseline"/>
                <w:lang w:val="en-US" w:eastAsia="zh-CN"/>
              </w:rPr>
            </w:pPr>
            <w:r>
              <w:rPr>
                <w:rFonts w:hint="default" w:ascii="Times New Roman" w:hAnsi="Times New Roman" w:cs="Times New Roman"/>
                <w:b/>
                <w:bCs/>
                <w:i w:val="0"/>
                <w:iCs w:val="0"/>
                <w:sz w:val="21"/>
                <w:szCs w:val="21"/>
                <w:vertAlign w:val="baseline"/>
                <w:lang w:val="en-US" w:eastAsia="zh-CN"/>
              </w:rPr>
              <w:t>序号</w:t>
            </w:r>
          </w:p>
        </w:tc>
        <w:tc>
          <w:tcPr>
            <w:tcW w:w="4141" w:type="pct"/>
            <w:vAlign w:val="center"/>
          </w:tcPr>
          <w:p>
            <w:pPr>
              <w:numPr>
                <w:ilvl w:val="0"/>
                <w:numId w:val="0"/>
              </w:numPr>
              <w:jc w:val="center"/>
              <w:rPr>
                <w:rFonts w:hint="default" w:ascii="Times New Roman" w:hAnsi="Times New Roman" w:cs="Times New Roman"/>
                <w:b/>
                <w:bCs/>
                <w:i w:val="0"/>
                <w:iCs w:val="0"/>
                <w:sz w:val="21"/>
                <w:szCs w:val="21"/>
                <w:vertAlign w:val="baseline"/>
                <w:lang w:val="en-US" w:eastAsia="zh-CN"/>
              </w:rPr>
            </w:pPr>
            <w:r>
              <w:rPr>
                <w:rFonts w:hint="default" w:ascii="Times New Roman" w:hAnsi="Times New Roman" w:cs="Times New Roman"/>
                <w:b/>
                <w:bCs/>
                <w:i w:val="0"/>
                <w:iCs w:val="0"/>
                <w:sz w:val="21"/>
                <w:szCs w:val="21"/>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pct"/>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1</w:t>
            </w:r>
          </w:p>
        </w:tc>
        <w:tc>
          <w:tcPr>
            <w:tcW w:w="4141" w:type="pct"/>
            <w:vAlign w:val="center"/>
          </w:tcPr>
          <w:p>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pct"/>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2</w:t>
            </w:r>
          </w:p>
        </w:tc>
        <w:tc>
          <w:tcPr>
            <w:tcW w:w="4141" w:type="pct"/>
            <w:vAlign w:val="center"/>
          </w:tcPr>
          <w:p>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858" w:type="pct"/>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3</w:t>
            </w:r>
          </w:p>
        </w:tc>
        <w:tc>
          <w:tcPr>
            <w:tcW w:w="4141" w:type="pct"/>
            <w:vAlign w:val="center"/>
          </w:tcPr>
          <w:p>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报价单位没有被中国南方电网有限责任公司暂停或取消其投标资格的。</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三、成交办法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根据满足资格条件的各家单位有效报价，选择报价最低者为成交对象。</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center" w:pos="4213"/>
        <w:tab w:val="left" w:pos="5762"/>
      </w:tabs>
      <w:jc w:val="lef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jc w:val="center"/>
                            <w:rPr>
                              <w:rFonts w:hint="default" w:ascii="Times New Roman" w:hAnsi="Times New Roman" w:cs="Times New Roman"/>
                            </w:rPr>
                          </w:pPr>
                          <w:r>
                            <w:rPr>
                              <w:rFonts w:hint="default" w:ascii="Times New Roman" w:hAnsi="Times New Roman" w:cs="Times New Roman"/>
                            </w:rPr>
                            <w:t xml:space="preserve">第 </w:t>
                          </w: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rPr>
                            <w:t xml:space="preserve"> 页 共 </w:t>
                          </w:r>
                          <w:r>
                            <w:rPr>
                              <w:rFonts w:hint="default" w:ascii="Times New Roman" w:hAnsi="Times New Roman" w:cs="Times New Roman"/>
                            </w:rPr>
                            <w:fldChar w:fldCharType="begin"/>
                          </w:r>
                          <w:r>
                            <w:rPr>
                              <w:rFonts w:hint="default" w:ascii="Times New Roman" w:hAnsi="Times New Roman" w:cs="Times New Roman"/>
                            </w:rPr>
                            <w:instrText xml:space="preserve"> NUMPAGES  \* MERGEFORMAT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jc w:val="center"/>
                      <w:rPr>
                        <w:rFonts w:hint="default" w:ascii="Times New Roman" w:hAnsi="Times New Roman" w:cs="Times New Roman"/>
                      </w:rPr>
                    </w:pPr>
                    <w:r>
                      <w:rPr>
                        <w:rFonts w:hint="default" w:ascii="Times New Roman" w:hAnsi="Times New Roman" w:cs="Times New Roman"/>
                      </w:rPr>
                      <w:t xml:space="preserve">第 </w:t>
                    </w: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rPr>
                      <w:t xml:space="preserve"> 页 共 </w:t>
                    </w:r>
                    <w:r>
                      <w:rPr>
                        <w:rFonts w:hint="default" w:ascii="Times New Roman" w:hAnsi="Times New Roman" w:cs="Times New Roman"/>
                      </w:rPr>
                      <w:fldChar w:fldCharType="begin"/>
                    </w:r>
                    <w:r>
                      <w:rPr>
                        <w:rFonts w:hint="default" w:ascii="Times New Roman" w:hAnsi="Times New Roman" w:cs="Times New Roman"/>
                      </w:rPr>
                      <w:instrText xml:space="preserve"> NUMPAGES  \* MERGEFORMAT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rPr>
                      <w:t xml:space="preserve"> 页</w:t>
                    </w:r>
                  </w:p>
                </w:txbxContent>
              </v:textbox>
            </v:shape>
          </w:pict>
        </mc:Fallback>
      </mc:AlternateContent>
    </w:r>
    <w:r>
      <w:rPr>
        <w:rFonts w:hint="eastAsia"/>
        <w:sz w:val="18"/>
        <w:lang w:eastAsia="zh-CN"/>
      </w:rPr>
      <w:tab/>
    </w:r>
    <w:r>
      <w:rPr>
        <w:rFonts w:hint="eastAsia"/>
        <w:lang w:eastAsia="zh-CN"/>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0CD67C"/>
    <w:multiLevelType w:val="multilevel"/>
    <w:tmpl w:val="EA0CD67C"/>
    <w:lvl w:ilvl="0" w:tentative="0">
      <w:start w:val="1"/>
      <w:numFmt w:val="decimal"/>
      <w:pStyle w:val="2"/>
      <w:suff w:val="space"/>
      <w:lvlText w:val="%1"/>
      <w:lvlJc w:val="left"/>
      <w:pPr>
        <w:tabs>
          <w:tab w:val="left" w:pos="420"/>
        </w:tabs>
        <w:ind w:left="0" w:leftChars="0" w:firstLine="0" w:firstLineChars="0"/>
      </w:pPr>
      <w:rPr>
        <w:rFonts w:hint="default"/>
      </w:rPr>
    </w:lvl>
    <w:lvl w:ilvl="1" w:tentative="0">
      <w:start w:val="1"/>
      <w:numFmt w:val="decimal"/>
      <w:suff w:val="space"/>
      <w:lvlText w:val="%1.%2"/>
      <w:lvlJc w:val="left"/>
      <w:pPr>
        <w:tabs>
          <w:tab w:val="left" w:pos="420"/>
        </w:tabs>
        <w:ind w:left="0" w:leftChars="0" w:firstLine="0" w:firstLineChars="0"/>
      </w:pPr>
      <w:rPr>
        <w:rFonts w:hint="default" w:ascii="Times New Roman" w:hAnsi="Times New Roman" w:cs="Times New Roman"/>
        <w:b w:val="0"/>
        <w:bCs w:val="0"/>
      </w:rPr>
    </w:lvl>
    <w:lvl w:ilvl="2" w:tentative="0">
      <w:start w:val="1"/>
      <w:numFmt w:val="decimal"/>
      <w:suff w:val="space"/>
      <w:lvlText w:val="%1.%2.%3"/>
      <w:lvlJc w:val="left"/>
      <w:pPr>
        <w:tabs>
          <w:tab w:val="left" w:pos="420"/>
        </w:tabs>
        <w:ind w:left="0" w:leftChars="0" w:firstLine="0" w:firstLineChars="0"/>
      </w:pPr>
      <w:rPr>
        <w:rFonts w:hint="default"/>
      </w:rPr>
    </w:lvl>
    <w:lvl w:ilvl="3" w:tentative="0">
      <w:start w:val="1"/>
      <w:numFmt w:val="decimal"/>
      <w:suff w:val="space"/>
      <w:lvlText w:val="%1.%2.%3.%4"/>
      <w:lvlJc w:val="left"/>
      <w:pPr>
        <w:tabs>
          <w:tab w:val="left" w:pos="0"/>
        </w:tabs>
        <w:ind w:left="0" w:leftChars="0" w:firstLine="0" w:firstLineChars="0"/>
      </w:pPr>
      <w:rPr>
        <w:rFonts w:hint="default"/>
      </w:rPr>
    </w:lvl>
    <w:lvl w:ilvl="4" w:tentative="0">
      <w:start w:val="1"/>
      <w:numFmt w:val="decimal"/>
      <w:suff w:val="space"/>
      <w:lvlText w:val="%1.%2.%3.%4.%5"/>
      <w:lvlJc w:val="left"/>
      <w:pPr>
        <w:tabs>
          <w:tab w:val="left" w:pos="420"/>
        </w:tabs>
        <w:ind w:left="0" w:leftChars="0" w:firstLine="0" w:firstLineChars="0"/>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kN2RhMTBjZjk5ZWUwNDcxMmY4NjQxMGE2YmFhYzkifQ=="/>
  </w:docVars>
  <w:rsids>
    <w:rsidRoot w:val="00000000"/>
    <w:rsid w:val="002410F1"/>
    <w:rsid w:val="0157090D"/>
    <w:rsid w:val="045E36B4"/>
    <w:rsid w:val="05790131"/>
    <w:rsid w:val="06492205"/>
    <w:rsid w:val="06BA455D"/>
    <w:rsid w:val="07322DB8"/>
    <w:rsid w:val="07C547E0"/>
    <w:rsid w:val="080B2B96"/>
    <w:rsid w:val="0AB72F07"/>
    <w:rsid w:val="0C20729A"/>
    <w:rsid w:val="0C5F0398"/>
    <w:rsid w:val="0D303650"/>
    <w:rsid w:val="10E072B6"/>
    <w:rsid w:val="11A2121C"/>
    <w:rsid w:val="11FE6CC8"/>
    <w:rsid w:val="161F47DC"/>
    <w:rsid w:val="17306175"/>
    <w:rsid w:val="17ED6FE7"/>
    <w:rsid w:val="1BE557D8"/>
    <w:rsid w:val="1FB976E5"/>
    <w:rsid w:val="207451CF"/>
    <w:rsid w:val="207B4D9D"/>
    <w:rsid w:val="20E022B8"/>
    <w:rsid w:val="23425571"/>
    <w:rsid w:val="256C2A6E"/>
    <w:rsid w:val="269313E0"/>
    <w:rsid w:val="278F1A94"/>
    <w:rsid w:val="27A85F06"/>
    <w:rsid w:val="28F43C01"/>
    <w:rsid w:val="297A3B85"/>
    <w:rsid w:val="29E275F5"/>
    <w:rsid w:val="2A407E3E"/>
    <w:rsid w:val="2BA430FE"/>
    <w:rsid w:val="2C8B5ED0"/>
    <w:rsid w:val="314618C4"/>
    <w:rsid w:val="317851AD"/>
    <w:rsid w:val="319A122D"/>
    <w:rsid w:val="3309743E"/>
    <w:rsid w:val="3922542B"/>
    <w:rsid w:val="3B800BCA"/>
    <w:rsid w:val="3D74650C"/>
    <w:rsid w:val="434D5DE5"/>
    <w:rsid w:val="44333F20"/>
    <w:rsid w:val="475B3D7D"/>
    <w:rsid w:val="476E61BD"/>
    <w:rsid w:val="4ADF24EA"/>
    <w:rsid w:val="4CB26265"/>
    <w:rsid w:val="4D693233"/>
    <w:rsid w:val="52440740"/>
    <w:rsid w:val="52FE4D9E"/>
    <w:rsid w:val="55CC1183"/>
    <w:rsid w:val="573F7E85"/>
    <w:rsid w:val="58322343"/>
    <w:rsid w:val="5A9F7C3A"/>
    <w:rsid w:val="5B5163B3"/>
    <w:rsid w:val="5C2A09B2"/>
    <w:rsid w:val="6187771D"/>
    <w:rsid w:val="634269BB"/>
    <w:rsid w:val="671276FC"/>
    <w:rsid w:val="683A3579"/>
    <w:rsid w:val="68926F62"/>
    <w:rsid w:val="695D79E5"/>
    <w:rsid w:val="6F620696"/>
    <w:rsid w:val="73D62E1B"/>
    <w:rsid w:val="749560E7"/>
    <w:rsid w:val="773C2BBC"/>
    <w:rsid w:val="78424C0F"/>
    <w:rsid w:val="78E2000A"/>
    <w:rsid w:val="799A7DA0"/>
    <w:rsid w:val="7B0619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3"/>
    <w:qFormat/>
    <w:uiPriority w:val="0"/>
    <w:pPr>
      <w:keepNext/>
      <w:keepLines/>
      <w:numPr>
        <w:ilvl w:val="0"/>
        <w:numId w:val="1"/>
      </w:numPr>
      <w:spacing w:beforeLines="0" w:afterLines="0"/>
      <w:ind w:firstLine="0" w:firstLineChars="0"/>
      <w:outlineLvl w:val="0"/>
    </w:pPr>
    <w:rPr>
      <w:rFonts w:eastAsia="黑体"/>
      <w:kern w:val="44"/>
      <w:sz w:val="28"/>
      <w:lang w:val="en-US" w:eastAsia="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99"/>
    <w:pPr>
      <w:jc w:val="both"/>
    </w:pPr>
    <w:rPr>
      <w:rFonts w:ascii="Times New Roman" w:hAnsi="Times New Roman" w:eastAsia="宋体"/>
    </w:rPr>
  </w:style>
  <w:style w:type="paragraph" w:styleId="4">
    <w:name w:val="annotation text"/>
    <w:basedOn w:val="1"/>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表格内容"/>
    <w:basedOn w:val="1"/>
    <w:qFormat/>
    <w:uiPriority w:val="0"/>
    <w:pPr>
      <w:widowControl/>
      <w:spacing w:line="240" w:lineRule="auto"/>
      <w:ind w:firstLine="0" w:firstLineChars="0"/>
      <w:jc w:val="center"/>
    </w:pPr>
    <w:rPr>
      <w:rFonts w:ascii="Times New Roman" w:hAnsi="Times New Roman"/>
      <w:bCs/>
      <w:kern w:val="0"/>
      <w:sz w:val="21"/>
      <w:szCs w:val="21"/>
    </w:rPr>
  </w:style>
  <w:style w:type="paragraph" w:customStyle="1" w:styleId="11">
    <w:name w:val="表格文本"/>
    <w:basedOn w:val="1"/>
    <w:qFormat/>
    <w:uiPriority w:val="0"/>
    <w:pPr>
      <w:tabs>
        <w:tab w:val="decimal" w:pos="0"/>
      </w:tabs>
      <w:autoSpaceDE w:val="0"/>
      <w:autoSpaceDN w:val="0"/>
      <w:adjustRightInd w:val="0"/>
      <w:jc w:val="left"/>
    </w:pPr>
    <w:rPr>
      <w:kern w:val="0"/>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1698</Words>
  <Characters>1761</Characters>
  <Lines>0</Lines>
  <Paragraphs>0</Paragraphs>
  <TotalTime>31</TotalTime>
  <ScaleCrop>false</ScaleCrop>
  <LinksUpToDate>false</LinksUpToDate>
  <CharactersWithSpaces>1763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2021-06-16T09:00:00Z</dcterms:created>
  <dc:creator>linxiaoming</dc:creator>
  <cp:lastModifiedBy>曹望璋</cp:lastModifiedBy>
  <dcterms:modified xsi:type="dcterms:W3CDTF">2026-05-12T07:02:34Z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09EDC8A027B74D25AB05EF3012500E04</vt:lpwstr>
  </property>
  <property fmtid="{D5CDD505-2E9C-101B-9397-08002B2CF9AE}" pid="4" name="KSOTemplateDocerSaveRecord">
    <vt:lpwstr>eyJoZGlkIjoiMmU2MmNmNDZkYTgyNDE2OWFhNTY4ZjQxMTcyYzIyM2EiLCJ1c2VySWQiOiI1ODU5MzI3MTkifQ==</vt:lpwstr>
  </property>
</Properties>
</file>