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rPr>
      </w:pPr>
      <w:bookmarkStart w:id="4" w:name="_GoBack"/>
      <w:bookmarkEnd w:id="4"/>
      <w:r>
        <w:rPr>
          <w:color w:val="auto"/>
        </w:rPr>
        <w:drawing>
          <wp:anchor distT="0" distB="0" distL="114300" distR="114300" simplePos="0" relativeHeight="251659264" behindDoc="1" locked="0" layoutInCell="1" allowOverlap="1">
            <wp:simplePos x="0" y="0"/>
            <wp:positionH relativeFrom="page">
              <wp:posOffset>-86995</wp:posOffset>
            </wp:positionH>
            <wp:positionV relativeFrom="paragraph">
              <wp:posOffset>-915035</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rPr>
        <w:drawing>
          <wp:anchor distT="0" distB="0" distL="114300" distR="114300" simplePos="0" relativeHeight="251660288" behindDoc="0" locked="0" layoutInCell="1" allowOverlap="1">
            <wp:simplePos x="0" y="0"/>
            <wp:positionH relativeFrom="page">
              <wp:posOffset>342900</wp:posOffset>
            </wp:positionH>
            <wp:positionV relativeFrom="paragraph">
              <wp:posOffset>827405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rPr>
          <w:rFonts w:ascii="宋体" w:hAnsi="宋体"/>
          <w:color w:val="auto"/>
        </w:rPr>
      </w:pPr>
    </w:p>
    <w:p>
      <w:pPr>
        <w:widowControl/>
        <w:spacing w:beforeAutospacing="1" w:afterAutospacing="1"/>
        <w:jc w:val="left"/>
        <w:rPr>
          <w:rFonts w:ascii="宋体" w:hAnsi="宋体"/>
          <w:color w:val="auto"/>
        </w:rPr>
        <w:sectPr>
          <w:footerReference r:id="rId3" w:type="default"/>
          <w:pgSz w:w="11906" w:h="16838"/>
          <w:pgMar w:top="1440" w:right="1800" w:bottom="1440" w:left="1800" w:header="0" w:footer="0" w:gutter="0"/>
          <w:pgNumType w:start="0"/>
          <w:cols w:space="720" w:num="1"/>
          <w:titlePg/>
          <w:docGrid w:type="lines" w:linePitch="312" w:charSpace="0"/>
        </w:sectPr>
      </w:pPr>
      <w:r>
        <w:rPr>
          <w:color w:val="auto"/>
        </w:rPr>
        <mc:AlternateContent>
          <mc:Choice Requires="wps">
            <w:drawing>
              <wp:anchor distT="0" distB="0" distL="114300" distR="114300" simplePos="0" relativeHeight="251661312" behindDoc="0" locked="0" layoutInCell="1" allowOverlap="1">
                <wp:simplePos x="0" y="0"/>
                <wp:positionH relativeFrom="margin">
                  <wp:posOffset>-1029970</wp:posOffset>
                </wp:positionH>
                <wp:positionV relativeFrom="paragraph">
                  <wp:posOffset>3775710</wp:posOffset>
                </wp:positionV>
                <wp:extent cx="6304280"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81.1pt;margin-top:297.3pt;height:98.15pt;width:496.4pt;mso-position-horizontal-relative:margin;z-index:251661312;mso-width-relative:page;mso-height-relative:page;" filled="f" stroked="f" coordsize="21600,21600" o:gfxdata="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SdipE2QAA&#10;AAwBAAAPAAAAAAAAAAEAIAAAACIAAABkcnMvZG93bnJldi54bWxQSwECFAAUAAAACACHTuJA6a22&#10;NB0CAAAkBAAADgAAAAAAAAABACAAAAAoAQAAZHJzL2Uyb0RvYy54bWxQSwUGAAAAAAYABgBZAQAA&#10;twU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v:textbox>
              </v:shape>
            </w:pict>
          </mc:Fallback>
        </mc:AlternateContent>
      </w:r>
    </w:p>
    <w:p>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rPr>
        <w:t>超高压输电公司昆明局2026年楚雄站换流阀阳极电抗器内部水嘴零星采购项目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根据换流阀检修试验规程要求，楚雄换流站阳极电抗器内部EPDM材质密封圈已经超过使用年限需更换。在更换密封圈时，电抗器内部水嘴容易滑牙导致损坏，一个阀厅大约需要准备35个水嘴备件。楚雄换流站还有三个阀厅未进行电抗器密封圈更换，因此需要购买115个内部水嘴用于密封圈更换工作（考虑10个裕度）。</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i/>
          <w:color w:val="auto"/>
          <w:sz w:val="28"/>
          <w:szCs w:val="28"/>
          <w:highlight w:val="none"/>
          <w:u w:val="single"/>
          <w:lang w:val="en-US"/>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eastAsia="宋体" w:cs="宋体"/>
          <w:color w:val="auto"/>
          <w:sz w:val="28"/>
          <w:szCs w:val="28"/>
          <w:highlight w:val="none"/>
          <w:lang w:val="en-US" w:eastAsia="zh-CN"/>
        </w:rPr>
        <w:t>昆明局2026年1月份生产域零星采购项目专业立项审查会议纪要〔2026/专3号〕。</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1.3</w:t>
      </w:r>
      <w:r>
        <w:rPr>
          <w:rFonts w:hint="eastAsia" w:ascii="宋体" w:hAnsi="宋体" w:eastAsia="宋体" w:cs="宋体"/>
          <w:color w:val="auto"/>
          <w:sz w:val="28"/>
          <w:szCs w:val="28"/>
          <w:highlight w:val="none"/>
        </w:rPr>
        <w:t>项目最高限价</w:t>
      </w:r>
      <w:r>
        <w:rPr>
          <w:rFonts w:hint="eastAsia" w:ascii="宋体" w:hAnsi="宋体" w:eastAsia="宋体" w:cs="宋体"/>
          <w:color w:val="auto"/>
          <w:sz w:val="28"/>
          <w:szCs w:val="28"/>
          <w:highlight w:val="none"/>
          <w:lang w:eastAsia="zh-CN"/>
        </w:rPr>
        <w:t>（一般不超概算）</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4</w:t>
      </w:r>
      <w:r>
        <w:rPr>
          <w:rFonts w:hint="default" w:ascii="宋体" w:hAnsi="宋体" w:cs="宋体"/>
          <w:color w:val="auto"/>
          <w:sz w:val="28"/>
          <w:szCs w:val="28"/>
          <w:highlight w:val="none"/>
          <w:u w:val="single"/>
          <w:lang w:val="en-US"/>
        </w:rPr>
        <w:t>.</w:t>
      </w:r>
      <w:r>
        <w:rPr>
          <w:rFonts w:hint="eastAsia" w:ascii="宋体" w:hAnsi="宋体" w:eastAsia="宋体" w:cs="宋体"/>
          <w:color w:val="auto"/>
          <w:sz w:val="28"/>
          <w:szCs w:val="28"/>
          <w:highlight w:val="none"/>
          <w:u w:val="single"/>
        </w:rPr>
        <w:t>791705</w:t>
      </w:r>
      <w:r>
        <w:rPr>
          <w:rFonts w:hint="eastAsia" w:ascii="宋体" w:hAnsi="宋体" w:eastAsia="宋体" w:cs="宋体"/>
          <w:color w:val="auto"/>
          <w:sz w:val="28"/>
          <w:szCs w:val="28"/>
          <w:highlight w:val="none"/>
        </w:rPr>
        <w:t>万元。</w:t>
      </w:r>
    </w:p>
    <w:p>
      <w:pPr>
        <w:adjustRightInd w:val="0"/>
        <w:snapToGrid w:val="0"/>
        <w:spacing w:before="156" w:beforeLines="50" w:line="360" w:lineRule="auto"/>
        <w:outlineLvl w:val="0"/>
        <w:rPr>
          <w:rFonts w:hint="eastAsia" w:eastAsia="宋体"/>
          <w:b/>
          <w:color w:val="auto"/>
          <w:sz w:val="28"/>
          <w:szCs w:val="28"/>
          <w:lang w:val="en-US" w:eastAsia="zh-CN"/>
        </w:rPr>
      </w:pPr>
      <w:r>
        <w:rPr>
          <w:rFonts w:hint="eastAsia"/>
          <w:b/>
          <w:color w:val="auto"/>
          <w:sz w:val="28"/>
          <w:szCs w:val="28"/>
        </w:rPr>
        <w:t>二、</w:t>
      </w:r>
      <w:bookmarkEnd w:id="1"/>
      <w:r>
        <w:rPr>
          <w:rFonts w:hint="eastAsia"/>
          <w:b/>
          <w:color w:val="auto"/>
          <w:sz w:val="28"/>
          <w:szCs w:val="28"/>
        </w:rPr>
        <w:t>项目实施内容及要求</w:t>
      </w:r>
    </w:p>
    <w:bookmarkEnd w:id="0"/>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none"/>
          <w:lang w:val="en-US" w:eastAsia="zh-CN"/>
        </w:rPr>
      </w:pPr>
      <w:bookmarkStart w:id="2" w:name="_Toc349031731"/>
      <w:r>
        <w:rPr>
          <w:rFonts w:hint="eastAsia" w:ascii="宋体" w:hAnsi="宋体" w:eastAsia="宋体" w:cs="宋体"/>
          <w:color w:val="auto"/>
          <w:sz w:val="28"/>
          <w:szCs w:val="28"/>
          <w:highlight w:val="none"/>
          <w:lang w:val="en-US" w:eastAsia="zh-CN"/>
        </w:rPr>
        <w:t>2.1实施内容：采购楚雄站换流阀阀塔阳极电抗器内部水嘴115个。</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u w:val="single"/>
          <w:lang w:val="en-US" w:eastAsia="zh-CN"/>
        </w:rPr>
      </w:pPr>
      <w:r>
        <w:rPr>
          <w:rFonts w:hint="eastAsia" w:ascii="宋体" w:hAnsi="宋体" w:eastAsia="宋体" w:cs="宋体"/>
          <w:b w:val="0"/>
          <w:bCs/>
          <w:color w:val="auto"/>
          <w:sz w:val="28"/>
          <w:szCs w:val="28"/>
          <w:highlight w:val="none"/>
          <w:lang w:val="en-US" w:eastAsia="zh-CN"/>
        </w:rPr>
        <w:t>2.2时间要求：</w:t>
      </w:r>
      <w:r>
        <w:rPr>
          <w:rFonts w:hint="default" w:ascii="宋体" w:hAnsi="宋体" w:cs="宋体"/>
          <w:b w:val="0"/>
          <w:bCs/>
          <w:color w:val="auto"/>
          <w:sz w:val="28"/>
          <w:szCs w:val="28"/>
          <w:highlight w:val="none"/>
          <w:u w:val="single"/>
          <w:lang w:val="en-US" w:eastAsia="zh-CN"/>
        </w:rPr>
        <w:t>2026</w:t>
      </w:r>
      <w:r>
        <w:rPr>
          <w:rFonts w:hint="eastAsia" w:ascii="宋体" w:hAnsi="宋体" w:eastAsia="宋体" w:cs="宋体"/>
          <w:b w:val="0"/>
          <w:bCs/>
          <w:color w:val="auto"/>
          <w:sz w:val="28"/>
          <w:szCs w:val="28"/>
          <w:highlight w:val="none"/>
          <w:u w:val="single"/>
          <w:lang w:val="en-US" w:eastAsia="zh-CN"/>
        </w:rPr>
        <w:t>年</w:t>
      </w:r>
      <w:r>
        <w:rPr>
          <w:rFonts w:hint="default" w:ascii="宋体" w:hAnsi="宋体" w:cs="宋体"/>
          <w:b w:val="0"/>
          <w:bCs/>
          <w:color w:val="auto"/>
          <w:sz w:val="28"/>
          <w:szCs w:val="28"/>
          <w:highlight w:val="none"/>
          <w:u w:val="single"/>
          <w:lang w:val="en-US" w:eastAsia="zh-CN"/>
        </w:rPr>
        <w:t>11</w:t>
      </w:r>
      <w:r>
        <w:rPr>
          <w:rFonts w:hint="eastAsia" w:ascii="宋体" w:hAnsi="宋体" w:eastAsia="宋体" w:cs="宋体"/>
          <w:b w:val="0"/>
          <w:bCs/>
          <w:color w:val="auto"/>
          <w:sz w:val="28"/>
          <w:szCs w:val="28"/>
          <w:highlight w:val="none"/>
          <w:u w:val="single"/>
          <w:lang w:val="en-US" w:eastAsia="zh-CN"/>
        </w:rPr>
        <w:t>月</w:t>
      </w:r>
      <w:r>
        <w:rPr>
          <w:rFonts w:hint="default" w:ascii="宋体" w:hAnsi="宋体" w:cs="宋体"/>
          <w:b w:val="0"/>
          <w:bCs/>
          <w:color w:val="auto"/>
          <w:sz w:val="28"/>
          <w:szCs w:val="28"/>
          <w:highlight w:val="none"/>
          <w:u w:val="single"/>
          <w:lang w:val="en-US" w:eastAsia="zh-CN"/>
        </w:rPr>
        <w:t>30</w:t>
      </w:r>
      <w:r>
        <w:rPr>
          <w:rFonts w:hint="eastAsia" w:ascii="宋体" w:hAnsi="宋体" w:eastAsia="宋体" w:cs="宋体"/>
          <w:b w:val="0"/>
          <w:bCs/>
          <w:color w:val="auto"/>
          <w:sz w:val="28"/>
          <w:szCs w:val="28"/>
          <w:highlight w:val="none"/>
          <w:u w:val="single"/>
          <w:lang w:val="en-US" w:eastAsia="zh-CN"/>
        </w:rPr>
        <w:t>日前到货，若定标时间晚于到货时间，到货时间双方协商后调整</w:t>
      </w:r>
      <w:r>
        <w:rPr>
          <w:rFonts w:hint="eastAsia" w:ascii="宋体" w:hAnsi="宋体" w:cs="宋体"/>
          <w:b w:val="0"/>
          <w:bCs/>
          <w:color w:val="auto"/>
          <w:sz w:val="28"/>
          <w:szCs w:val="28"/>
          <w:highlight w:val="none"/>
          <w:u w:val="single"/>
          <w:lang w:val="en-US" w:eastAsia="zh-CN"/>
        </w:rPr>
        <w:t>，以双方函件为准</w:t>
      </w:r>
      <w:r>
        <w:rPr>
          <w:rFonts w:hint="eastAsia" w:ascii="宋体" w:hAnsi="宋体" w:eastAsia="宋体" w:cs="宋体"/>
          <w:b w:val="0"/>
          <w:bCs/>
          <w:color w:val="auto"/>
          <w:sz w:val="28"/>
          <w:szCs w:val="28"/>
          <w:highlight w:val="none"/>
          <w:u w:val="singl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2.3到货地点：</w:t>
      </w:r>
      <w:r>
        <w:rPr>
          <w:rFonts w:hint="eastAsia" w:ascii="宋体" w:hAnsi="宋体" w:cs="宋体"/>
          <w:color w:val="auto"/>
          <w:sz w:val="28"/>
          <w:szCs w:val="28"/>
          <w:highlight w:val="none"/>
          <w:u w:val="single"/>
          <w:lang w:val="en-US" w:eastAsia="zh-CN"/>
        </w:rPr>
        <w:t>云南省昆明市官渡区玉缘路21号超高压昆明局</w:t>
      </w:r>
      <w:r>
        <w:rPr>
          <w:rFonts w:hint="eastAsia" w:ascii="宋体" w:hAnsi="宋体" w:eastAsia="宋体" w:cs="宋体"/>
          <w:b w:val="0"/>
          <w:bCs/>
          <w:color w:val="auto"/>
          <w:sz w:val="28"/>
          <w:szCs w:val="28"/>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2.4其他要求：</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cs="宋体"/>
          <w:b w:val="0"/>
          <w:bCs/>
          <w:color w:val="auto"/>
          <w:sz w:val="28"/>
          <w:szCs w:val="28"/>
          <w:highlight w:val="none"/>
          <w:u w:val="single"/>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2.5采购</w:t>
      </w:r>
      <w:r>
        <w:rPr>
          <w:rFonts w:hint="eastAsia" w:ascii="宋体" w:hAnsi="宋体" w:cs="宋体"/>
          <w:b w:val="0"/>
          <w:bCs/>
          <w:color w:val="auto"/>
          <w:sz w:val="28"/>
          <w:szCs w:val="28"/>
          <w:highlight w:val="none"/>
          <w:lang w:val="en-US" w:eastAsia="zh-CN"/>
        </w:rPr>
        <w:t>明细详见“六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pStyle w:val="2"/>
        <w:rPr>
          <w:rFonts w:hint="eastAsia" w:ascii="宋体" w:hAnsi="宋体" w:eastAsia="宋体" w:cs="宋体"/>
          <w:b w:val="0"/>
          <w:bCs/>
          <w:color w:val="auto"/>
          <w:sz w:val="28"/>
          <w:szCs w:val="28"/>
          <w:highlight w:val="yellow"/>
          <w:lang w:val="en-US" w:eastAsia="zh-CN"/>
        </w:rPr>
      </w:pPr>
    </w:p>
    <w:p>
      <w:pPr>
        <w:pStyle w:val="3"/>
        <w:rPr>
          <w:rFonts w:hint="eastAsia" w:ascii="宋体" w:hAnsi="宋体" w:eastAsia="宋体" w:cs="宋体"/>
          <w:b w:val="0"/>
          <w:bCs/>
          <w:color w:val="auto"/>
          <w:sz w:val="28"/>
          <w:szCs w:val="28"/>
          <w:highlight w:val="yellow"/>
          <w:lang w:val="en-US" w:eastAsia="zh-CN"/>
        </w:rPr>
      </w:pPr>
    </w:p>
    <w:p>
      <w:pPr>
        <w:rPr>
          <w:rFonts w:hint="eastAsia"/>
          <w:color w:val="auto"/>
          <w:lang w:val="en-US" w:eastAsia="zh-CN"/>
        </w:rPr>
      </w:pPr>
    </w:p>
    <w:p>
      <w:pPr>
        <w:adjustRightInd w:val="0"/>
        <w:snapToGrid w:val="0"/>
        <w:spacing w:before="156" w:beforeLines="50" w:line="360" w:lineRule="auto"/>
        <w:outlineLvl w:val="0"/>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三、 </w:t>
      </w:r>
      <w:r>
        <w:rPr>
          <w:rFonts w:hint="eastAsia" w:ascii="Times New Roman" w:hAnsi="Times New Roman" w:eastAsia="宋体" w:cs="Times New Roman"/>
          <w:b/>
          <w:color w:val="auto"/>
          <w:sz w:val="28"/>
          <w:szCs w:val="28"/>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cs="Times New Roman"/>
                <w:b/>
                <w:bCs/>
                <w:color w:val="auto"/>
                <w:sz w:val="24"/>
                <w:highlight w:val="none"/>
                <w:vertAlign w:val="baseline"/>
                <w:lang w:val="en-US" w:eastAsia="zh-CN"/>
              </w:rPr>
            </w:pPr>
            <w:r>
              <w:rPr>
                <w:rFonts w:hint="eastAsia" w:ascii="宋体" w:hAnsi="宋体" w:cs="Times New Roman"/>
                <w:b/>
                <w:bCs/>
                <w:color w:val="auto"/>
                <w:sz w:val="24"/>
                <w:highlight w:val="none"/>
                <w:vertAlign w:val="baseline"/>
                <w:lang w:val="en-US" w:eastAsia="zh-CN"/>
              </w:rPr>
              <w:t>3.5</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宋体" w:hAnsi="宋体" w:eastAsia="宋体" w:cs="Times New Roman"/>
                <w:b/>
                <w:bCs/>
                <w:color w:val="auto"/>
                <w:sz w:val="24"/>
                <w:highlight w:val="none"/>
                <w:vertAlign w:val="baseline"/>
                <w:lang w:val="en-US" w:eastAsia="zh-CN"/>
              </w:rPr>
            </w:pPr>
            <w:r>
              <w:rPr>
                <w:rFonts w:hint="eastAsia" w:ascii="宋体" w:hAnsi="宋体" w:cs="Times New Roman"/>
                <w:b/>
                <w:bCs/>
                <w:color w:val="auto"/>
                <w:sz w:val="24"/>
                <w:highlight w:val="none"/>
                <w:vertAlign w:val="baseline"/>
                <w:lang w:val="en-US" w:eastAsia="zh-CN"/>
              </w:rPr>
              <w:t>具有高压直流输电工程换流阀备件供货业绩。</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w:t>
      </w:r>
      <w:r>
        <w:rPr>
          <w:rFonts w:hint="eastAsia" w:ascii="Times New Roman" w:hAnsi="Times New Roman" w:eastAsia="宋体" w:cs="Times New Roman"/>
          <w:b/>
          <w:color w:val="auto"/>
          <w:sz w:val="28"/>
          <w:szCs w:val="28"/>
          <w:highlight w:val="none"/>
        </w:rPr>
        <w:t>售后服务要求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w:t>
      </w:r>
      <w:r>
        <w:rPr>
          <w:rFonts w:hint="eastAsia" w:ascii="宋体" w:hAnsi="宋体" w:eastAsia="宋体" w:cs="宋体"/>
          <w:color w:val="auto"/>
          <w:sz w:val="28"/>
          <w:szCs w:val="28"/>
          <w:highlight w:val="none"/>
          <w:lang w:eastAsia="zh-CN"/>
        </w:rPr>
        <w:t>质量保证</w:t>
      </w:r>
      <w:r>
        <w:rPr>
          <w:rFonts w:hint="eastAsia" w:ascii="宋体" w:hAnsi="宋体" w:eastAsia="宋体" w:cs="宋体"/>
          <w:color w:val="auto"/>
          <w:sz w:val="28"/>
          <w:szCs w:val="28"/>
          <w:highlight w:val="none"/>
        </w:rPr>
        <w:t>及售后服务响应要求：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卖方应保证</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物的包装能满足长途运输、多次搬运、装卸、防潮、防震、防碎、箱内不留异物等各种包装要求，并按照</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货物的特点和需要分别加上防冲撞、防霉、防锈、防腐蚀、防冻、防盗的保护措施。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卖方用于</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物的包装材料，应符合国家相关环保标准；属应检验检疫的，应依法办理检验检疫手续并将相关资料移交给买方，否则，买方有权拒收。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卖方负责将</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运至</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约定的交货地点</w:t>
      </w:r>
      <w:r>
        <w:rPr>
          <w:rFonts w:hint="eastAsia" w:ascii="宋体" w:hAnsi="宋体" w:eastAsia="宋体" w:cs="宋体"/>
          <w:color w:val="auto"/>
          <w:sz w:val="28"/>
          <w:szCs w:val="28"/>
          <w:highlight w:val="none"/>
          <w:lang w:eastAsia="zh-CN"/>
        </w:rPr>
        <w:t>（另有约定除外）</w:t>
      </w:r>
      <w:r>
        <w:rPr>
          <w:rFonts w:hint="eastAsia" w:ascii="宋体" w:hAnsi="宋体" w:eastAsia="宋体" w:cs="宋体"/>
          <w:color w:val="auto"/>
          <w:sz w:val="28"/>
          <w:szCs w:val="28"/>
          <w:highlight w:val="none"/>
        </w:rPr>
        <w:t>并完成车板交货，在到货同时提交书面文件及电子文档。在货物送达后三日内，卖方应到货物交接地点办理交接手续。</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备妥发出前</w:t>
      </w:r>
      <w:r>
        <w:rPr>
          <w:rFonts w:hint="eastAsia" w:ascii="宋体" w:hAnsi="宋体" w:eastAsia="宋体" w:cs="宋体"/>
          <w:color w:val="auto"/>
          <w:sz w:val="28"/>
          <w:szCs w:val="28"/>
          <w:highlight w:val="none"/>
          <w:lang w:val="en-US" w:eastAsia="zh-CN"/>
        </w:rPr>
        <w:t>24小时</w:t>
      </w:r>
      <w:r>
        <w:rPr>
          <w:rFonts w:hint="eastAsia" w:ascii="宋体" w:hAnsi="宋体" w:eastAsia="宋体" w:cs="宋体"/>
          <w:color w:val="auto"/>
          <w:sz w:val="28"/>
          <w:szCs w:val="28"/>
          <w:highlight w:val="none"/>
        </w:rPr>
        <w:t>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买方有权对</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进行抽检和到货验收，卖方应积极配合并提供抽检所需的资料和必要条件。卖方人员未按时赶赴现场，买方自行实施或委托具备相应资质的检验机构做出的抽检结果或验收结果，卖方应认可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买方有权拒收</w:t>
      </w:r>
      <w:r>
        <w:rPr>
          <w:rFonts w:hint="eastAsia" w:ascii="宋体" w:hAnsi="宋体" w:eastAsia="宋体" w:cs="宋体"/>
          <w:color w:val="auto"/>
          <w:sz w:val="28"/>
          <w:szCs w:val="28"/>
          <w:highlight w:val="none"/>
          <w:lang w:eastAsia="zh-CN"/>
        </w:rPr>
        <w:t>验收不合格货物。</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的质量保证期和使用寿命应当符合国家标准或行业标准的要求。没有相关标准时，各类物资的质保期和使用寿命应当满足产品设计要求。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.7卖方完成本次投标活动视为接受并认可本采购文件所有条款。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val="en-US" w:eastAsia="zh-CN"/>
        </w:rPr>
        <w:t>4</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.8</w:t>
      </w:r>
      <w:r>
        <w:rPr>
          <w:rFonts w:hint="eastAsia" w:ascii="宋体" w:hAnsi="宋体" w:eastAsia="宋体" w:cs="宋体"/>
          <w:b w:val="0"/>
          <w:bCs w:val="0"/>
          <w:color w:val="auto"/>
          <w:sz w:val="28"/>
          <w:szCs w:val="28"/>
          <w:highlight w:val="none"/>
          <w:lang w:eastAsia="zh-CN"/>
        </w:rPr>
        <w:t>质保期自验收合格日期起计算，质保期为</w:t>
      </w:r>
      <w:r>
        <w:rPr>
          <w:rFonts w:hint="eastAsia" w:ascii="宋体" w:hAnsi="宋体" w:cs="宋体"/>
          <w:b w:val="0"/>
          <w:bCs w:val="0"/>
          <w:color w:val="auto"/>
          <w:sz w:val="28"/>
          <w:szCs w:val="28"/>
          <w:highlight w:val="none"/>
          <w:u w:val="single"/>
          <w:lang w:val="en-US" w:eastAsia="zh-CN"/>
        </w:rPr>
        <w:t>12</w:t>
      </w:r>
      <w:r>
        <w:rPr>
          <w:rFonts w:hint="eastAsia" w:ascii="宋体" w:hAnsi="宋体" w:eastAsia="宋体" w:cs="宋体"/>
          <w:b w:val="0"/>
          <w:bCs w:val="0"/>
          <w:color w:val="auto"/>
          <w:sz w:val="28"/>
          <w:szCs w:val="28"/>
          <w:highlight w:val="none"/>
          <w:lang w:val="en-US" w:eastAsia="zh-CN"/>
        </w:rPr>
        <w:t>个月。</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eastAsia="zh-CN"/>
        </w:rPr>
        <w:t>质保期内有任何质量问题将免费进行修理、更换；售后服</w:t>
      </w:r>
      <w:r>
        <w:rPr>
          <w:rFonts w:hint="eastAsia" w:ascii="宋体" w:hAnsi="宋体" w:eastAsia="宋体" w:cs="宋体"/>
          <w:color w:val="auto"/>
          <w:sz w:val="28"/>
          <w:szCs w:val="28"/>
          <w:highlight w:val="none"/>
          <w:lang w:val="en-US" w:eastAsia="zh-CN"/>
        </w:rPr>
        <w:t>务的响应时间在48小时内。</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left"/>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4.3.0</w:t>
      </w:r>
      <w:r>
        <w:rPr>
          <w:rFonts w:hint="eastAsia" w:ascii="宋体" w:hAnsi="宋体" w:eastAsia="宋体" w:cs="宋体"/>
          <w:color w:val="auto"/>
          <w:sz w:val="28"/>
          <w:szCs w:val="28"/>
          <w:highlight w:val="none"/>
          <w:u w:val="single"/>
          <w:lang w:val="en-US" w:eastAsia="zh-CN"/>
        </w:rPr>
        <w:t>其他要求：所采购的换流阀阀塔阳极电抗器内部水嘴应为全新产品且质量合格，型号为：SO 21124-6-1/8 OR</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
    <w:p>
      <w:pPr>
        <w:pStyle w:val="2"/>
        <w:rPr>
          <w:rFonts w:hint="default"/>
          <w:lang w:val="en-US" w:eastAsia="zh-CN"/>
        </w:rPr>
      </w:pPr>
    </w:p>
    <w:p>
      <w:pPr>
        <w:pStyle w:val="4"/>
        <w:pageBreakBefore w:val="0"/>
        <w:widowControl w:val="0"/>
        <w:numPr>
          <w:ilvl w:val="0"/>
          <w:numId w:val="0"/>
        </w:numPr>
        <w:kinsoku/>
        <w:wordWrap/>
        <w:overflowPunct/>
        <w:topLinePunct w:val="0"/>
        <w:autoSpaceDE/>
        <w:autoSpaceDN/>
        <w:bidi w:val="0"/>
        <w:spacing w:line="400" w:lineRule="exact"/>
        <w:textAlignment w:val="auto"/>
        <w:rPr>
          <w:rFonts w:hint="eastAsia" w:ascii="Times New Roman" w:hAnsi="Times New Roman" w:eastAsia="宋体" w:cs="Times New Roman"/>
          <w:b/>
          <w:bCs w:val="0"/>
          <w:color w:val="auto"/>
          <w:kern w:val="2"/>
          <w:sz w:val="28"/>
          <w:szCs w:val="28"/>
          <w:highlight w:val="none"/>
          <w:lang w:val="en-US" w:eastAsia="zh-CN" w:bidi="ar-SA"/>
        </w:rPr>
      </w:pPr>
      <w:r>
        <w:rPr>
          <w:rFonts w:hint="eastAsia" w:ascii="Times New Roman" w:hAnsi="Times New Roman" w:eastAsia="宋体" w:cs="Times New Roman"/>
          <w:b/>
          <w:color w:val="auto"/>
          <w:sz w:val="28"/>
          <w:szCs w:val="28"/>
          <w:highlight w:val="none"/>
          <w:lang w:val="en-US" w:eastAsia="zh-CN"/>
        </w:rPr>
        <w:t>五、</w:t>
      </w:r>
      <w:bookmarkEnd w:id="2"/>
      <w:bookmarkStart w:id="3" w:name="_Toc11675"/>
      <w:r>
        <w:rPr>
          <w:rFonts w:hint="eastAsia" w:ascii="Times New Roman" w:hAnsi="Times New Roman" w:eastAsia="宋体" w:cs="Times New Roman"/>
          <w:b/>
          <w:bCs w:val="0"/>
          <w:color w:val="auto"/>
          <w:kern w:val="2"/>
          <w:sz w:val="28"/>
          <w:szCs w:val="28"/>
          <w:highlight w:val="none"/>
          <w:lang w:val="en-US" w:eastAsia="zh-CN" w:bidi="ar-SA"/>
        </w:rPr>
        <w:t>违约责任</w:t>
      </w:r>
      <w:bookmarkEnd w:id="3"/>
    </w:p>
    <w:p>
      <w:pPr>
        <w:widowControl/>
        <w:snapToGrid w:val="0"/>
        <w:spacing w:line="240" w:lineRule="exact"/>
        <w:rPr>
          <w:b/>
          <w:color w:val="auto"/>
          <w:kern w:val="0"/>
          <w:sz w:val="24"/>
          <w:highlight w:val="none"/>
        </w:rPr>
      </w:pP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5.3卖方应妥善作好买方所提供的文件资料的保存、回收及保密工作，不得泄漏、传播与监造设备有关的技术秘密和商业秘密。造成损失由卖方承担。</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5.4卖方与买方若存在纠纷，应友好协商解决，若存在诉讼，应在买方所在地提起诉讼或仲裁。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5.6</w:t>
      </w:r>
      <w:r>
        <w:rPr>
          <w:rFonts w:hint="eastAsia" w:ascii="宋体" w:hAnsi="宋体" w:eastAsia="宋体" w:cs="宋体"/>
          <w:color w:val="auto"/>
          <w:sz w:val="28"/>
          <w:szCs w:val="28"/>
        </w:rPr>
        <w:t>合同货物质保期届满前，如发现卖方提供的货物有缺陷，不符合</w:t>
      </w:r>
      <w:r>
        <w:rPr>
          <w:rFonts w:hint="eastAsia" w:ascii="宋体" w:hAnsi="宋体" w:eastAsia="宋体" w:cs="宋体"/>
          <w:color w:val="auto"/>
          <w:sz w:val="28"/>
          <w:szCs w:val="28"/>
          <w:lang w:eastAsia="zh-CN"/>
        </w:rPr>
        <w:t>采购文件</w:t>
      </w:r>
      <w:r>
        <w:rPr>
          <w:rFonts w:hint="eastAsia" w:ascii="宋体" w:hAnsi="宋体" w:eastAsia="宋体" w:cs="宋体"/>
          <w:color w:val="auto"/>
          <w:sz w:val="28"/>
          <w:szCs w:val="28"/>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lang w:val="en-US" w:eastAsia="zh-CN"/>
        </w:rPr>
        <w:t>5.7</w:t>
      </w:r>
      <w:r>
        <w:rPr>
          <w:rFonts w:hint="eastAsia" w:ascii="宋体" w:hAnsi="宋体" w:eastAsia="宋体" w:cs="宋体"/>
          <w:color w:val="auto"/>
          <w:sz w:val="28"/>
          <w:szCs w:val="28"/>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lang w:val="en-US" w:eastAsia="zh-CN"/>
        </w:rPr>
        <w:t>买方有权单方面解除合同</w:t>
      </w:r>
      <w:r>
        <w:rPr>
          <w:rFonts w:hint="eastAsia" w:ascii="宋体" w:hAnsi="宋体" w:eastAsia="宋体" w:cs="宋体"/>
          <w:color w:val="auto"/>
          <w:sz w:val="28"/>
          <w:szCs w:val="28"/>
          <w:highlight w:val="none"/>
          <w:lang w:val="en-US" w:eastAsia="zh-CN"/>
        </w:rPr>
        <w:t>且不承担相关责任。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5.8其他责任</w:t>
      </w:r>
      <w:r>
        <w:rPr>
          <w:rFonts w:hint="eastAsia" w:ascii="宋体" w:hAnsi="宋体" w:cs="宋体"/>
          <w:color w:val="auto"/>
          <w:sz w:val="28"/>
          <w:szCs w:val="28"/>
          <w:highlight w:val="none"/>
          <w:u w:val="single"/>
          <w:lang w:val="en-US" w:eastAsia="zh-CN"/>
        </w:rPr>
        <w:t>：无。</w:t>
      </w:r>
    </w:p>
    <w:p>
      <w:pPr>
        <w:pStyle w:val="2"/>
        <w:rPr>
          <w:rFonts w:hint="eastAsia"/>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六、设备附图</w:t>
      </w:r>
      <w:r>
        <w:rPr>
          <w:rFonts w:hint="eastAsia" w:cs="Times New Roman"/>
          <w:b/>
          <w:color w:val="auto"/>
          <w:sz w:val="28"/>
          <w:szCs w:val="28"/>
          <w:highlight w:val="none"/>
          <w:lang w:val="en-US" w:eastAsia="zh-CN"/>
        </w:rPr>
        <w:t>及参数</w:t>
      </w:r>
      <w:r>
        <w:rPr>
          <w:rFonts w:hint="eastAsia" w:cs="Times New Roman"/>
          <w:b/>
          <w:color w:val="FF0000"/>
          <w:sz w:val="28"/>
          <w:szCs w:val="28"/>
          <w:highlight w:val="none"/>
          <w:lang w:val="en-US" w:eastAsia="zh-CN"/>
        </w:rPr>
        <w:t>、</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bCs/>
                <w:color w:val="auto"/>
                <w:kern w:val="0"/>
                <w:sz w:val="18"/>
                <w:szCs w:val="20"/>
                <w:highlight w:val="none"/>
                <w:lang w:val="en-US" w:eastAsia="zh-CN"/>
              </w:rPr>
            </w:pPr>
            <w:r>
              <w:rPr>
                <w:rFonts w:hint="eastAsia" w:ascii="宋体" w:hAnsi="宋体" w:eastAsia="宋体"/>
                <w:b/>
                <w:color w:val="auto"/>
                <w:kern w:val="0"/>
                <w:sz w:val="18"/>
                <w:szCs w:val="21"/>
                <w:highlight w:val="none"/>
                <w:lang w:eastAsia="zh-CN"/>
              </w:rPr>
              <w:t>型号</w:t>
            </w:r>
            <w:r>
              <w:rPr>
                <w:rFonts w:hint="eastAsia" w:ascii="宋体" w:hAnsi="宋体"/>
                <w:b/>
                <w:color w:val="auto"/>
                <w:kern w:val="0"/>
                <w:sz w:val="18"/>
                <w:szCs w:val="21"/>
                <w:highlight w:val="none"/>
                <w:lang w:val="en-US" w:eastAsia="zh-CN"/>
              </w:rPr>
              <w:t>及参数</w:t>
            </w:r>
          </w:p>
        </w:tc>
        <w:tc>
          <w:tcPr>
            <w:tcW w:w="373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lang w:val="en-US" w:eastAsia="zh-CN"/>
              </w:rPr>
              <w:t>阳极电抗器内部水嘴</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default" w:ascii="宋体" w:hAnsi="宋体" w:eastAsia="宋体" w:cs="宋体"/>
                <w:b/>
                <w:i w:val="0"/>
                <w:color w:val="auto"/>
                <w:kern w:val="0"/>
                <w:sz w:val="18"/>
                <w:szCs w:val="18"/>
                <w:highlight w:val="none"/>
                <w:u w:val="none"/>
                <w:lang w:val="en-US" w:eastAsia="zh-CN" w:bidi="ar"/>
              </w:rPr>
              <w:t>SO 21124-6-1/8 OR</w:t>
            </w:r>
          </w:p>
        </w:tc>
        <w:tc>
          <w:tcPr>
            <w:tcW w:w="373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drawing>
                <wp:inline distT="0" distB="0" distL="114300" distR="114300">
                  <wp:extent cx="2233930" cy="1348105"/>
                  <wp:effectExtent l="0" t="0" r="13970" b="4445"/>
                  <wp:docPr id="3" name="图片 1" descr="IMG_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3507"/>
                          <pic:cNvPicPr>
                            <a:picLocks noChangeAspect="1"/>
                          </pic:cNvPicPr>
                        </pic:nvPicPr>
                        <pic:blipFill>
                          <a:blip r:embed="rId9"/>
                          <a:stretch>
                            <a:fillRect/>
                          </a:stretch>
                        </pic:blipFill>
                        <pic:spPr>
                          <a:xfrm>
                            <a:off x="0" y="0"/>
                            <a:ext cx="2233930" cy="1348105"/>
                          </a:xfrm>
                          <a:prstGeom prst="rect">
                            <a:avLst/>
                          </a:prstGeom>
                          <a:noFill/>
                          <a:ln>
                            <a:noFill/>
                          </a:ln>
                        </pic:spPr>
                      </pic:pic>
                    </a:graphicData>
                  </a:graphic>
                </wp:inline>
              </w:drawing>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none"/>
                <w:lang w:val="en-US" w:eastAsia="zh-CN" w:bidi="ar-SA"/>
              </w:rPr>
            </w:pPr>
            <w:r>
              <w:rPr>
                <w:rFonts w:hint="eastAsia"/>
                <w:highlight w:val="none"/>
              </w:rPr>
              <w:t>所采购的换流阀阀塔阳极电抗器内部水嘴应为全新产品且质量合格</w:t>
            </w:r>
          </w:p>
        </w:tc>
      </w:tr>
    </w:tbl>
    <w:p>
      <w:pPr>
        <w:rPr>
          <w:rFonts w:hint="eastAsia"/>
          <w:color w:val="auto"/>
          <w:lang w:val="en-US" w:eastAsia="zh-CN"/>
        </w:rPr>
      </w:pPr>
    </w:p>
    <w:p>
      <w:pPr>
        <w:pStyle w:val="2"/>
        <w:rPr>
          <w:rFonts w:hint="eastAsia"/>
          <w:color w:val="auto"/>
          <w:lang w:val="en-US" w:eastAsia="zh-CN"/>
        </w:rPr>
      </w:pPr>
    </w:p>
    <w:p>
      <w:pPr>
        <w:pStyle w:val="2"/>
        <w:rPr>
          <w:rFonts w:hint="eastAsia"/>
          <w:color w:val="auto"/>
          <w:lang w:val="en-US" w:eastAsia="zh-CN"/>
        </w:rPr>
      </w:pPr>
    </w:p>
    <w:p>
      <w:pPr>
        <w:pStyle w:val="3"/>
        <w:rPr>
          <w:rFonts w:hint="eastAsia"/>
          <w:color w:val="auto"/>
          <w:lang w:val="en-US" w:eastAsia="zh-CN"/>
        </w:rPr>
      </w:pPr>
    </w:p>
    <w:p>
      <w:pPr>
        <w:rPr>
          <w:rFonts w:hint="eastAsia"/>
          <w:color w:val="auto"/>
          <w:lang w:val="en-US" w:eastAsia="zh-CN"/>
        </w:rPr>
      </w:pPr>
    </w:p>
    <w:p>
      <w:pPr>
        <w:pStyle w:val="2"/>
        <w:rPr>
          <w:rFonts w:hint="eastAsia"/>
          <w:color w:val="auto"/>
          <w:lang w:val="en-US" w:eastAsia="zh-CN"/>
        </w:rPr>
      </w:pPr>
    </w:p>
    <w:p>
      <w:pPr>
        <w:pStyle w:val="3"/>
        <w:rPr>
          <w:rFonts w:hint="eastAsia"/>
          <w:color w:val="auto"/>
          <w:lang w:val="en-US" w:eastAsia="zh-CN"/>
        </w:rPr>
      </w:pPr>
    </w:p>
    <w:p>
      <w:pPr>
        <w:rPr>
          <w:rFonts w:hint="eastAsia"/>
          <w:color w:val="auto"/>
          <w:lang w:val="en-US" w:eastAsia="zh-CN"/>
        </w:rPr>
      </w:pPr>
    </w:p>
    <w:p>
      <w:pPr>
        <w:pStyle w:val="3"/>
        <w:rPr>
          <w:rFonts w:hint="eastAsia"/>
          <w:lang w:val="en-US" w:eastAsia="zh-CN"/>
        </w:rPr>
      </w:pPr>
    </w:p>
    <w:p/>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华文楷体">
    <w:altName w:val="楷体_GB2312"/>
    <w:panose1 w:val="02010600040101010101"/>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lang w:eastAsia="zh-CN"/>
      </w:rPr>
      <w:t>第</w:t>
    </w: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rFonts w:hint="eastAsia"/>
        <w:lang w:val="zh-CN" w:eastAsia="zh-CN"/>
      </w:rPr>
      <w:t>页</w:t>
    </w:r>
    <w:r>
      <w:rPr>
        <w:lang w:val="zh-CN" w:eastAsia="zh-CN"/>
      </w:rPr>
      <w:t xml:space="preserve"> /</w:t>
    </w:r>
    <w:r>
      <w:rPr>
        <w:rFonts w:hint="eastAsia"/>
        <w:lang w:val="zh-CN" w:eastAsia="zh-CN"/>
      </w:rPr>
      <w:t>共</w:t>
    </w:r>
    <w:r>
      <w:rPr>
        <w:b/>
        <w:bCs/>
        <w:sz w:val="24"/>
        <w:szCs w:val="24"/>
      </w:rPr>
      <w:fldChar w:fldCharType="begin"/>
    </w:r>
    <w:r>
      <w:rPr>
        <w:b/>
        <w:bCs/>
      </w:rPr>
      <w:instrText xml:space="preserve">NUMPAGES</w:instrText>
    </w:r>
    <w:r>
      <w:rPr>
        <w:b/>
        <w:bCs/>
        <w:sz w:val="24"/>
        <w:szCs w:val="24"/>
      </w:rPr>
      <w:fldChar w:fldCharType="separate"/>
    </w:r>
    <w:r>
      <w:rPr>
        <w:b/>
        <w:bCs/>
      </w:rPr>
      <w:t>15</w:t>
    </w:r>
    <w:r>
      <w:rPr>
        <w:b/>
        <w:bCs/>
        <w:sz w:val="24"/>
        <w:szCs w:val="24"/>
      </w:rPr>
      <w:fldChar w:fldCharType="end"/>
    </w:r>
    <w:r>
      <w:rPr>
        <w:rFonts w:hint="eastAsia"/>
        <w:lang w:val="zh-CN" w:eastAsia="zh-CN"/>
      </w:rPr>
      <w:t>页</w: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cd/eQyAgAAYw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mRDOFhp++fzv9&#10;+HX6+ZVcRXla62eIerCIC91b02FohnuPy8i6q5yKv+BD4Ie4x4u4oguEx0fTyXSaw8XhGw7Azx6f&#10;W+fDO2EUiUZBHbqXRGWHjQ996BASs2mzbqRMHZSatAW9vnq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x395DICAABj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08511A"/>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C711D"/>
    <w:rsid w:val="0B7F40B4"/>
    <w:rsid w:val="0B8348EE"/>
    <w:rsid w:val="0BB909EB"/>
    <w:rsid w:val="0BC87409"/>
    <w:rsid w:val="0BD0477F"/>
    <w:rsid w:val="0BD33980"/>
    <w:rsid w:val="0BD62A7D"/>
    <w:rsid w:val="0BE57AEE"/>
    <w:rsid w:val="0C23558B"/>
    <w:rsid w:val="0C40504F"/>
    <w:rsid w:val="0C5B4095"/>
    <w:rsid w:val="0C6A35C6"/>
    <w:rsid w:val="0C7B6761"/>
    <w:rsid w:val="0C9E47DF"/>
    <w:rsid w:val="0CA92493"/>
    <w:rsid w:val="0CB414E2"/>
    <w:rsid w:val="0CBA1D90"/>
    <w:rsid w:val="0CBC3C74"/>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20479"/>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094621"/>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DF4D82"/>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00ABE"/>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8738E5"/>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B27C52"/>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55E6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29773C"/>
    <w:rsid w:val="2B3A41B6"/>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627D3D"/>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13CE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A2351"/>
    <w:rsid w:val="41DB145C"/>
    <w:rsid w:val="41F71EDB"/>
    <w:rsid w:val="41FD491F"/>
    <w:rsid w:val="42012231"/>
    <w:rsid w:val="420153BA"/>
    <w:rsid w:val="42463CF2"/>
    <w:rsid w:val="424E7592"/>
    <w:rsid w:val="42745D96"/>
    <w:rsid w:val="42812AB4"/>
    <w:rsid w:val="42A47BF0"/>
    <w:rsid w:val="42A70B14"/>
    <w:rsid w:val="42B14241"/>
    <w:rsid w:val="42C51575"/>
    <w:rsid w:val="4307269F"/>
    <w:rsid w:val="43253A48"/>
    <w:rsid w:val="432B47C2"/>
    <w:rsid w:val="432C1F9E"/>
    <w:rsid w:val="434945A5"/>
    <w:rsid w:val="436D627C"/>
    <w:rsid w:val="437F587F"/>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295484"/>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56E20"/>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492AD9"/>
    <w:rsid w:val="54586003"/>
    <w:rsid w:val="545D0932"/>
    <w:rsid w:val="545F1B52"/>
    <w:rsid w:val="5468342F"/>
    <w:rsid w:val="549439E0"/>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F4C9C"/>
    <w:rsid w:val="56EF724A"/>
    <w:rsid w:val="56F624D0"/>
    <w:rsid w:val="572E17D9"/>
    <w:rsid w:val="573B6221"/>
    <w:rsid w:val="574526C2"/>
    <w:rsid w:val="574F4D30"/>
    <w:rsid w:val="576E4B41"/>
    <w:rsid w:val="57703552"/>
    <w:rsid w:val="577210B5"/>
    <w:rsid w:val="5774636B"/>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DB149A"/>
    <w:rsid w:val="67E45C01"/>
    <w:rsid w:val="67E9310A"/>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C63A92"/>
    <w:rsid w:val="6BDC1E93"/>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FB6D13"/>
    <w:rsid w:val="6EFD5BBE"/>
    <w:rsid w:val="6F1B486A"/>
    <w:rsid w:val="6F211D2D"/>
    <w:rsid w:val="6F281BA4"/>
    <w:rsid w:val="6F327323"/>
    <w:rsid w:val="6F333990"/>
    <w:rsid w:val="6F4540F7"/>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3E131A"/>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1BD5"/>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9AF11F"/>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6E4089"/>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BEE1F1B"/>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8F5F09"/>
    <w:rsid w:val="7F9031EA"/>
    <w:rsid w:val="7F9C6985"/>
    <w:rsid w:val="7F9D0DEA"/>
    <w:rsid w:val="7FA0311E"/>
    <w:rsid w:val="7FA15023"/>
    <w:rsid w:val="7FBB1E45"/>
    <w:rsid w:val="7FD56F46"/>
    <w:rsid w:val="7FED06EE"/>
    <w:rsid w:val="7FF214D9"/>
    <w:rsid w:val="7FF9491D"/>
    <w:rsid w:val="7FFB5897"/>
    <w:rsid w:val="8FFEBE0E"/>
    <w:rsid w:val="AFF7864B"/>
    <w:rsid w:val="D5FB5B7E"/>
    <w:rsid w:val="EA76CF8A"/>
    <w:rsid w:val="F74F7A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Style w:val="7"/>
      <w:tblCellMar>
        <w:top w:w="0" w:type="dxa"/>
        <w:left w:w="108" w:type="dxa"/>
        <w:bottom w:w="0" w:type="dxa"/>
        <w:right w:w="108" w:type="dxa"/>
      </w:tblCellMar>
    </w:tblPr>
  </w:style>
  <w:style w:type="paragraph" w:styleId="2">
    <w:name w:val="Body Text"/>
    <w:basedOn w:val="3"/>
    <w:next w:val="3"/>
    <w:unhideWhenUsed/>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Style w:val="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186</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kmj_zhaoyulong</dc:creator>
  <cp:lastModifiedBy>kmj_taoye</cp:lastModifiedBy>
  <dcterms:modified xsi:type="dcterms:W3CDTF">2026-05-15T02:54:59Z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8C7659DA726C4E0E9D7D297ECE7D2AA7</vt:lpwstr>
  </property>
</Properties>
</file>