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AC16F9">
      <w:pPr>
        <w:pageBreakBefore w:val="0"/>
        <w:kinsoku/>
        <w:wordWrap/>
        <w:overflowPunct/>
        <w:topLinePunct w:val="0"/>
        <w:autoSpaceDE/>
        <w:autoSpaceDN/>
        <w:bidi w:val="0"/>
        <w:snapToGrid w:val="0"/>
        <w:spacing w:afterLines="150" w:line="560" w:lineRule="exact"/>
        <w:ind w:left="-28" w:leftChars="-85" w:right="-263" w:rightChars="-125" w:hanging="150" w:hangingChars="34"/>
        <w:jc w:val="center"/>
        <w:textAlignment w:val="auto"/>
        <w:rPr>
          <w:rFonts w:hint="eastAsia" w:ascii="宋体" w:hAnsi="宋体"/>
          <w:b/>
          <w:sz w:val="44"/>
          <w:szCs w:val="44"/>
        </w:rPr>
      </w:pPr>
      <w:bookmarkStart w:id="0" w:name="_Toc415752417"/>
      <w:bookmarkStart w:id="1" w:name="_Toc415752427"/>
    </w:p>
    <w:p w14:paraId="537EB7C4">
      <w:pPr>
        <w:pageBreakBefore w:val="0"/>
        <w:kinsoku/>
        <w:wordWrap/>
        <w:overflowPunct/>
        <w:topLinePunct w:val="0"/>
        <w:autoSpaceDE/>
        <w:autoSpaceDN/>
        <w:bidi w:val="0"/>
        <w:spacing w:line="560" w:lineRule="exact"/>
        <w:jc w:val="both"/>
        <w:textAlignment w:val="auto"/>
        <w:rPr>
          <w:rFonts w:hint="default"/>
          <w:b/>
          <w:bCs/>
          <w:sz w:val="28"/>
          <w:szCs w:val="28"/>
          <w:lang w:val="en-US" w:eastAsia="zh-CN"/>
        </w:rPr>
      </w:pPr>
      <w:r>
        <w:rPr>
          <w:rFonts w:hint="eastAsia"/>
          <w:b/>
          <w:bCs/>
          <w:sz w:val="28"/>
          <w:szCs w:val="28"/>
          <w:lang w:val="en-US" w:eastAsia="zh-CN"/>
        </w:rPr>
        <w:t>对应合同编号：</w:t>
      </w:r>
    </w:p>
    <w:p w14:paraId="3F0DE33D">
      <w:pPr>
        <w:pageBreakBefore w:val="0"/>
        <w:kinsoku/>
        <w:wordWrap/>
        <w:overflowPunct/>
        <w:topLinePunct w:val="0"/>
        <w:autoSpaceDE/>
        <w:autoSpaceDN/>
        <w:bidi w:val="0"/>
        <w:spacing w:line="560" w:lineRule="exact"/>
        <w:jc w:val="center"/>
        <w:textAlignment w:val="auto"/>
        <w:rPr>
          <w:rFonts w:hint="eastAsia"/>
          <w:b/>
          <w:bCs/>
          <w:sz w:val="52"/>
          <w:szCs w:val="52"/>
          <w:lang w:val="en-US" w:eastAsia="zh-CN"/>
        </w:rPr>
      </w:pPr>
    </w:p>
    <w:p w14:paraId="6D70DB2C">
      <w:pPr>
        <w:pageBreakBefore w:val="0"/>
        <w:kinsoku/>
        <w:wordWrap/>
        <w:overflowPunct/>
        <w:topLinePunct w:val="0"/>
        <w:autoSpaceDE/>
        <w:autoSpaceDN/>
        <w:bidi w:val="0"/>
        <w:spacing w:line="560" w:lineRule="exact"/>
        <w:jc w:val="center"/>
        <w:textAlignment w:val="auto"/>
        <w:rPr>
          <w:rFonts w:hint="eastAsia"/>
          <w:b/>
          <w:bCs/>
          <w:sz w:val="52"/>
          <w:szCs w:val="52"/>
          <w:lang w:val="en-US" w:eastAsia="zh-CN"/>
        </w:rPr>
      </w:pPr>
    </w:p>
    <w:p w14:paraId="6535042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方正小标宋_GBK" w:hAnsi="方正小标宋_GBK" w:eastAsia="方正小标宋_GBK" w:cs="方正小标宋_GBK"/>
          <w:b w:val="0"/>
          <w:bCs w:val="0"/>
          <w:sz w:val="52"/>
          <w:szCs w:val="52"/>
          <w:lang w:eastAsia="zh-CN"/>
        </w:rPr>
      </w:pPr>
      <w:r>
        <w:rPr>
          <w:rFonts w:hint="eastAsia" w:ascii="方正小标宋_GBK" w:hAnsi="方正小标宋_GBK" w:eastAsia="方正小标宋_GBK" w:cs="方正小标宋_GBK"/>
          <w:b w:val="0"/>
          <w:bCs w:val="0"/>
          <w:sz w:val="52"/>
          <w:szCs w:val="52"/>
          <w:lang w:val="en-US" w:eastAsia="zh-CN"/>
        </w:rPr>
        <w:t>云南储能2026年水电站网络安全态势感知软件升级服务采购</w:t>
      </w:r>
    </w:p>
    <w:p w14:paraId="0B3D9824">
      <w:pPr>
        <w:pageBreakBefore w:val="0"/>
        <w:kinsoku/>
        <w:wordWrap/>
        <w:overflowPunct/>
        <w:topLinePunct w:val="0"/>
        <w:autoSpaceDE/>
        <w:autoSpaceDN/>
        <w:bidi w:val="0"/>
        <w:spacing w:line="560" w:lineRule="exact"/>
        <w:jc w:val="both"/>
        <w:textAlignment w:val="auto"/>
        <w:rPr>
          <w:rFonts w:hint="eastAsia" w:ascii="宋体" w:hAnsi="宋体"/>
          <w:b/>
          <w:sz w:val="72"/>
          <w:szCs w:val="72"/>
          <w:lang w:eastAsia="zh-CN"/>
        </w:rPr>
      </w:pPr>
    </w:p>
    <w:p w14:paraId="738E833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方正小标宋_GBK" w:hAnsi="方正小标宋_GBK" w:eastAsia="方正小标宋_GBK" w:cs="方正小标宋_GBK"/>
          <w:b w:val="0"/>
          <w:bCs w:val="0"/>
          <w:sz w:val="52"/>
          <w:szCs w:val="52"/>
          <w:lang w:val="en-US" w:eastAsia="zh-CN"/>
        </w:rPr>
      </w:pPr>
      <w:r>
        <w:rPr>
          <w:rFonts w:hint="eastAsia" w:ascii="方正小标宋_GBK" w:hAnsi="方正小标宋_GBK" w:eastAsia="方正小标宋_GBK" w:cs="方正小标宋_GBK"/>
          <w:b w:val="0"/>
          <w:bCs w:val="0"/>
          <w:sz w:val="52"/>
          <w:szCs w:val="52"/>
          <w:lang w:val="en-US" w:eastAsia="zh-CN"/>
        </w:rPr>
        <w:t>技术规范书</w:t>
      </w:r>
    </w:p>
    <w:p w14:paraId="7252026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方正小标宋_GBK" w:hAnsi="方正小标宋_GBK" w:eastAsia="方正小标宋_GBK" w:cs="方正小标宋_GBK"/>
          <w:b w:val="0"/>
          <w:bCs w:val="0"/>
          <w:sz w:val="52"/>
          <w:szCs w:val="52"/>
          <w:lang w:val="en-US" w:eastAsia="zh-CN"/>
        </w:rPr>
      </w:pPr>
    </w:p>
    <w:p w14:paraId="59122CB2">
      <w:pPr>
        <w:pageBreakBefore w:val="0"/>
        <w:kinsoku/>
        <w:wordWrap/>
        <w:overflowPunct/>
        <w:topLinePunct w:val="0"/>
        <w:autoSpaceDE/>
        <w:autoSpaceDN/>
        <w:bidi w:val="0"/>
        <w:spacing w:line="560" w:lineRule="exact"/>
        <w:textAlignment w:val="auto"/>
      </w:pPr>
    </w:p>
    <w:p w14:paraId="62C4E6A4">
      <w:pPr>
        <w:pageBreakBefore w:val="0"/>
        <w:kinsoku/>
        <w:wordWrap/>
        <w:overflowPunct/>
        <w:topLinePunct w:val="0"/>
        <w:autoSpaceDE/>
        <w:autoSpaceDN/>
        <w:bidi w:val="0"/>
        <w:spacing w:line="560" w:lineRule="exact"/>
        <w:textAlignment w:val="auto"/>
      </w:pPr>
    </w:p>
    <w:p w14:paraId="7D41B4F7">
      <w:pPr>
        <w:pageBreakBefore w:val="0"/>
        <w:kinsoku/>
        <w:wordWrap/>
        <w:overflowPunct/>
        <w:topLinePunct w:val="0"/>
        <w:autoSpaceDE/>
        <w:autoSpaceDN/>
        <w:bidi w:val="0"/>
        <w:spacing w:line="560" w:lineRule="exact"/>
        <w:textAlignment w:val="auto"/>
      </w:pPr>
    </w:p>
    <w:p w14:paraId="1867ED4C">
      <w:pPr>
        <w:pageBreakBefore w:val="0"/>
        <w:kinsoku/>
        <w:wordWrap/>
        <w:overflowPunct/>
        <w:topLinePunct w:val="0"/>
        <w:autoSpaceDE/>
        <w:autoSpaceDN/>
        <w:bidi w:val="0"/>
        <w:spacing w:line="560" w:lineRule="exact"/>
        <w:textAlignment w:val="auto"/>
      </w:pPr>
    </w:p>
    <w:p w14:paraId="30DB799F">
      <w:pPr>
        <w:pageBreakBefore w:val="0"/>
        <w:kinsoku/>
        <w:wordWrap/>
        <w:overflowPunct/>
        <w:topLinePunct w:val="0"/>
        <w:autoSpaceDE/>
        <w:autoSpaceDN/>
        <w:bidi w:val="0"/>
        <w:spacing w:line="560" w:lineRule="exact"/>
        <w:textAlignment w:val="auto"/>
      </w:pPr>
    </w:p>
    <w:p w14:paraId="38C848DD">
      <w:pPr>
        <w:pageBreakBefore w:val="0"/>
        <w:kinsoku/>
        <w:wordWrap/>
        <w:overflowPunct/>
        <w:topLinePunct w:val="0"/>
        <w:autoSpaceDE/>
        <w:autoSpaceDN/>
        <w:bidi w:val="0"/>
        <w:spacing w:line="560" w:lineRule="exact"/>
        <w:textAlignment w:val="auto"/>
      </w:pPr>
    </w:p>
    <w:p w14:paraId="4DD37620">
      <w:pPr>
        <w:pageBreakBefore w:val="0"/>
        <w:kinsoku/>
        <w:wordWrap/>
        <w:overflowPunct/>
        <w:topLinePunct w:val="0"/>
        <w:autoSpaceDE/>
        <w:autoSpaceDN/>
        <w:bidi w:val="0"/>
        <w:spacing w:line="560" w:lineRule="exact"/>
        <w:textAlignment w:val="auto"/>
      </w:pPr>
    </w:p>
    <w:p w14:paraId="2FC05180">
      <w:pPr>
        <w:pageBreakBefore w:val="0"/>
        <w:kinsoku/>
        <w:wordWrap/>
        <w:overflowPunct/>
        <w:topLinePunct w:val="0"/>
        <w:autoSpaceDE/>
        <w:autoSpaceDN/>
        <w:bidi w:val="0"/>
        <w:spacing w:line="560" w:lineRule="exact"/>
        <w:textAlignment w:val="auto"/>
      </w:pPr>
    </w:p>
    <w:p w14:paraId="72C5B719">
      <w:pPr>
        <w:pageBreakBefore w:val="0"/>
        <w:kinsoku/>
        <w:wordWrap/>
        <w:overflowPunct/>
        <w:topLinePunct w:val="0"/>
        <w:autoSpaceDE/>
        <w:autoSpaceDN/>
        <w:bidi w:val="0"/>
        <w:spacing w:line="560" w:lineRule="exact"/>
        <w:textAlignment w:val="auto"/>
      </w:pPr>
    </w:p>
    <w:p w14:paraId="69A26A08">
      <w:pPr>
        <w:pageBreakBefore w:val="0"/>
        <w:kinsoku/>
        <w:wordWrap/>
        <w:overflowPunct/>
        <w:topLinePunct w:val="0"/>
        <w:autoSpaceDE/>
        <w:autoSpaceDN/>
        <w:bidi w:val="0"/>
        <w:spacing w:line="560" w:lineRule="exact"/>
        <w:textAlignment w:val="auto"/>
      </w:pPr>
    </w:p>
    <w:p w14:paraId="51079E3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b/>
          <w:sz w:val="48"/>
          <w:szCs w:val="48"/>
          <w:lang w:val="en-US" w:eastAsia="zh-CN"/>
        </w:rPr>
      </w:pPr>
      <w:r>
        <w:rPr>
          <w:rFonts w:hint="eastAsia" w:ascii="仿宋_GB2312" w:hAnsi="仿宋_GB2312" w:eastAsia="仿宋_GB2312" w:cs="仿宋_GB2312"/>
          <w:b/>
          <w:sz w:val="48"/>
          <w:szCs w:val="48"/>
          <w:lang w:val="en-US" w:eastAsia="zh-CN"/>
        </w:rPr>
        <w:t>云南储能有限公司</w:t>
      </w:r>
    </w:p>
    <w:p w14:paraId="274867A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b/>
          <w:sz w:val="48"/>
          <w:szCs w:val="48"/>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titlePg/>
          <w:docGrid w:type="lines" w:linePitch="312" w:charSpace="0"/>
        </w:sectPr>
      </w:pPr>
      <w:r>
        <w:rPr>
          <w:rFonts w:hint="eastAsia" w:ascii="仿宋_GB2312" w:hAnsi="仿宋_GB2312" w:eastAsia="仿宋_GB2312" w:cs="仿宋_GB2312"/>
          <w:b/>
          <w:sz w:val="48"/>
          <w:szCs w:val="48"/>
          <w:lang w:val="en-US" w:eastAsia="zh-CN"/>
        </w:rPr>
        <w:t>2026年05</w:t>
      </w:r>
      <w:r>
        <w:rPr>
          <w:rFonts w:hint="eastAsia" w:ascii="仿宋_GB2312" w:hAnsi="仿宋_GB2312" w:eastAsia="仿宋_GB2312" w:cs="仿宋_GB2312"/>
          <w:b/>
          <w:sz w:val="48"/>
          <w:szCs w:val="48"/>
        </w:rPr>
        <w:t>月</w:t>
      </w:r>
    </w:p>
    <w:p w14:paraId="2260596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textAlignment w:val="auto"/>
        <w:outlineLvl w:val="9"/>
        <w:rPr>
          <w:rFonts w:hint="eastAsia" w:ascii="楷体_GB2312" w:hAnsi="楷体_GB2312" w:eastAsia="楷体_GB2312" w:cs="楷体_GB2312"/>
          <w:b/>
          <w:bCs/>
          <w:color w:val="auto"/>
          <w:sz w:val="32"/>
          <w:szCs w:val="32"/>
          <w:highlight w:val="none"/>
          <w:lang w:val="en-US" w:eastAsia="zh-CN"/>
        </w:rPr>
      </w:pPr>
      <w:r>
        <w:rPr>
          <w:rFonts w:hint="eastAsia" w:ascii="楷体_GB2312" w:hAnsi="楷体_GB2312" w:eastAsia="楷体_GB2312" w:cs="楷体_GB2312"/>
          <w:b/>
          <w:bCs/>
          <w:color w:val="auto"/>
          <w:sz w:val="32"/>
          <w:szCs w:val="32"/>
          <w:highlight w:val="none"/>
          <w:lang w:val="en-US" w:eastAsia="zh-CN"/>
        </w:rPr>
        <w:t>1总则</w:t>
      </w:r>
    </w:p>
    <w:p w14:paraId="44B1AA6B">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1.1本技术规范书适用于云南储能2026年水电站网络安全态势感知软件升级服务采购项目。</w:t>
      </w:r>
    </w:p>
    <w:p w14:paraId="471B2AF0">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1.2本技术规范书提出的是最低限度的技术要求。凡本招标技术规范书中未规定，但在相关的行业标准、国家标准条文，服务方应按相应标准的条文执行。对国家有关安全、环保等强制性标准，必须满足其要求。</w:t>
      </w:r>
    </w:p>
    <w:p w14:paraId="7FE3F5D5">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1.3如果投标单位没有以书面形式对本技术规范书的条文提出异议，则意味着服务完全符合本技术规范书的要求。如有异议，不管是多么微小，都应以“对技术规范书的意见和同技术规范书的差异”为标题的专门章节中加以详细描述。</w:t>
      </w:r>
    </w:p>
    <w:p w14:paraId="3269FEEE">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1.4本技术规范书所使用的标准如遇与投标方所执行的标准不一致时，按较高标准执行。</w:t>
      </w:r>
    </w:p>
    <w:p w14:paraId="7E8C03C4">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1.5本技术规范书经双方确认后作为服务合同的技术附件，与合同正文具有同等的法律效力。</w:t>
      </w:r>
    </w:p>
    <w:p w14:paraId="2E46BD9C">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1.6本技术规范书未尽事宜，由双方协商确定。</w:t>
      </w:r>
    </w:p>
    <w:p w14:paraId="400DA477">
      <w:pPr>
        <w:pageBreakBefore w:val="0"/>
        <w:numPr>
          <w:ilvl w:val="0"/>
          <w:numId w:val="0"/>
        </w:numPr>
        <w:kinsoku/>
        <w:wordWrap/>
        <w:overflowPunct/>
        <w:topLinePunct w:val="0"/>
        <w:autoSpaceDE/>
        <w:autoSpaceDN/>
        <w:bidi w:val="0"/>
        <w:spacing w:line="560" w:lineRule="exact"/>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lang w:val="en-US" w:eastAsia="zh-CN"/>
        </w:rPr>
        <w:t>2</w:t>
      </w:r>
      <w:r>
        <w:rPr>
          <w:rFonts w:hint="eastAsia" w:ascii="楷体_GB2312" w:hAnsi="楷体_GB2312" w:eastAsia="楷体_GB2312" w:cs="楷体_GB2312"/>
          <w:b/>
          <w:bCs/>
          <w:sz w:val="32"/>
          <w:szCs w:val="32"/>
        </w:rPr>
        <w:t>项目概述</w:t>
      </w:r>
    </w:p>
    <w:p w14:paraId="3692D765">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为了提高云南储能有限公司各电站计算机监控系统网络安全防护能力，加强网络异常监测，根据（总调网安【2026】1号）《关于进一步加强涉网电力监控系统网络安全防护工作的通知》及文山供电局地调网安曳光Nmap及FOFA漏洞扫描工作要求，云南储能所属南汀河、落水洞、小河沟、格雷一级、格雷二级、官寨、木垢等7座电站网络安全态势感知终端（生产厂家：广州兆和电力技术有限公司，型号：ZH-NSS-3000S，每个电站1套）需要进行版本升级及策略调试。厂站侧采集装置主程序版本与文山供电局主站漏洞扫描容器版本相适配，并完成态势感知系统欺骗诱捕功能（左脸2.0）在涉网侧的布防及接入。态势感知采集终端见下图：</w:t>
      </w:r>
    </w:p>
    <w:p w14:paraId="40400A57">
      <w:pPr>
        <w:pageBreakBefore w:val="0"/>
        <w:kinsoku/>
        <w:wordWrap/>
        <w:overflowPunct/>
        <w:topLinePunct w:val="0"/>
        <w:autoSpaceDE/>
        <w:autoSpaceDN/>
        <w:bidi w:val="0"/>
        <w:spacing w:line="240" w:lineRule="auto"/>
        <w:ind w:firstLine="640" w:firstLineChars="200"/>
        <w:textAlignment w:val="auto"/>
        <w:rPr>
          <w:rFonts w:hint="default" w:ascii="仿宋_GB2312" w:hAnsi="仿宋_GB2312" w:eastAsia="仿宋_GB2312" w:cs="仿宋_GB2312"/>
          <w:b w:val="0"/>
          <w:bCs w:val="0"/>
          <w:sz w:val="32"/>
          <w:szCs w:val="32"/>
          <w:lang w:val="en-US" w:eastAsia="zh-CN"/>
        </w:rPr>
      </w:pPr>
      <w:r>
        <w:rPr>
          <w:rFonts w:hint="default" w:ascii="仿宋_GB2312" w:hAnsi="仿宋_GB2312" w:eastAsia="仿宋_GB2312" w:cs="仿宋_GB2312"/>
          <w:b w:val="0"/>
          <w:bCs w:val="0"/>
          <w:sz w:val="32"/>
          <w:szCs w:val="32"/>
          <w:lang w:val="en-US" w:eastAsia="zh-CN"/>
        </w:rPr>
        <w:drawing>
          <wp:inline distT="0" distB="0" distL="114300" distR="114300">
            <wp:extent cx="5727700" cy="1597660"/>
            <wp:effectExtent l="0" t="0" r="6350" b="2540"/>
            <wp:docPr id="3" name="图片 3" descr="态势感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态势感知"/>
                    <pic:cNvPicPr>
                      <a:picLocks noChangeAspect="1"/>
                    </pic:cNvPicPr>
                  </pic:nvPicPr>
                  <pic:blipFill>
                    <a:blip r:embed="rId10"/>
                    <a:stretch>
                      <a:fillRect/>
                    </a:stretch>
                  </pic:blipFill>
                  <pic:spPr>
                    <a:xfrm>
                      <a:off x="0" y="0"/>
                      <a:ext cx="5727700" cy="1597660"/>
                    </a:xfrm>
                    <a:prstGeom prst="rect">
                      <a:avLst/>
                    </a:prstGeom>
                  </pic:spPr>
                </pic:pic>
              </a:graphicData>
            </a:graphic>
          </wp:inline>
        </w:drawing>
      </w:r>
    </w:p>
    <w:p w14:paraId="327204EE">
      <w:pPr>
        <w:pStyle w:val="15"/>
        <w:pageBreakBefore w:val="0"/>
        <w:widowControl/>
        <w:kinsoku/>
        <w:wordWrap/>
        <w:overflowPunct/>
        <w:topLinePunct w:val="0"/>
        <w:autoSpaceDE/>
        <w:autoSpaceDN/>
        <w:bidi w:val="0"/>
        <w:spacing w:before="0" w:after="0" w:line="560" w:lineRule="exact"/>
        <w:ind w:left="0" w:leftChars="0" w:right="0" w:firstLine="0" w:firstLineChars="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lang w:val="en-US" w:eastAsia="zh-CN"/>
        </w:rPr>
        <w:t>3、</w:t>
      </w:r>
      <w:r>
        <w:rPr>
          <w:rFonts w:hint="eastAsia" w:ascii="楷体_GB2312" w:hAnsi="楷体_GB2312" w:eastAsia="楷体_GB2312" w:cs="楷体_GB2312"/>
          <w:b/>
          <w:bCs/>
          <w:sz w:val="32"/>
          <w:szCs w:val="32"/>
        </w:rPr>
        <w:t>引用标准或执行依据</w:t>
      </w:r>
    </w:p>
    <w:p w14:paraId="2EE89E29">
      <w:pPr>
        <w:keepNext w:val="0"/>
        <w:keepLines w:val="0"/>
        <w:pageBreakBefore w:val="0"/>
        <w:widowControl w:val="0"/>
        <w:suppressLineNumbers w:val="0"/>
        <w:kinsoku/>
        <w:wordWrap/>
        <w:overflowPunct/>
        <w:topLinePunct w:val="0"/>
        <w:autoSpaceDE/>
        <w:autoSpaceDN/>
        <w:bidi w:val="0"/>
        <w:spacing w:beforeAutospacing="0" w:afterAutospacing="0" w:line="560" w:lineRule="exact"/>
        <w:ind w:left="0" w:right="0" w:firstLine="640" w:firstLineChars="200"/>
        <w:jc w:val="both"/>
        <w:textAlignment w:val="auto"/>
        <w:rPr>
          <w:rFonts w:hint="eastAsia" w:ascii="仿宋_GB2312" w:hAnsi="仿宋_GB2312" w:eastAsia="仿宋_GB2312" w:cs="仿宋_GB2312"/>
          <w:b w:val="0"/>
          <w:bCs w:val="0"/>
          <w:kern w:val="0"/>
          <w:sz w:val="32"/>
          <w:szCs w:val="32"/>
          <w:lang w:val="en-US" w:eastAsia="zh-CN"/>
        </w:rPr>
      </w:pPr>
      <w:r>
        <w:rPr>
          <w:rFonts w:hint="eastAsia" w:ascii="仿宋_GB2312" w:hAnsi="仿宋_GB2312" w:eastAsia="仿宋_GB2312" w:cs="仿宋_GB2312"/>
          <w:b w:val="0"/>
          <w:bCs w:val="0"/>
          <w:kern w:val="0"/>
          <w:sz w:val="32"/>
          <w:szCs w:val="32"/>
          <w:lang w:val="en-US" w:eastAsia="zh-CN"/>
        </w:rPr>
        <w:t>本项目技术条款中引用的标准、规程和规范应在本合同执行过程中均为有效，若其中所列的标准、规程和规范进行了修订，则应执行其最新版本，包括但不限于以下技术标准：</w:t>
      </w:r>
    </w:p>
    <w:p w14:paraId="45516839">
      <w:pPr>
        <w:pStyle w:val="3"/>
        <w:pageBreakBefore w:val="0"/>
        <w:widowControl w:val="0"/>
        <w:kinsoku/>
        <w:wordWrap/>
        <w:overflowPunct/>
        <w:topLinePunct w:val="0"/>
        <w:autoSpaceDE/>
        <w:autoSpaceDN/>
        <w:bidi w:val="0"/>
        <w:adjustRightInd/>
        <w:snapToGrid/>
        <w:spacing w:before="0" w:after="0" w:line="560" w:lineRule="exact"/>
        <w:textAlignment w:val="auto"/>
        <w:rPr>
          <w:rFonts w:hint="eastAsia" w:ascii="仿宋_GB2312" w:hAnsi="仿宋_GB2312" w:eastAsia="仿宋_GB2312" w:cs="仿宋_GB2312"/>
          <w:b w:val="0"/>
          <w:bCs w:val="0"/>
          <w:sz w:val="32"/>
          <w:szCs w:val="32"/>
        </w:rPr>
      </w:pPr>
      <w:r>
        <w:rPr>
          <w:rStyle w:val="13"/>
          <w:rFonts w:hint="eastAsia" w:ascii="仿宋_GB2312" w:hAnsi="仿宋_GB2312" w:eastAsia="仿宋_GB2312" w:cs="仿宋_GB2312"/>
          <w:b w:val="0"/>
          <w:bCs w:val="0"/>
          <w:color w:val="000000"/>
          <w:sz w:val="32"/>
          <w:szCs w:val="32"/>
        </w:rPr>
        <w:t>GB/T</w:t>
      </w:r>
      <w:r>
        <w:rPr>
          <w:rStyle w:val="13"/>
          <w:rFonts w:hint="eastAsia" w:ascii="仿宋_GB2312" w:hAnsi="仿宋_GB2312" w:eastAsia="仿宋_GB2312" w:cs="仿宋_GB2312"/>
          <w:b w:val="0"/>
          <w:bCs w:val="0"/>
          <w:color w:val="000000"/>
          <w:sz w:val="32"/>
          <w:szCs w:val="32"/>
          <w:lang w:val="en-US" w:eastAsia="zh-CN"/>
        </w:rPr>
        <w:t xml:space="preserve"> </w:t>
      </w:r>
      <w:r>
        <w:rPr>
          <w:rStyle w:val="13"/>
          <w:rFonts w:hint="eastAsia" w:ascii="仿宋_GB2312" w:hAnsi="仿宋_GB2312" w:eastAsia="仿宋_GB2312" w:cs="仿宋_GB2312"/>
          <w:b w:val="0"/>
          <w:bCs w:val="0"/>
          <w:color w:val="000000"/>
          <w:sz w:val="32"/>
          <w:szCs w:val="32"/>
        </w:rPr>
        <w:t>42453-2023</w:t>
      </w:r>
      <w:r>
        <w:rPr>
          <w:rFonts w:hint="eastAsia" w:ascii="仿宋_GB2312" w:hAnsi="仿宋_GB2312" w:eastAsia="仿宋_GB2312" w:cs="仿宋_GB2312"/>
          <w:b w:val="0"/>
          <w:bCs w:val="0"/>
          <w:sz w:val="32"/>
          <w:szCs w:val="32"/>
        </w:rPr>
        <w:t>信息安全技术网络安全态势感知通用技术要求</w:t>
      </w:r>
    </w:p>
    <w:p w14:paraId="05D724DB">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z w:val="32"/>
          <w:szCs w:val="32"/>
        </w:rPr>
      </w:pPr>
      <w:r>
        <w:rPr>
          <w:rStyle w:val="13"/>
          <w:rFonts w:hint="eastAsia" w:ascii="仿宋_GB2312" w:hAnsi="仿宋_GB2312" w:eastAsia="仿宋_GB2312" w:cs="仿宋_GB2312"/>
          <w:b w:val="0"/>
          <w:bCs w:val="0"/>
          <w:color w:val="000000"/>
          <w:sz w:val="32"/>
          <w:szCs w:val="32"/>
        </w:rPr>
        <w:t>GB/T</w:t>
      </w:r>
      <w:r>
        <w:rPr>
          <w:rStyle w:val="13"/>
          <w:rFonts w:hint="eastAsia" w:ascii="仿宋_GB2312" w:hAnsi="仿宋_GB2312" w:eastAsia="仿宋_GB2312" w:cs="仿宋_GB2312"/>
          <w:b w:val="0"/>
          <w:bCs w:val="0"/>
          <w:color w:val="000000"/>
          <w:sz w:val="32"/>
          <w:szCs w:val="32"/>
          <w:lang w:val="en-US" w:eastAsia="zh-CN"/>
        </w:rPr>
        <w:t xml:space="preserve"> </w:t>
      </w:r>
      <w:r>
        <w:rPr>
          <w:rStyle w:val="13"/>
          <w:rFonts w:hint="eastAsia" w:ascii="仿宋_GB2312" w:hAnsi="仿宋_GB2312" w:eastAsia="仿宋_GB2312" w:cs="仿宋_GB2312"/>
          <w:b w:val="0"/>
          <w:bCs w:val="0"/>
          <w:color w:val="000000"/>
          <w:sz w:val="32"/>
          <w:szCs w:val="32"/>
        </w:rPr>
        <w:t>28458-2020</w:t>
      </w:r>
      <w:r>
        <w:rPr>
          <w:rFonts w:hint="eastAsia" w:ascii="仿宋_GB2312" w:hAnsi="仿宋_GB2312" w:eastAsia="仿宋_GB2312" w:cs="仿宋_GB2312"/>
          <w:b w:val="0"/>
          <w:bCs w:val="0"/>
          <w:sz w:val="32"/>
          <w:szCs w:val="32"/>
        </w:rPr>
        <w:t>信息安全技术网络安全漏洞标识与描述规范</w:t>
      </w:r>
    </w:p>
    <w:p w14:paraId="4FDEC9C2">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z w:val="32"/>
          <w:szCs w:val="32"/>
        </w:rPr>
      </w:pPr>
      <w:r>
        <w:rPr>
          <w:rStyle w:val="13"/>
          <w:rFonts w:hint="eastAsia" w:ascii="仿宋_GB2312" w:hAnsi="仿宋_GB2312" w:eastAsia="仿宋_GB2312" w:cs="仿宋_GB2312"/>
          <w:b w:val="0"/>
          <w:bCs w:val="0"/>
          <w:color w:val="000000"/>
          <w:sz w:val="32"/>
          <w:szCs w:val="32"/>
        </w:rPr>
        <w:t>GB/T</w:t>
      </w:r>
      <w:r>
        <w:rPr>
          <w:rStyle w:val="13"/>
          <w:rFonts w:hint="eastAsia" w:ascii="仿宋_GB2312" w:hAnsi="仿宋_GB2312" w:eastAsia="仿宋_GB2312" w:cs="仿宋_GB2312"/>
          <w:b w:val="0"/>
          <w:bCs w:val="0"/>
          <w:color w:val="000000"/>
          <w:sz w:val="32"/>
          <w:szCs w:val="32"/>
          <w:lang w:val="en-US" w:eastAsia="zh-CN"/>
        </w:rPr>
        <w:t xml:space="preserve"> </w:t>
      </w:r>
      <w:r>
        <w:rPr>
          <w:rStyle w:val="13"/>
          <w:rFonts w:hint="eastAsia" w:ascii="仿宋_GB2312" w:hAnsi="仿宋_GB2312" w:eastAsia="仿宋_GB2312" w:cs="仿宋_GB2312"/>
          <w:b w:val="0"/>
          <w:bCs w:val="0"/>
          <w:color w:val="000000"/>
          <w:sz w:val="32"/>
          <w:szCs w:val="32"/>
        </w:rPr>
        <w:t>28517-2012</w:t>
      </w:r>
      <w:r>
        <w:rPr>
          <w:rFonts w:hint="eastAsia" w:ascii="仿宋_GB2312" w:hAnsi="仿宋_GB2312" w:eastAsia="仿宋_GB2312" w:cs="仿宋_GB2312"/>
          <w:b w:val="0"/>
          <w:bCs w:val="0"/>
          <w:sz w:val="32"/>
          <w:szCs w:val="32"/>
        </w:rPr>
        <w:t>网络安全事件描述和交换格式</w:t>
      </w:r>
    </w:p>
    <w:p w14:paraId="612B0EC6">
      <w:pPr>
        <w:pStyle w:val="3"/>
        <w:pageBreakBefore w:val="0"/>
        <w:widowControl w:val="0"/>
        <w:kinsoku/>
        <w:wordWrap/>
        <w:overflowPunct/>
        <w:topLinePunct w:val="0"/>
        <w:autoSpaceDE/>
        <w:autoSpaceDN/>
        <w:bidi w:val="0"/>
        <w:adjustRightInd/>
        <w:snapToGrid/>
        <w:spacing w:before="0" w:after="0" w:line="560" w:lineRule="exact"/>
        <w:textAlignment w:val="auto"/>
        <w:rPr>
          <w:rFonts w:hint="eastAsia" w:ascii="仿宋_GB2312" w:hAnsi="仿宋_GB2312" w:eastAsia="仿宋_GB2312" w:cs="仿宋_GB2312"/>
          <w:b w:val="0"/>
          <w:bCs w:val="0"/>
          <w:sz w:val="32"/>
          <w:szCs w:val="32"/>
        </w:rPr>
      </w:pPr>
      <w:r>
        <w:rPr>
          <w:rStyle w:val="13"/>
          <w:rFonts w:hint="eastAsia" w:ascii="仿宋_GB2312" w:hAnsi="仿宋_GB2312" w:eastAsia="仿宋_GB2312" w:cs="仿宋_GB2312"/>
          <w:b w:val="0"/>
          <w:bCs w:val="0"/>
          <w:color w:val="000000"/>
          <w:sz w:val="32"/>
          <w:szCs w:val="32"/>
        </w:rPr>
        <w:t>GB/T</w:t>
      </w:r>
      <w:r>
        <w:rPr>
          <w:rStyle w:val="13"/>
          <w:rFonts w:hint="eastAsia" w:ascii="仿宋_GB2312" w:hAnsi="仿宋_GB2312" w:eastAsia="仿宋_GB2312" w:cs="仿宋_GB2312"/>
          <w:b w:val="0"/>
          <w:bCs w:val="0"/>
          <w:color w:val="000000"/>
          <w:sz w:val="32"/>
          <w:szCs w:val="32"/>
          <w:lang w:val="en-US" w:eastAsia="zh-CN"/>
        </w:rPr>
        <w:t xml:space="preserve"> </w:t>
      </w:r>
      <w:r>
        <w:rPr>
          <w:rStyle w:val="13"/>
          <w:rFonts w:hint="eastAsia" w:ascii="仿宋_GB2312" w:hAnsi="仿宋_GB2312" w:eastAsia="仿宋_GB2312" w:cs="仿宋_GB2312"/>
          <w:b w:val="0"/>
          <w:bCs w:val="0"/>
          <w:color w:val="000000"/>
          <w:sz w:val="32"/>
          <w:szCs w:val="32"/>
        </w:rPr>
        <w:t>30279-2020</w:t>
      </w:r>
      <w:r>
        <w:rPr>
          <w:rFonts w:hint="eastAsia" w:ascii="仿宋_GB2312" w:hAnsi="仿宋_GB2312" w:eastAsia="仿宋_GB2312" w:cs="仿宋_GB2312"/>
          <w:b w:val="0"/>
          <w:bCs w:val="0"/>
          <w:sz w:val="32"/>
          <w:szCs w:val="32"/>
        </w:rPr>
        <w:t>信息安全技术网络安全漏洞分类分级指南</w:t>
      </w:r>
    </w:p>
    <w:p w14:paraId="28C400DE">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z w:val="32"/>
          <w:szCs w:val="32"/>
        </w:rPr>
      </w:pPr>
      <w:r>
        <w:rPr>
          <w:rStyle w:val="13"/>
          <w:rFonts w:hint="eastAsia" w:ascii="仿宋_GB2312" w:hAnsi="仿宋_GB2312" w:eastAsia="仿宋_GB2312" w:cs="仿宋_GB2312"/>
          <w:b w:val="0"/>
          <w:bCs w:val="0"/>
          <w:color w:val="000000"/>
          <w:sz w:val="32"/>
          <w:szCs w:val="32"/>
        </w:rPr>
        <w:t>GB/T</w:t>
      </w:r>
      <w:r>
        <w:rPr>
          <w:rStyle w:val="13"/>
          <w:rFonts w:hint="eastAsia" w:ascii="仿宋_GB2312" w:hAnsi="仿宋_GB2312" w:eastAsia="仿宋_GB2312" w:cs="仿宋_GB2312"/>
          <w:b w:val="0"/>
          <w:bCs w:val="0"/>
          <w:color w:val="000000"/>
          <w:sz w:val="32"/>
          <w:szCs w:val="32"/>
          <w:lang w:val="en-US" w:eastAsia="zh-CN"/>
        </w:rPr>
        <w:t xml:space="preserve"> </w:t>
      </w:r>
      <w:r>
        <w:rPr>
          <w:rStyle w:val="13"/>
          <w:rFonts w:hint="eastAsia" w:ascii="仿宋_GB2312" w:hAnsi="仿宋_GB2312" w:eastAsia="仿宋_GB2312" w:cs="仿宋_GB2312"/>
          <w:b w:val="0"/>
          <w:bCs w:val="0"/>
          <w:color w:val="000000"/>
          <w:sz w:val="32"/>
          <w:szCs w:val="32"/>
        </w:rPr>
        <w:t>36643-2018</w:t>
      </w:r>
      <w:r>
        <w:rPr>
          <w:rFonts w:hint="eastAsia" w:ascii="仿宋_GB2312" w:hAnsi="仿宋_GB2312" w:eastAsia="仿宋_GB2312" w:cs="仿宋_GB2312"/>
          <w:b w:val="0"/>
          <w:bCs w:val="0"/>
          <w:sz w:val="32"/>
          <w:szCs w:val="32"/>
        </w:rPr>
        <w:t>信息安全技术网络安全威胁信息格式规范</w:t>
      </w:r>
    </w:p>
    <w:p w14:paraId="41E5443B">
      <w:pPr>
        <w:pStyle w:val="3"/>
        <w:pageBreakBefore w:val="0"/>
        <w:widowControl w:val="0"/>
        <w:kinsoku/>
        <w:wordWrap/>
        <w:overflowPunct/>
        <w:topLinePunct w:val="0"/>
        <w:autoSpaceDE/>
        <w:autoSpaceDN/>
        <w:bidi w:val="0"/>
        <w:adjustRightInd/>
        <w:snapToGrid/>
        <w:spacing w:before="0" w:after="0" w:line="560" w:lineRule="exact"/>
        <w:textAlignment w:val="auto"/>
        <w:rPr>
          <w:rFonts w:hint="eastAsia" w:ascii="仿宋_GB2312" w:hAnsi="仿宋_GB2312" w:eastAsia="仿宋_GB2312" w:cs="仿宋_GB2312"/>
          <w:b w:val="0"/>
          <w:bCs w:val="0"/>
          <w:sz w:val="32"/>
          <w:szCs w:val="32"/>
        </w:rPr>
      </w:pPr>
      <w:r>
        <w:rPr>
          <w:rStyle w:val="13"/>
          <w:rFonts w:hint="eastAsia" w:ascii="仿宋_GB2312" w:hAnsi="仿宋_GB2312" w:eastAsia="仿宋_GB2312" w:cs="仿宋_GB2312"/>
          <w:b w:val="0"/>
          <w:bCs w:val="0"/>
          <w:color w:val="000000"/>
          <w:sz w:val="32"/>
          <w:szCs w:val="32"/>
        </w:rPr>
        <w:t>GB/T</w:t>
      </w:r>
      <w:r>
        <w:rPr>
          <w:rStyle w:val="13"/>
          <w:rFonts w:hint="eastAsia" w:ascii="仿宋_GB2312" w:hAnsi="仿宋_GB2312" w:eastAsia="仿宋_GB2312" w:cs="仿宋_GB2312"/>
          <w:b w:val="0"/>
          <w:bCs w:val="0"/>
          <w:color w:val="000000"/>
          <w:sz w:val="32"/>
          <w:szCs w:val="32"/>
          <w:lang w:val="en-US" w:eastAsia="zh-CN"/>
        </w:rPr>
        <w:t xml:space="preserve"> </w:t>
      </w:r>
      <w:r>
        <w:rPr>
          <w:rStyle w:val="13"/>
          <w:rFonts w:hint="eastAsia" w:ascii="仿宋_GB2312" w:hAnsi="仿宋_GB2312" w:eastAsia="仿宋_GB2312" w:cs="仿宋_GB2312"/>
          <w:b w:val="0"/>
          <w:bCs w:val="0"/>
          <w:color w:val="000000"/>
          <w:sz w:val="32"/>
          <w:szCs w:val="32"/>
        </w:rPr>
        <w:t>37027-2018</w:t>
      </w:r>
      <w:r>
        <w:rPr>
          <w:rFonts w:hint="eastAsia" w:ascii="仿宋_GB2312" w:hAnsi="仿宋_GB2312" w:eastAsia="仿宋_GB2312" w:cs="仿宋_GB2312"/>
          <w:b w:val="0"/>
          <w:bCs w:val="0"/>
          <w:sz w:val="32"/>
          <w:szCs w:val="32"/>
        </w:rPr>
        <w:t>信息安全技术网络攻击定义及描述规范</w:t>
      </w:r>
    </w:p>
    <w:p w14:paraId="68063C0A">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z w:val="32"/>
          <w:szCs w:val="32"/>
        </w:rPr>
      </w:pPr>
      <w:r>
        <w:rPr>
          <w:rStyle w:val="13"/>
          <w:rFonts w:hint="eastAsia" w:ascii="仿宋_GB2312" w:hAnsi="仿宋_GB2312" w:eastAsia="仿宋_GB2312" w:cs="仿宋_GB2312"/>
          <w:b w:val="0"/>
          <w:bCs w:val="0"/>
          <w:color w:val="000000"/>
          <w:sz w:val="32"/>
          <w:szCs w:val="32"/>
        </w:rPr>
        <w:t>GB/T</w:t>
      </w:r>
      <w:r>
        <w:rPr>
          <w:rStyle w:val="13"/>
          <w:rFonts w:hint="eastAsia" w:ascii="仿宋_GB2312" w:hAnsi="仿宋_GB2312" w:eastAsia="仿宋_GB2312" w:cs="仿宋_GB2312"/>
          <w:b w:val="0"/>
          <w:bCs w:val="0"/>
          <w:color w:val="000000"/>
          <w:sz w:val="32"/>
          <w:szCs w:val="32"/>
          <w:lang w:val="en-US" w:eastAsia="zh-CN"/>
        </w:rPr>
        <w:t xml:space="preserve"> </w:t>
      </w:r>
      <w:r>
        <w:rPr>
          <w:rStyle w:val="13"/>
          <w:rFonts w:hint="eastAsia" w:ascii="仿宋_GB2312" w:hAnsi="仿宋_GB2312" w:eastAsia="仿宋_GB2312" w:cs="仿宋_GB2312"/>
          <w:b w:val="0"/>
          <w:bCs w:val="0"/>
          <w:color w:val="000000"/>
          <w:sz w:val="32"/>
          <w:szCs w:val="32"/>
        </w:rPr>
        <w:t>22239-2019</w:t>
      </w:r>
      <w:r>
        <w:rPr>
          <w:rFonts w:hint="eastAsia" w:ascii="仿宋_GB2312" w:hAnsi="仿宋_GB2312" w:eastAsia="仿宋_GB2312" w:cs="仿宋_GB2312"/>
          <w:b w:val="0"/>
          <w:bCs w:val="0"/>
          <w:sz w:val="32"/>
          <w:szCs w:val="32"/>
        </w:rPr>
        <w:t>信息安全技术网络安全等级保护基本要求</w:t>
      </w:r>
    </w:p>
    <w:p w14:paraId="2BC27951">
      <w:pPr>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rPr>
        <w:t>Q/CSG</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1205056.1—2022中国南方电网有限责任公司电力安全工作规程</w:t>
      </w:r>
    </w:p>
    <w:p w14:paraId="35DCB7D0">
      <w:pPr>
        <w:pageBreakBefore w:val="0"/>
        <w:numPr>
          <w:ilvl w:val="0"/>
          <w:numId w:val="0"/>
        </w:numPr>
        <w:kinsoku/>
        <w:wordWrap/>
        <w:overflowPunct/>
        <w:topLinePunct w:val="0"/>
        <w:autoSpaceDE/>
        <w:autoSpaceDN/>
        <w:bidi w:val="0"/>
        <w:spacing w:line="560" w:lineRule="exact"/>
        <w:textAlignment w:val="auto"/>
        <w:rPr>
          <w:rFonts w:hint="eastAsia" w:ascii="楷体_GB2312" w:hAnsi="楷体_GB2312" w:eastAsia="楷体_GB2312" w:cs="楷体_GB2312"/>
          <w:b/>
          <w:bCs/>
          <w:sz w:val="32"/>
          <w:szCs w:val="32"/>
          <w:highlight w:val="none"/>
          <w:lang w:eastAsia="zh-CN"/>
        </w:rPr>
      </w:pPr>
      <w:r>
        <w:rPr>
          <w:rFonts w:hint="eastAsia" w:ascii="楷体_GB2312" w:hAnsi="楷体_GB2312" w:eastAsia="楷体_GB2312" w:cs="楷体_GB2312"/>
          <w:b/>
          <w:bCs/>
          <w:sz w:val="32"/>
          <w:szCs w:val="32"/>
          <w:highlight w:val="none"/>
          <w:lang w:val="en-US" w:eastAsia="zh-CN"/>
        </w:rPr>
        <w:t>4</w:t>
      </w:r>
      <w:r>
        <w:rPr>
          <w:rFonts w:hint="eastAsia" w:ascii="楷体_GB2312" w:hAnsi="楷体_GB2312" w:eastAsia="楷体_GB2312" w:cs="楷体_GB2312"/>
          <w:b/>
          <w:bCs/>
          <w:sz w:val="32"/>
          <w:szCs w:val="32"/>
          <w:highlight w:val="none"/>
          <w:lang w:eastAsia="zh-CN"/>
        </w:rPr>
        <w:t>项目范围</w:t>
      </w:r>
    </w:p>
    <w:p w14:paraId="5CBDA705">
      <w:pPr>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4.1采购范围：云南储能有限公司所属7座电站（小河沟、南汀河、落水洞、格雷一级、格雷二级、木垢、官寨电站，每个电站1台）态势感知采集终端版本升级及策略调试服务，本次</w:t>
      </w:r>
      <w:bookmarkStart w:id="3" w:name="_GoBack"/>
      <w:bookmarkEnd w:id="3"/>
      <w:r>
        <w:rPr>
          <w:rFonts w:hint="eastAsia" w:ascii="仿宋_GB2312" w:hAnsi="仿宋_GB2312" w:eastAsia="仿宋_GB2312" w:cs="仿宋_GB2312"/>
          <w:b w:val="0"/>
          <w:bCs w:val="0"/>
          <w:sz w:val="32"/>
          <w:szCs w:val="32"/>
          <w:lang w:val="en-US" w:eastAsia="zh-CN"/>
        </w:rPr>
        <w:t>采购项目为包干价。</w:t>
      </w:r>
    </w:p>
    <w:p w14:paraId="1FCFC39F">
      <w:pPr>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4.2云南储能有限公司所属7座电站地理位置</w:t>
      </w:r>
    </w:p>
    <w:p w14:paraId="10481363">
      <w:pPr>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4.2.1小河沟电站位于文山州西畴县莲花塘乡南面约6千米处。</w:t>
      </w:r>
    </w:p>
    <w:p w14:paraId="1EF3AB71">
      <w:pPr>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4.2.2南汀河电站位于西畴、马关、麻栗坡三县交界的盘龙河干流上，电站位于马关县南捞乡南汀河村，是盘龙河流域干流水电站梯级规划开发的第七级电站。距文山城区约95km。</w:t>
      </w:r>
    </w:p>
    <w:p w14:paraId="15E067E8">
      <w:pPr>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4.2.3落水洞电站位于云南省文山州西畴县新马街乡境内的盘龙河干流的下游河段，距文山州府所在地90公里，距下游梯级南汀河电站5公里。</w:t>
      </w:r>
    </w:p>
    <w:p w14:paraId="1DD4355D">
      <w:pPr>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4.2.4格雷一级电站位于丘北县平寨乡中寨村，距丘北县城区46km。</w:t>
      </w:r>
    </w:p>
    <w:p w14:paraId="293AB28C">
      <w:pPr>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4.2.5格雷二级电站位于丘北县平寨乡中寨村，距丘北县城区约65km，距文山城区156km。</w:t>
      </w:r>
    </w:p>
    <w:p w14:paraId="74A2DE8E">
      <w:pPr>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4.2.6官寨电站位于丘北县北部官寨乡小官寨村，距丘北县城区约51km。</w:t>
      </w:r>
    </w:p>
    <w:p w14:paraId="58510FCC">
      <w:pPr>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4.2.7木垢电站位于文山州富宁县花甲乡木垢村,距富宁县城距离约55公里。</w:t>
      </w:r>
    </w:p>
    <w:p w14:paraId="231278C6">
      <w:pPr>
        <w:pageBreakBefore w:val="0"/>
        <w:kinsoku/>
        <w:wordWrap/>
        <w:overflowPunct/>
        <w:topLinePunct w:val="0"/>
        <w:autoSpaceDE/>
        <w:autoSpaceDN/>
        <w:bidi w:val="0"/>
        <w:spacing w:line="560" w:lineRule="exact"/>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lang w:val="en-US" w:eastAsia="zh-CN"/>
        </w:rPr>
        <w:t>5</w:t>
      </w:r>
      <w:r>
        <w:rPr>
          <w:rFonts w:hint="eastAsia" w:ascii="楷体_GB2312" w:hAnsi="楷体_GB2312" w:eastAsia="楷体_GB2312" w:cs="楷体_GB2312"/>
          <w:b/>
          <w:bCs/>
          <w:sz w:val="32"/>
          <w:szCs w:val="32"/>
        </w:rPr>
        <w:t>技术</w:t>
      </w:r>
      <w:r>
        <w:rPr>
          <w:rFonts w:hint="eastAsia" w:ascii="楷体_GB2312" w:hAnsi="楷体_GB2312" w:eastAsia="楷体_GB2312" w:cs="楷体_GB2312"/>
          <w:b/>
          <w:bCs/>
          <w:sz w:val="32"/>
          <w:szCs w:val="32"/>
          <w:lang w:val="en-US" w:eastAsia="zh-CN"/>
        </w:rPr>
        <w:t>服务</w:t>
      </w:r>
      <w:r>
        <w:rPr>
          <w:rFonts w:hint="eastAsia" w:ascii="楷体_GB2312" w:hAnsi="楷体_GB2312" w:eastAsia="楷体_GB2312" w:cs="楷体_GB2312"/>
          <w:b/>
          <w:bCs/>
          <w:sz w:val="32"/>
          <w:szCs w:val="32"/>
        </w:rPr>
        <w:t>要求</w:t>
      </w:r>
    </w:p>
    <w:bookmarkEnd w:id="0"/>
    <w:p w14:paraId="6F638564">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bookmarkStart w:id="2" w:name="_Toc190748555"/>
      <w:r>
        <w:rPr>
          <w:rFonts w:hint="eastAsia" w:ascii="仿宋_GB2312" w:hAnsi="仿宋_GB2312" w:eastAsia="仿宋_GB2312" w:cs="仿宋_GB2312"/>
          <w:b w:val="0"/>
          <w:bCs w:val="0"/>
          <w:sz w:val="32"/>
          <w:szCs w:val="32"/>
          <w:lang w:val="en-US" w:eastAsia="zh-CN"/>
        </w:rPr>
        <w:t>1、态势感知采集终端主程序版本升至V2.0.B.8.3.6及以上</w:t>
      </w:r>
      <w:bookmarkEnd w:id="2"/>
      <w:r>
        <w:rPr>
          <w:rFonts w:hint="eastAsia" w:ascii="仿宋_GB2312" w:hAnsi="仿宋_GB2312" w:eastAsia="仿宋_GB2312" w:cs="仿宋_GB2312"/>
          <w:b w:val="0"/>
          <w:bCs w:val="0"/>
          <w:sz w:val="32"/>
          <w:szCs w:val="32"/>
          <w:lang w:val="en-US" w:eastAsia="zh-CN"/>
        </w:rPr>
        <w:t>；</w:t>
      </w:r>
    </w:p>
    <w:p w14:paraId="0320BB9F">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2、容器版本要求</w:t>
      </w:r>
    </w:p>
    <w:p w14:paraId="0C9D69CB">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检查采集装置管理容器、端口扫描业务容器、正向代理通道容器是否正常运行，是否升级到对应版本。</w:t>
      </w:r>
    </w:p>
    <w:p w14:paraId="567A2DEC">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（1）管理容器版本：tsgz_container_manage_1.0</w:t>
      </w:r>
    </w:p>
    <w:p w14:paraId="135FA59A">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（2）端口扫描业务容器版本（NMAP）：tsgz_nmap_app_2.0.2</w:t>
      </w:r>
    </w:p>
    <w:p w14:paraId="58FACDE8">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（3）正向代理通道版本（NSPT）：tsgz_channel_docker_2.1.3及以上</w:t>
      </w:r>
    </w:p>
    <w:p w14:paraId="1067CF81">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不满足要求应进行升级处理，保证厂站侧采集装置主程序版本与文山供电局主站漏洞扫描容器版本相适配。</w:t>
      </w:r>
    </w:p>
    <w:p w14:paraId="388E65C9">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3、网络策略要求：检查落实前置机与采集装置8801-8803、8901-8910策略是否开通。</w:t>
      </w:r>
    </w:p>
    <w:p w14:paraId="124810C7">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4、扫描注意事项</w:t>
      </w:r>
    </w:p>
    <w:p w14:paraId="1B6619C1">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（1）Nmap扫描要用全端口扫描，发现扫描失败即刻排查问题；</w:t>
      </w:r>
    </w:p>
    <w:p w14:paraId="474A9F7F">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（2）基于1中已经扫出端口的资产，开展FOFA扫描；如果Nmap端口扫描失败或Nmap扫描结果为0，则FOFA扫描一定不会有结果。</w:t>
      </w:r>
    </w:p>
    <w:p w14:paraId="57559473">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5、配合文山供电局网安完成态势感知系统欺骗诱捕功能（左脸2.0）在涉网侧的全面布防，实现对涉网网络非法设备接入的管控、威胁感知告警与攻击诱捕，提升涉网网络接入管控与攻击诱捕能力。</w:t>
      </w:r>
    </w:p>
    <w:p w14:paraId="7E812868">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6、乙方根据技术服务要求，至少派一名工作经验丰富的技术人员完成此项工作。</w:t>
      </w:r>
    </w:p>
    <w:p w14:paraId="6C058B78">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7、乙方在开展技术服务工作时应按照甲方网络安全管理要求，避免内外网互联事件，接入设备的调试电脑、U盘、硬盘等必须进行杀毒处理。</w:t>
      </w:r>
    </w:p>
    <w:p w14:paraId="4258AC6D">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8、乙方在程序版本升级及策略调试工作中，不得在甲方的设备上部署恶意代码程序和病毒。</w:t>
      </w:r>
    </w:p>
    <w:p w14:paraId="1006349C">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9、乙方完成每个电站的程序版本及策略调试工作后，须与文山供电局网安部门核实测试，确保升级调试后设备满足要求。</w:t>
      </w:r>
    </w:p>
    <w:p w14:paraId="58D0F2D0">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10、服务期限：预估1个月，自合同签订生效之日起至2026年06月30日前。</w:t>
      </w:r>
    </w:p>
    <w:p w14:paraId="7FAF7A3E">
      <w:pPr>
        <w:pageBreakBefore w:val="0"/>
        <w:kinsoku/>
        <w:wordWrap/>
        <w:overflowPunct/>
        <w:topLinePunct w:val="0"/>
        <w:autoSpaceDE/>
        <w:autoSpaceDN/>
        <w:bidi w:val="0"/>
        <w:spacing w:line="560" w:lineRule="exact"/>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6 其他</w:t>
      </w:r>
    </w:p>
    <w:p w14:paraId="7D6BDE8E">
      <w:pPr>
        <w:pageBreakBefore w:val="0"/>
        <w:numPr>
          <w:ilvl w:val="0"/>
          <w:numId w:val="3"/>
        </w:numPr>
        <w:kinsoku/>
        <w:wordWrap/>
        <w:overflowPunct/>
        <w:topLinePunct w:val="0"/>
        <w:autoSpaceDE/>
        <w:autoSpaceDN/>
        <w:bidi w:val="0"/>
        <w:spacing w:line="560" w:lineRule="exact"/>
        <w:ind w:firstLine="640" w:firstLineChars="200"/>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开展升级前，由甲方设备运维部门对乙方人员进行安规及保命教育培训，合格后方可开展工作。</w:t>
      </w:r>
      <w:bookmarkEnd w:id="1"/>
    </w:p>
    <w:p w14:paraId="59AA7D6D">
      <w:pPr>
        <w:pageBreakBefore w:val="0"/>
        <w:numPr>
          <w:ilvl w:val="0"/>
          <w:numId w:val="3"/>
        </w:numPr>
        <w:kinsoku/>
        <w:wordWrap/>
        <w:overflowPunct/>
        <w:topLinePunct w:val="0"/>
        <w:autoSpaceDE/>
        <w:autoSpaceDN/>
        <w:bidi w:val="0"/>
        <w:spacing w:line="560" w:lineRule="exact"/>
        <w:ind w:firstLine="640" w:firstLineChars="200"/>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为加强网络安全管控，乙方人员在进入厂站前，需提供背景审查表。</w:t>
      </w:r>
    </w:p>
    <w:p w14:paraId="0CA921CA">
      <w:pPr>
        <w:pageBreakBefore w:val="0"/>
        <w:numPr>
          <w:ilvl w:val="0"/>
          <w:numId w:val="3"/>
        </w:numPr>
        <w:kinsoku/>
        <w:wordWrap/>
        <w:overflowPunct/>
        <w:topLinePunct w:val="0"/>
        <w:autoSpaceDE/>
        <w:autoSpaceDN/>
        <w:bidi w:val="0"/>
        <w:spacing w:line="560" w:lineRule="exact"/>
        <w:ind w:firstLine="640" w:firstLineChars="200"/>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乙方应保证，所提供的技术服务或使用的工具应拥有合法使用版权。</w:t>
      </w:r>
    </w:p>
    <w:p w14:paraId="49C8CE1B">
      <w:pPr>
        <w:pageBreakBefore w:val="0"/>
        <w:numPr>
          <w:ilvl w:val="0"/>
          <w:numId w:val="3"/>
        </w:numPr>
        <w:kinsoku/>
        <w:wordWrap/>
        <w:overflowPunct/>
        <w:topLinePunct w:val="0"/>
        <w:autoSpaceDE/>
        <w:autoSpaceDN/>
        <w:bidi w:val="0"/>
        <w:spacing w:line="560" w:lineRule="exact"/>
        <w:ind w:firstLine="640" w:firstLineChars="200"/>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乙方应保证，甲方在接受乙方提供的服务时，如有第三方因该服务向甲方提出侵犯其专利权、商标权或其他知识产权的主张，该责任应由乙方承担。</w:t>
      </w:r>
    </w:p>
    <w:sectPr>
      <w:pgSz w:w="11906" w:h="16838"/>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294156"/>
    </w:sdtPr>
    <w:sdtContent>
      <w:p w14:paraId="0D726076">
        <w:pPr>
          <w:pStyle w:val="8"/>
          <w:jc w:val="center"/>
        </w:pPr>
        <w:r>
          <w:fldChar w:fldCharType="begin"/>
        </w:r>
        <w:r>
          <w:instrText xml:space="preserve"> PAGE   \* MERGEFORMAT </w:instrText>
        </w:r>
        <w:r>
          <w:fldChar w:fldCharType="separate"/>
        </w:r>
        <w:r>
          <w:rPr>
            <w:lang w:val="zh-CN"/>
          </w:rPr>
          <w:t>2</w:t>
        </w:r>
        <w:r>
          <w:rPr>
            <w:lang w:val="zh-CN"/>
          </w:rPr>
          <w:fldChar w:fldCharType="end"/>
        </w:r>
      </w:p>
    </w:sdtContent>
  </w:sdt>
  <w:p w14:paraId="2B976F89">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CB0A3A">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5430B0">
    <w:pPr>
      <w:pStyle w:val="8"/>
      <w:jc w:val="center"/>
    </w:pPr>
  </w:p>
  <w:p w14:paraId="3E626919">
    <w:pPr>
      <w:pStyle w:val="8"/>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8F10AE">
    <w:pPr>
      <w:pStyle w:val="9"/>
      <w:wordWrap w:val="0"/>
      <w:jc w:val="right"/>
      <w:rPr>
        <w:rFonts w:hint="eastAsia" w:eastAsia="宋体"/>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A0AB49">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17BD75">
    <w:pPr>
      <w:pStyle w:val="9"/>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23"/>
    <w:multiLevelType w:val="multilevel"/>
    <w:tmpl w:val="00000023"/>
    <w:lvl w:ilvl="0" w:tentative="0">
      <w:start w:val="1"/>
      <w:numFmt w:val="decimal"/>
      <w:lvlText w:val="%1)"/>
      <w:lvlJc w:val="center"/>
      <w:pPr>
        <w:tabs>
          <w:tab w:val="left" w:pos="440"/>
        </w:tabs>
        <w:ind w:left="80" w:firstLine="0"/>
      </w:pPr>
      <w:rPr>
        <w:rFonts w:hint="default" w:ascii="Arial" w:hAnsi="Arial" w:eastAsia="宋体"/>
        <w:b w:val="0"/>
        <w:i w:val="0"/>
        <w:sz w:val="24"/>
      </w:rPr>
    </w:lvl>
    <w:lvl w:ilvl="1" w:tentative="0">
      <w:start w:val="1"/>
      <w:numFmt w:val="decimal"/>
      <w:lvlText w:val="%1.%2"/>
      <w:lvlJc w:val="left"/>
      <w:pPr>
        <w:tabs>
          <w:tab w:val="left" w:pos="950"/>
        </w:tabs>
        <w:ind w:left="230" w:firstLine="0"/>
      </w:pPr>
      <w:rPr>
        <w:rFonts w:hint="default" w:ascii="Arial" w:hAnsi="Arial" w:eastAsia="宋体"/>
        <w:sz w:val="30"/>
      </w:rPr>
    </w:lvl>
    <w:lvl w:ilvl="2" w:tentative="0">
      <w:start w:val="1"/>
      <w:numFmt w:val="decimal"/>
      <w:lvlText w:val="%1.%2.%3"/>
      <w:lvlJc w:val="left"/>
      <w:pPr>
        <w:tabs>
          <w:tab w:val="left" w:pos="950"/>
        </w:tabs>
        <w:ind w:left="230" w:firstLine="0"/>
      </w:pPr>
      <w:rPr>
        <w:rFonts w:hint="default" w:ascii="Arial" w:hAnsi="Arial" w:eastAsia="宋体"/>
        <w:b/>
        <w:i w:val="0"/>
        <w:color w:val="000000"/>
        <w:sz w:val="24"/>
      </w:rPr>
    </w:lvl>
    <w:lvl w:ilvl="3" w:tentative="0">
      <w:start w:val="1"/>
      <w:numFmt w:val="decimal"/>
      <w:lvlText w:val="%1.%2.%3.%4"/>
      <w:lvlJc w:val="left"/>
      <w:pPr>
        <w:tabs>
          <w:tab w:val="left" w:pos="1310"/>
        </w:tabs>
        <w:ind w:left="230" w:firstLine="0"/>
      </w:pPr>
      <w:rPr>
        <w:rFonts w:hint="default" w:ascii="Arial" w:hAnsi="Arial" w:eastAsia="宋体"/>
        <w:b w:val="0"/>
        <w:i w:val="0"/>
        <w:sz w:val="24"/>
      </w:rPr>
    </w:lvl>
    <w:lvl w:ilvl="4" w:tentative="0">
      <w:start w:val="1"/>
      <w:numFmt w:val="decimal"/>
      <w:pStyle w:val="5"/>
      <w:lvlText w:val="（%5）"/>
      <w:lvlJc w:val="left"/>
      <w:pPr>
        <w:tabs>
          <w:tab w:val="left" w:pos="900"/>
        </w:tabs>
        <w:ind w:left="540" w:firstLine="0"/>
      </w:pPr>
      <w:rPr>
        <w:rFonts w:hint="eastAsia" w:ascii="Arial" w:hAnsi="Arial" w:eastAsia="宋体" w:cs="Times New Roman"/>
        <w:sz w:val="24"/>
        <w:lang w:val="en-US"/>
      </w:rPr>
    </w:lvl>
    <w:lvl w:ilvl="5" w:tentative="0">
      <w:start w:val="1"/>
      <w:numFmt w:val="decimal"/>
      <w:lvlText w:val="（%6）"/>
      <w:lvlJc w:val="left"/>
      <w:pPr>
        <w:tabs>
          <w:tab w:val="left" w:pos="3217"/>
        </w:tabs>
        <w:ind w:left="3415" w:hanging="2334"/>
      </w:pPr>
      <w:rPr>
        <w:rFonts w:hint="eastAsia"/>
        <w:b w:val="0"/>
        <w:i w:val="0"/>
        <w:sz w:val="24"/>
      </w:rPr>
    </w:lvl>
    <w:lvl w:ilvl="6" w:tentative="0">
      <w:start w:val="1"/>
      <w:numFmt w:val="decimal"/>
      <w:lvlText w:val="%7)"/>
      <w:lvlJc w:val="left"/>
      <w:pPr>
        <w:tabs>
          <w:tab w:val="left" w:pos="1449"/>
        </w:tabs>
        <w:ind w:left="1449" w:hanging="368"/>
      </w:pPr>
      <w:rPr>
        <w:rFonts w:hint="default" w:ascii="Times New Roman" w:hAnsi="Times New Roman" w:eastAsia="宋体"/>
      </w:rPr>
    </w:lvl>
    <w:lvl w:ilvl="7" w:tentative="0">
      <w:start w:val="1"/>
      <w:numFmt w:val="decimal"/>
      <w:lvlText w:val="%1.%2.%3.%4.%5.%6.%7.%8."/>
      <w:lvlJc w:val="left"/>
      <w:pPr>
        <w:tabs>
          <w:tab w:val="left" w:pos="1648"/>
        </w:tabs>
        <w:ind w:left="1648" w:hanging="1418"/>
      </w:pPr>
      <w:rPr>
        <w:rFonts w:hint="eastAsia"/>
      </w:rPr>
    </w:lvl>
    <w:lvl w:ilvl="8" w:tentative="0">
      <w:start w:val="1"/>
      <w:numFmt w:val="decimal"/>
      <w:lvlText w:val="%1.%2.%3.%4.%5.%6.%7.%8.%9."/>
      <w:lvlJc w:val="left"/>
      <w:pPr>
        <w:tabs>
          <w:tab w:val="left" w:pos="1789"/>
        </w:tabs>
        <w:ind w:left="1789" w:hanging="1559"/>
      </w:pPr>
      <w:rPr>
        <w:rFonts w:hint="eastAsia"/>
      </w:rPr>
    </w:lvl>
  </w:abstractNum>
  <w:abstractNum w:abstractNumId="1">
    <w:nsid w:val="214689F9"/>
    <w:multiLevelType w:val="singleLevel"/>
    <w:tmpl w:val="214689F9"/>
    <w:lvl w:ilvl="0" w:tentative="0">
      <w:start w:val="1"/>
      <w:numFmt w:val="decimal"/>
      <w:suff w:val="nothing"/>
      <w:lvlText w:val="%1、"/>
      <w:lvlJc w:val="left"/>
    </w:lvl>
  </w:abstractNum>
  <w:abstractNum w:abstractNumId="2">
    <w:nsid w:val="3DB0434E"/>
    <w:multiLevelType w:val="multilevel"/>
    <w:tmpl w:val="3DB0434E"/>
    <w:lvl w:ilvl="0" w:tentative="0">
      <w:start w:val="1"/>
      <w:numFmt w:val="decimal"/>
      <w:pStyle w:val="20"/>
      <w:lvlText w:val="第%1章"/>
      <w:lvlJc w:val="center"/>
      <w:pPr>
        <w:tabs>
          <w:tab w:val="left" w:pos="4831"/>
        </w:tabs>
        <w:ind w:left="4111" w:firstLine="0"/>
      </w:pPr>
      <w:rPr>
        <w:rFonts w:hint="default" w:ascii="Arial" w:hAnsi="Arial" w:eastAsia="宋体" w:cs="Times New Roman"/>
        <w:b/>
        <w:i w:val="0"/>
        <w:sz w:val="44"/>
        <w:szCs w:val="44"/>
      </w:rPr>
    </w:lvl>
    <w:lvl w:ilvl="1" w:tentative="0">
      <w:start w:val="1"/>
      <w:numFmt w:val="decimal"/>
      <w:lvlText w:val="%1.%2"/>
      <w:lvlJc w:val="left"/>
      <w:pPr>
        <w:tabs>
          <w:tab w:val="left" w:pos="1134"/>
        </w:tabs>
        <w:ind w:left="1134" w:hanging="1134"/>
      </w:pPr>
      <w:rPr>
        <w:rFonts w:hint="default" w:ascii="Arial" w:hAnsi="Arial" w:eastAsia="宋体" w:cs="Times New Roman"/>
        <w:sz w:val="24"/>
        <w:szCs w:val="24"/>
      </w:rPr>
    </w:lvl>
    <w:lvl w:ilvl="2" w:tentative="0">
      <w:start w:val="1"/>
      <w:numFmt w:val="decimal"/>
      <w:pStyle w:val="4"/>
      <w:lvlText w:val="%1.%2.%3"/>
      <w:lvlJc w:val="left"/>
      <w:pPr>
        <w:tabs>
          <w:tab w:val="left" w:pos="1134"/>
        </w:tabs>
        <w:ind w:left="1134" w:hanging="1134"/>
      </w:pPr>
      <w:rPr>
        <w:rFonts w:hint="default" w:ascii="Arial" w:hAnsi="Arial" w:eastAsia="宋体" w:cs="Times New Roman"/>
        <w:b w:val="0"/>
        <w:i w:val="0"/>
        <w:color w:val="000000"/>
        <w:sz w:val="24"/>
      </w:rPr>
    </w:lvl>
    <w:lvl w:ilvl="3" w:tentative="0">
      <w:start w:val="1"/>
      <w:numFmt w:val="decimal"/>
      <w:lvlText w:val="%1.%2.%3.%4"/>
      <w:lvlJc w:val="left"/>
      <w:pPr>
        <w:tabs>
          <w:tab w:val="left" w:pos="1134"/>
        </w:tabs>
        <w:ind w:left="1134" w:hanging="1134"/>
      </w:pPr>
      <w:rPr>
        <w:rFonts w:hint="default" w:ascii="Arial" w:hAnsi="Arial" w:eastAsia="宋体" w:cs="Times New Roman"/>
        <w:b w:val="0"/>
        <w:i w:val="0"/>
        <w:color w:val="auto"/>
        <w:sz w:val="24"/>
      </w:rPr>
    </w:lvl>
    <w:lvl w:ilvl="4" w:tentative="0">
      <w:start w:val="1"/>
      <w:numFmt w:val="decimal"/>
      <w:lvlText w:val="（%5）"/>
      <w:lvlJc w:val="left"/>
      <w:pPr>
        <w:tabs>
          <w:tab w:val="left" w:pos="1134"/>
        </w:tabs>
        <w:ind w:left="1134" w:hanging="1134"/>
      </w:pPr>
      <w:rPr>
        <w:rFonts w:hint="default" w:ascii="Arial" w:hAnsi="Arial" w:eastAsia="宋体" w:cs="Arial"/>
        <w:sz w:val="24"/>
      </w:rPr>
    </w:lvl>
    <w:lvl w:ilvl="5" w:tentative="0">
      <w:start w:val="1"/>
      <w:numFmt w:val="decimal"/>
      <w:lvlText w:val="%6)"/>
      <w:lvlJc w:val="left"/>
      <w:pPr>
        <w:tabs>
          <w:tab w:val="left" w:pos="1134"/>
        </w:tabs>
        <w:ind w:left="1134" w:hanging="1077"/>
      </w:pPr>
      <w:rPr>
        <w:rFonts w:hint="default" w:ascii="Arial" w:hAnsi="Arial" w:eastAsia="宋体" w:cs="Arial"/>
      </w:rPr>
    </w:lvl>
    <w:lvl w:ilvl="6" w:tentative="0">
      <w:start w:val="1"/>
      <w:numFmt w:val="decimal"/>
      <w:lvlText w:val="%7)"/>
      <w:lvlJc w:val="left"/>
      <w:pPr>
        <w:tabs>
          <w:tab w:val="left" w:pos="1369"/>
        </w:tabs>
        <w:ind w:left="1369" w:hanging="368"/>
      </w:pPr>
      <w:rPr>
        <w:rFonts w:hint="default" w:ascii="Times New Roman" w:hAnsi="Times New Roman" w:eastAsia="宋体" w:cs="Times New Roman"/>
      </w:rPr>
    </w:lvl>
    <w:lvl w:ilvl="7" w:tentative="0">
      <w:start w:val="1"/>
      <w:numFmt w:val="decimal"/>
      <w:lvlText w:val="%1.%2.%3.%4.%5.%6.%7.%8."/>
      <w:lvlJc w:val="left"/>
      <w:pPr>
        <w:tabs>
          <w:tab w:val="left" w:pos="1568"/>
        </w:tabs>
        <w:ind w:left="1568" w:hanging="1418"/>
      </w:pPr>
      <w:rPr>
        <w:rFonts w:hint="eastAsia" w:cs="Times New Roman"/>
      </w:rPr>
    </w:lvl>
    <w:lvl w:ilvl="8" w:tentative="0">
      <w:start w:val="1"/>
      <w:numFmt w:val="decimal"/>
      <w:lvlText w:val="%1.%2.%3.%4.%5.%6.%7.%8.%9."/>
      <w:lvlJc w:val="left"/>
      <w:pPr>
        <w:tabs>
          <w:tab w:val="left" w:pos="1709"/>
        </w:tabs>
        <w:ind w:left="1709" w:hanging="1559"/>
      </w:pPr>
      <w:rPr>
        <w:rFonts w:hint="eastAsia"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172A27"/>
    <w:rsid w:val="00001A2F"/>
    <w:rsid w:val="0000742A"/>
    <w:rsid w:val="0002025F"/>
    <w:rsid w:val="00026020"/>
    <w:rsid w:val="00034A28"/>
    <w:rsid w:val="00036490"/>
    <w:rsid w:val="000377BD"/>
    <w:rsid w:val="00046B33"/>
    <w:rsid w:val="0006236B"/>
    <w:rsid w:val="000630AB"/>
    <w:rsid w:val="000724D0"/>
    <w:rsid w:val="00072D81"/>
    <w:rsid w:val="00075F7C"/>
    <w:rsid w:val="000A0602"/>
    <w:rsid w:val="000B46F1"/>
    <w:rsid w:val="000B4B4A"/>
    <w:rsid w:val="000B4E8C"/>
    <w:rsid w:val="000B5E28"/>
    <w:rsid w:val="000B7929"/>
    <w:rsid w:val="000D1CFF"/>
    <w:rsid w:val="000E59C0"/>
    <w:rsid w:val="000F4893"/>
    <w:rsid w:val="000F7480"/>
    <w:rsid w:val="000F77EE"/>
    <w:rsid w:val="00100DF4"/>
    <w:rsid w:val="00102A1D"/>
    <w:rsid w:val="00135B35"/>
    <w:rsid w:val="001367CF"/>
    <w:rsid w:val="001470D7"/>
    <w:rsid w:val="001568A6"/>
    <w:rsid w:val="00164EAA"/>
    <w:rsid w:val="00166244"/>
    <w:rsid w:val="00171DD3"/>
    <w:rsid w:val="0017413E"/>
    <w:rsid w:val="00191D7A"/>
    <w:rsid w:val="0019586E"/>
    <w:rsid w:val="001A48D2"/>
    <w:rsid w:val="001B0822"/>
    <w:rsid w:val="001B1841"/>
    <w:rsid w:val="001B3484"/>
    <w:rsid w:val="001B41BA"/>
    <w:rsid w:val="001B6D69"/>
    <w:rsid w:val="001D7627"/>
    <w:rsid w:val="001F1399"/>
    <w:rsid w:val="001F29D8"/>
    <w:rsid w:val="001F7845"/>
    <w:rsid w:val="0020594B"/>
    <w:rsid w:val="00214C3F"/>
    <w:rsid w:val="00220393"/>
    <w:rsid w:val="00226444"/>
    <w:rsid w:val="00230913"/>
    <w:rsid w:val="00230ADD"/>
    <w:rsid w:val="00231E8C"/>
    <w:rsid w:val="00236652"/>
    <w:rsid w:val="00237529"/>
    <w:rsid w:val="00254737"/>
    <w:rsid w:val="00272DD8"/>
    <w:rsid w:val="00274C9B"/>
    <w:rsid w:val="00281745"/>
    <w:rsid w:val="00282A5D"/>
    <w:rsid w:val="00285E97"/>
    <w:rsid w:val="00291DE4"/>
    <w:rsid w:val="002A411C"/>
    <w:rsid w:val="002A53B3"/>
    <w:rsid w:val="002C4D14"/>
    <w:rsid w:val="002C7CC9"/>
    <w:rsid w:val="002D4473"/>
    <w:rsid w:val="002E169F"/>
    <w:rsid w:val="002F0A36"/>
    <w:rsid w:val="002F51E4"/>
    <w:rsid w:val="002F6D00"/>
    <w:rsid w:val="002F794C"/>
    <w:rsid w:val="003000AE"/>
    <w:rsid w:val="00302B7D"/>
    <w:rsid w:val="00306C62"/>
    <w:rsid w:val="00311643"/>
    <w:rsid w:val="00314A47"/>
    <w:rsid w:val="0032204F"/>
    <w:rsid w:val="00326177"/>
    <w:rsid w:val="00327A4C"/>
    <w:rsid w:val="00330994"/>
    <w:rsid w:val="00335E4A"/>
    <w:rsid w:val="00352ADD"/>
    <w:rsid w:val="00371D35"/>
    <w:rsid w:val="003828B9"/>
    <w:rsid w:val="00385F98"/>
    <w:rsid w:val="00391D48"/>
    <w:rsid w:val="003949D1"/>
    <w:rsid w:val="003957B9"/>
    <w:rsid w:val="0039712E"/>
    <w:rsid w:val="003B25EC"/>
    <w:rsid w:val="003B4916"/>
    <w:rsid w:val="003C33C9"/>
    <w:rsid w:val="003C41BB"/>
    <w:rsid w:val="003C467C"/>
    <w:rsid w:val="003D0B78"/>
    <w:rsid w:val="003E156A"/>
    <w:rsid w:val="003E28E0"/>
    <w:rsid w:val="003E5F94"/>
    <w:rsid w:val="003F0897"/>
    <w:rsid w:val="0040094E"/>
    <w:rsid w:val="00411DD5"/>
    <w:rsid w:val="00414F82"/>
    <w:rsid w:val="00416C46"/>
    <w:rsid w:val="00433106"/>
    <w:rsid w:val="004359CF"/>
    <w:rsid w:val="00452150"/>
    <w:rsid w:val="00464C99"/>
    <w:rsid w:val="004900A8"/>
    <w:rsid w:val="004A24AA"/>
    <w:rsid w:val="004B18EF"/>
    <w:rsid w:val="004B2230"/>
    <w:rsid w:val="004B5EEB"/>
    <w:rsid w:val="004B6431"/>
    <w:rsid w:val="004C19D2"/>
    <w:rsid w:val="004C28B5"/>
    <w:rsid w:val="004C2EA2"/>
    <w:rsid w:val="004D0145"/>
    <w:rsid w:val="004D4517"/>
    <w:rsid w:val="004E0210"/>
    <w:rsid w:val="004E043C"/>
    <w:rsid w:val="004E4B4B"/>
    <w:rsid w:val="004E5E9D"/>
    <w:rsid w:val="004F4B8F"/>
    <w:rsid w:val="0050142A"/>
    <w:rsid w:val="00513099"/>
    <w:rsid w:val="00514B39"/>
    <w:rsid w:val="0051577B"/>
    <w:rsid w:val="005171C6"/>
    <w:rsid w:val="00523414"/>
    <w:rsid w:val="005274ED"/>
    <w:rsid w:val="00533E65"/>
    <w:rsid w:val="00534E7B"/>
    <w:rsid w:val="00540B72"/>
    <w:rsid w:val="00555B0F"/>
    <w:rsid w:val="00557687"/>
    <w:rsid w:val="0056484D"/>
    <w:rsid w:val="005701FA"/>
    <w:rsid w:val="005715E9"/>
    <w:rsid w:val="00584749"/>
    <w:rsid w:val="00590A4C"/>
    <w:rsid w:val="005952B5"/>
    <w:rsid w:val="005B2BAA"/>
    <w:rsid w:val="005C7120"/>
    <w:rsid w:val="005D3CBC"/>
    <w:rsid w:val="005E262B"/>
    <w:rsid w:val="005E399F"/>
    <w:rsid w:val="005E4E41"/>
    <w:rsid w:val="005F59F4"/>
    <w:rsid w:val="006059F3"/>
    <w:rsid w:val="006079D5"/>
    <w:rsid w:val="0062655F"/>
    <w:rsid w:val="00633BD1"/>
    <w:rsid w:val="00642550"/>
    <w:rsid w:val="00650515"/>
    <w:rsid w:val="0065070A"/>
    <w:rsid w:val="00660462"/>
    <w:rsid w:val="00660611"/>
    <w:rsid w:val="00660990"/>
    <w:rsid w:val="0066342A"/>
    <w:rsid w:val="00676868"/>
    <w:rsid w:val="006807F0"/>
    <w:rsid w:val="00684DB0"/>
    <w:rsid w:val="00685A3E"/>
    <w:rsid w:val="00690896"/>
    <w:rsid w:val="006909EE"/>
    <w:rsid w:val="00693D23"/>
    <w:rsid w:val="00694045"/>
    <w:rsid w:val="0069631E"/>
    <w:rsid w:val="006A0AB4"/>
    <w:rsid w:val="006A41B5"/>
    <w:rsid w:val="006B1B5F"/>
    <w:rsid w:val="006C1271"/>
    <w:rsid w:val="006C552C"/>
    <w:rsid w:val="006C6215"/>
    <w:rsid w:val="006E0CD0"/>
    <w:rsid w:val="006E6280"/>
    <w:rsid w:val="006F2120"/>
    <w:rsid w:val="006F3823"/>
    <w:rsid w:val="006F49C3"/>
    <w:rsid w:val="007064D3"/>
    <w:rsid w:val="0070662B"/>
    <w:rsid w:val="007149DB"/>
    <w:rsid w:val="00724624"/>
    <w:rsid w:val="00734786"/>
    <w:rsid w:val="007361E4"/>
    <w:rsid w:val="0074322D"/>
    <w:rsid w:val="00743B2D"/>
    <w:rsid w:val="0074408D"/>
    <w:rsid w:val="0075465F"/>
    <w:rsid w:val="007633C1"/>
    <w:rsid w:val="007752A2"/>
    <w:rsid w:val="00792F13"/>
    <w:rsid w:val="00797516"/>
    <w:rsid w:val="007A4796"/>
    <w:rsid w:val="007A7F99"/>
    <w:rsid w:val="007B4467"/>
    <w:rsid w:val="007B5322"/>
    <w:rsid w:val="007C0469"/>
    <w:rsid w:val="007C5614"/>
    <w:rsid w:val="007D729B"/>
    <w:rsid w:val="007E2FC6"/>
    <w:rsid w:val="007E47D3"/>
    <w:rsid w:val="007E502E"/>
    <w:rsid w:val="007E5358"/>
    <w:rsid w:val="007F6046"/>
    <w:rsid w:val="008052D6"/>
    <w:rsid w:val="00811F3E"/>
    <w:rsid w:val="0081460E"/>
    <w:rsid w:val="0082008F"/>
    <w:rsid w:val="00822DAD"/>
    <w:rsid w:val="008234A9"/>
    <w:rsid w:val="00823B79"/>
    <w:rsid w:val="00842BEF"/>
    <w:rsid w:val="008500EA"/>
    <w:rsid w:val="0086453E"/>
    <w:rsid w:val="00870CCB"/>
    <w:rsid w:val="00875C84"/>
    <w:rsid w:val="00897AEC"/>
    <w:rsid w:val="008A2F03"/>
    <w:rsid w:val="008B0432"/>
    <w:rsid w:val="008B2752"/>
    <w:rsid w:val="008B4DF7"/>
    <w:rsid w:val="008C189C"/>
    <w:rsid w:val="008C4AB3"/>
    <w:rsid w:val="008D32FF"/>
    <w:rsid w:val="008E2FF0"/>
    <w:rsid w:val="008E74F6"/>
    <w:rsid w:val="008F650D"/>
    <w:rsid w:val="00917465"/>
    <w:rsid w:val="0092308A"/>
    <w:rsid w:val="009254A5"/>
    <w:rsid w:val="00926135"/>
    <w:rsid w:val="0093192C"/>
    <w:rsid w:val="00934AD3"/>
    <w:rsid w:val="009407B7"/>
    <w:rsid w:val="00943BEC"/>
    <w:rsid w:val="00947B8F"/>
    <w:rsid w:val="00951569"/>
    <w:rsid w:val="00951B32"/>
    <w:rsid w:val="00955568"/>
    <w:rsid w:val="00957C07"/>
    <w:rsid w:val="0098371E"/>
    <w:rsid w:val="0099046B"/>
    <w:rsid w:val="009A0EE3"/>
    <w:rsid w:val="009A1BC9"/>
    <w:rsid w:val="009A3F34"/>
    <w:rsid w:val="009A47CD"/>
    <w:rsid w:val="009A7369"/>
    <w:rsid w:val="009B54B6"/>
    <w:rsid w:val="009B7529"/>
    <w:rsid w:val="009D2A4B"/>
    <w:rsid w:val="009D4274"/>
    <w:rsid w:val="009D43CF"/>
    <w:rsid w:val="009E4427"/>
    <w:rsid w:val="009E5EBA"/>
    <w:rsid w:val="009E6CF9"/>
    <w:rsid w:val="009F16AF"/>
    <w:rsid w:val="00A07144"/>
    <w:rsid w:val="00A143E8"/>
    <w:rsid w:val="00A23DDF"/>
    <w:rsid w:val="00A24274"/>
    <w:rsid w:val="00A52318"/>
    <w:rsid w:val="00A6647D"/>
    <w:rsid w:val="00A7028B"/>
    <w:rsid w:val="00A737D5"/>
    <w:rsid w:val="00A853B0"/>
    <w:rsid w:val="00A9230F"/>
    <w:rsid w:val="00A9369B"/>
    <w:rsid w:val="00AA1A50"/>
    <w:rsid w:val="00AA72EB"/>
    <w:rsid w:val="00AB27D1"/>
    <w:rsid w:val="00AC32BE"/>
    <w:rsid w:val="00AC7A8B"/>
    <w:rsid w:val="00AE3D40"/>
    <w:rsid w:val="00AE67D2"/>
    <w:rsid w:val="00AF062B"/>
    <w:rsid w:val="00AF3C3F"/>
    <w:rsid w:val="00AF5596"/>
    <w:rsid w:val="00AF7DC5"/>
    <w:rsid w:val="00B032E5"/>
    <w:rsid w:val="00B03AFC"/>
    <w:rsid w:val="00B239E2"/>
    <w:rsid w:val="00B272CE"/>
    <w:rsid w:val="00B30084"/>
    <w:rsid w:val="00B322C0"/>
    <w:rsid w:val="00B41FDC"/>
    <w:rsid w:val="00B46A8C"/>
    <w:rsid w:val="00B50CDD"/>
    <w:rsid w:val="00B54980"/>
    <w:rsid w:val="00B5532B"/>
    <w:rsid w:val="00B57C6F"/>
    <w:rsid w:val="00B60D8D"/>
    <w:rsid w:val="00B62A2C"/>
    <w:rsid w:val="00B70165"/>
    <w:rsid w:val="00B73AA8"/>
    <w:rsid w:val="00B74487"/>
    <w:rsid w:val="00B8284B"/>
    <w:rsid w:val="00B83BE5"/>
    <w:rsid w:val="00B85696"/>
    <w:rsid w:val="00B92139"/>
    <w:rsid w:val="00B97C79"/>
    <w:rsid w:val="00BA106B"/>
    <w:rsid w:val="00BA2D88"/>
    <w:rsid w:val="00BA426C"/>
    <w:rsid w:val="00BA4307"/>
    <w:rsid w:val="00BB7ED1"/>
    <w:rsid w:val="00BC2346"/>
    <w:rsid w:val="00BD1006"/>
    <w:rsid w:val="00BE52FD"/>
    <w:rsid w:val="00BF50F6"/>
    <w:rsid w:val="00C010C0"/>
    <w:rsid w:val="00C024C6"/>
    <w:rsid w:val="00C033D8"/>
    <w:rsid w:val="00C04DB1"/>
    <w:rsid w:val="00C0721C"/>
    <w:rsid w:val="00C10A9F"/>
    <w:rsid w:val="00C11796"/>
    <w:rsid w:val="00C11F78"/>
    <w:rsid w:val="00C13E34"/>
    <w:rsid w:val="00C22459"/>
    <w:rsid w:val="00C23153"/>
    <w:rsid w:val="00C248DA"/>
    <w:rsid w:val="00C32F20"/>
    <w:rsid w:val="00C35208"/>
    <w:rsid w:val="00C403FE"/>
    <w:rsid w:val="00C44C0F"/>
    <w:rsid w:val="00C47144"/>
    <w:rsid w:val="00C54351"/>
    <w:rsid w:val="00C5723C"/>
    <w:rsid w:val="00C605A9"/>
    <w:rsid w:val="00C67A20"/>
    <w:rsid w:val="00C70127"/>
    <w:rsid w:val="00C7210C"/>
    <w:rsid w:val="00C745D4"/>
    <w:rsid w:val="00C774BB"/>
    <w:rsid w:val="00C83D1C"/>
    <w:rsid w:val="00C90FC4"/>
    <w:rsid w:val="00C94774"/>
    <w:rsid w:val="00C952C2"/>
    <w:rsid w:val="00CB3883"/>
    <w:rsid w:val="00CB3BBD"/>
    <w:rsid w:val="00CB63F0"/>
    <w:rsid w:val="00CC2850"/>
    <w:rsid w:val="00CC3CBF"/>
    <w:rsid w:val="00CC69B0"/>
    <w:rsid w:val="00CD30D0"/>
    <w:rsid w:val="00CD49B6"/>
    <w:rsid w:val="00CF364E"/>
    <w:rsid w:val="00CF3C19"/>
    <w:rsid w:val="00D0403A"/>
    <w:rsid w:val="00D04497"/>
    <w:rsid w:val="00D13193"/>
    <w:rsid w:val="00D13195"/>
    <w:rsid w:val="00D1477D"/>
    <w:rsid w:val="00D150A2"/>
    <w:rsid w:val="00D17957"/>
    <w:rsid w:val="00D25DB6"/>
    <w:rsid w:val="00D30991"/>
    <w:rsid w:val="00D30A3D"/>
    <w:rsid w:val="00D355BE"/>
    <w:rsid w:val="00D358C1"/>
    <w:rsid w:val="00D36867"/>
    <w:rsid w:val="00D36EAB"/>
    <w:rsid w:val="00D5352F"/>
    <w:rsid w:val="00D54973"/>
    <w:rsid w:val="00D57250"/>
    <w:rsid w:val="00D57E84"/>
    <w:rsid w:val="00D6397A"/>
    <w:rsid w:val="00D64150"/>
    <w:rsid w:val="00D6442B"/>
    <w:rsid w:val="00D65013"/>
    <w:rsid w:val="00D715AF"/>
    <w:rsid w:val="00D76461"/>
    <w:rsid w:val="00D8274C"/>
    <w:rsid w:val="00D86FD8"/>
    <w:rsid w:val="00D9136C"/>
    <w:rsid w:val="00D93815"/>
    <w:rsid w:val="00D93B45"/>
    <w:rsid w:val="00DA36FA"/>
    <w:rsid w:val="00DB2BBC"/>
    <w:rsid w:val="00DB4500"/>
    <w:rsid w:val="00DB72DB"/>
    <w:rsid w:val="00DC011D"/>
    <w:rsid w:val="00DC5449"/>
    <w:rsid w:val="00DC5821"/>
    <w:rsid w:val="00DD4F4C"/>
    <w:rsid w:val="00DE1BA7"/>
    <w:rsid w:val="00DF1603"/>
    <w:rsid w:val="00DF2BB9"/>
    <w:rsid w:val="00DF6584"/>
    <w:rsid w:val="00E0086F"/>
    <w:rsid w:val="00E026C6"/>
    <w:rsid w:val="00E036A5"/>
    <w:rsid w:val="00E11CAE"/>
    <w:rsid w:val="00E124F3"/>
    <w:rsid w:val="00E16C45"/>
    <w:rsid w:val="00E21F9E"/>
    <w:rsid w:val="00E23B88"/>
    <w:rsid w:val="00E37E05"/>
    <w:rsid w:val="00E42A6E"/>
    <w:rsid w:val="00E5118D"/>
    <w:rsid w:val="00E53E84"/>
    <w:rsid w:val="00E603EB"/>
    <w:rsid w:val="00E60A4E"/>
    <w:rsid w:val="00E8493A"/>
    <w:rsid w:val="00E856A7"/>
    <w:rsid w:val="00E90975"/>
    <w:rsid w:val="00E932C0"/>
    <w:rsid w:val="00E968FF"/>
    <w:rsid w:val="00E96BF6"/>
    <w:rsid w:val="00E96DEC"/>
    <w:rsid w:val="00E97296"/>
    <w:rsid w:val="00EB2517"/>
    <w:rsid w:val="00EC0E61"/>
    <w:rsid w:val="00EC17D6"/>
    <w:rsid w:val="00EC2599"/>
    <w:rsid w:val="00ED0C86"/>
    <w:rsid w:val="00ED129B"/>
    <w:rsid w:val="00EE7D38"/>
    <w:rsid w:val="00F02717"/>
    <w:rsid w:val="00F034D8"/>
    <w:rsid w:val="00F05E33"/>
    <w:rsid w:val="00F20759"/>
    <w:rsid w:val="00F20BF8"/>
    <w:rsid w:val="00F230ED"/>
    <w:rsid w:val="00F23210"/>
    <w:rsid w:val="00F32FDA"/>
    <w:rsid w:val="00F3667B"/>
    <w:rsid w:val="00F45985"/>
    <w:rsid w:val="00F55BF6"/>
    <w:rsid w:val="00F57B86"/>
    <w:rsid w:val="00F63644"/>
    <w:rsid w:val="00F67D7E"/>
    <w:rsid w:val="00F72547"/>
    <w:rsid w:val="00F85962"/>
    <w:rsid w:val="00F90196"/>
    <w:rsid w:val="00F94C72"/>
    <w:rsid w:val="00FB5BB0"/>
    <w:rsid w:val="00FD1C53"/>
    <w:rsid w:val="00FD39F6"/>
    <w:rsid w:val="00FE22AA"/>
    <w:rsid w:val="00FE2C42"/>
    <w:rsid w:val="00FE3611"/>
    <w:rsid w:val="00FE4205"/>
    <w:rsid w:val="00FF1355"/>
    <w:rsid w:val="01690383"/>
    <w:rsid w:val="01B54634"/>
    <w:rsid w:val="031777E0"/>
    <w:rsid w:val="042F7901"/>
    <w:rsid w:val="04433A88"/>
    <w:rsid w:val="05504736"/>
    <w:rsid w:val="076D6D88"/>
    <w:rsid w:val="07701543"/>
    <w:rsid w:val="0786624A"/>
    <w:rsid w:val="08F07D49"/>
    <w:rsid w:val="095F7C8D"/>
    <w:rsid w:val="0B1B144E"/>
    <w:rsid w:val="0BA26AC4"/>
    <w:rsid w:val="0BA77369"/>
    <w:rsid w:val="0C8B5F09"/>
    <w:rsid w:val="0CC23665"/>
    <w:rsid w:val="0D0230E3"/>
    <w:rsid w:val="0D5426C1"/>
    <w:rsid w:val="0E6B5485"/>
    <w:rsid w:val="0EF73BB7"/>
    <w:rsid w:val="0F11271D"/>
    <w:rsid w:val="0F6D4F48"/>
    <w:rsid w:val="102717DF"/>
    <w:rsid w:val="11096801"/>
    <w:rsid w:val="12AA5F2D"/>
    <w:rsid w:val="12E30EA6"/>
    <w:rsid w:val="130B3BF1"/>
    <w:rsid w:val="13115960"/>
    <w:rsid w:val="131658F6"/>
    <w:rsid w:val="14612903"/>
    <w:rsid w:val="149C2963"/>
    <w:rsid w:val="15682D04"/>
    <w:rsid w:val="156B2304"/>
    <w:rsid w:val="161E10B5"/>
    <w:rsid w:val="16EF256B"/>
    <w:rsid w:val="1967503C"/>
    <w:rsid w:val="1A374E47"/>
    <w:rsid w:val="1B3B3CBE"/>
    <w:rsid w:val="1C1171A6"/>
    <w:rsid w:val="1C3D4A1D"/>
    <w:rsid w:val="1C9E6CDD"/>
    <w:rsid w:val="1CEA6E7C"/>
    <w:rsid w:val="1EAE4AFF"/>
    <w:rsid w:val="1FB72F60"/>
    <w:rsid w:val="215E2DFC"/>
    <w:rsid w:val="21BE0E1C"/>
    <w:rsid w:val="21EC748B"/>
    <w:rsid w:val="225D1354"/>
    <w:rsid w:val="227F2CA6"/>
    <w:rsid w:val="242400F5"/>
    <w:rsid w:val="25CF4FC8"/>
    <w:rsid w:val="26717497"/>
    <w:rsid w:val="28E833BD"/>
    <w:rsid w:val="29724C64"/>
    <w:rsid w:val="2AB26AFB"/>
    <w:rsid w:val="2E1B5B30"/>
    <w:rsid w:val="2E9256F4"/>
    <w:rsid w:val="2EEF770D"/>
    <w:rsid w:val="2EF9389F"/>
    <w:rsid w:val="301C6E7A"/>
    <w:rsid w:val="30E3485D"/>
    <w:rsid w:val="30FB1A58"/>
    <w:rsid w:val="312C68B0"/>
    <w:rsid w:val="32923106"/>
    <w:rsid w:val="32E80292"/>
    <w:rsid w:val="342149F6"/>
    <w:rsid w:val="34D8448F"/>
    <w:rsid w:val="36093B1A"/>
    <w:rsid w:val="36D570C3"/>
    <w:rsid w:val="3702134C"/>
    <w:rsid w:val="37D75F3D"/>
    <w:rsid w:val="38750168"/>
    <w:rsid w:val="38A77EAE"/>
    <w:rsid w:val="38F52675"/>
    <w:rsid w:val="3B9976C2"/>
    <w:rsid w:val="3C153CA2"/>
    <w:rsid w:val="3C73623A"/>
    <w:rsid w:val="3CD704DD"/>
    <w:rsid w:val="3DBC3B81"/>
    <w:rsid w:val="3E844D20"/>
    <w:rsid w:val="3ED25255"/>
    <w:rsid w:val="3EE94A45"/>
    <w:rsid w:val="3F5B4EF3"/>
    <w:rsid w:val="40474F9D"/>
    <w:rsid w:val="407F5DE0"/>
    <w:rsid w:val="40C17BAB"/>
    <w:rsid w:val="42795B9B"/>
    <w:rsid w:val="432A0251"/>
    <w:rsid w:val="447016D8"/>
    <w:rsid w:val="45387C9D"/>
    <w:rsid w:val="467847E8"/>
    <w:rsid w:val="484B054D"/>
    <w:rsid w:val="497D0D1A"/>
    <w:rsid w:val="49D85BA9"/>
    <w:rsid w:val="4BB739C1"/>
    <w:rsid w:val="4C1C1CC8"/>
    <w:rsid w:val="4CC730C4"/>
    <w:rsid w:val="4E8F2767"/>
    <w:rsid w:val="4EAE0168"/>
    <w:rsid w:val="50A86FE0"/>
    <w:rsid w:val="52374313"/>
    <w:rsid w:val="531C228E"/>
    <w:rsid w:val="53B87967"/>
    <w:rsid w:val="55633FAD"/>
    <w:rsid w:val="559E74F5"/>
    <w:rsid w:val="56372584"/>
    <w:rsid w:val="583F2149"/>
    <w:rsid w:val="58D82D49"/>
    <w:rsid w:val="591A03DA"/>
    <w:rsid w:val="59613916"/>
    <w:rsid w:val="59A675BF"/>
    <w:rsid w:val="5A065C2C"/>
    <w:rsid w:val="5B4840A3"/>
    <w:rsid w:val="5B96494F"/>
    <w:rsid w:val="5C2B702F"/>
    <w:rsid w:val="5C3373F4"/>
    <w:rsid w:val="5E0A51EB"/>
    <w:rsid w:val="5F7808C2"/>
    <w:rsid w:val="60E86C20"/>
    <w:rsid w:val="613F0566"/>
    <w:rsid w:val="62904D9D"/>
    <w:rsid w:val="629A1EE5"/>
    <w:rsid w:val="65DD488D"/>
    <w:rsid w:val="67130B29"/>
    <w:rsid w:val="67655480"/>
    <w:rsid w:val="67AC6A79"/>
    <w:rsid w:val="67EE79C3"/>
    <w:rsid w:val="68524858"/>
    <w:rsid w:val="69747113"/>
    <w:rsid w:val="69AA70FD"/>
    <w:rsid w:val="6A7D6981"/>
    <w:rsid w:val="6AF46550"/>
    <w:rsid w:val="6B061D23"/>
    <w:rsid w:val="6BA3751B"/>
    <w:rsid w:val="6C124E49"/>
    <w:rsid w:val="6C9A7162"/>
    <w:rsid w:val="6D103DCA"/>
    <w:rsid w:val="6D8220B7"/>
    <w:rsid w:val="6DFC2E42"/>
    <w:rsid w:val="6EF21BA3"/>
    <w:rsid w:val="6FB807B5"/>
    <w:rsid w:val="715E0DC0"/>
    <w:rsid w:val="731559C6"/>
    <w:rsid w:val="73925BAA"/>
    <w:rsid w:val="74CA1143"/>
    <w:rsid w:val="76361FD5"/>
    <w:rsid w:val="76BB3AF2"/>
    <w:rsid w:val="788B0CC9"/>
    <w:rsid w:val="79DA4962"/>
    <w:rsid w:val="7A122F99"/>
    <w:rsid w:val="7A932B57"/>
    <w:rsid w:val="7C2E3D6D"/>
    <w:rsid w:val="7C6E449F"/>
    <w:rsid w:val="7D6733BC"/>
    <w:rsid w:val="7DD46E97"/>
    <w:rsid w:val="7F0A6EDC"/>
    <w:rsid w:val="7F897F59"/>
    <w:rsid w:val="7FF104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semiHidden="0" w:name="heading 3"/>
    <w:lsdException w:qFormat="1" w:uiPriority="9"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1"/>
    <w:basedOn w:val="1"/>
    <w:next w:val="1"/>
    <w:link w:val="18"/>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4"/>
    <w:qFormat/>
    <w:uiPriority w:val="0"/>
    <w:pPr>
      <w:keepNext/>
      <w:keepLines/>
      <w:spacing w:before="260" w:after="260" w:line="413" w:lineRule="auto"/>
      <w:outlineLvl w:val="1"/>
    </w:pPr>
    <w:rPr>
      <w:rFonts w:ascii="Arial" w:hAnsi="Arial" w:eastAsia="黑体"/>
      <w:b/>
      <w:bCs/>
      <w:sz w:val="32"/>
      <w:szCs w:val="32"/>
    </w:rPr>
  </w:style>
  <w:style w:type="paragraph" w:styleId="4">
    <w:name w:val="heading 3"/>
    <w:basedOn w:val="1"/>
    <w:next w:val="1"/>
    <w:unhideWhenUsed/>
    <w:qFormat/>
    <w:uiPriority w:val="9"/>
    <w:pPr>
      <w:numPr>
        <w:ilvl w:val="2"/>
        <w:numId w:val="1"/>
      </w:numPr>
      <w:tabs>
        <w:tab w:val="left" w:pos="1200"/>
      </w:tabs>
      <w:outlineLvl w:val="2"/>
    </w:pPr>
    <w:rPr>
      <w:bCs/>
      <w:szCs w:val="32"/>
    </w:rPr>
  </w:style>
  <w:style w:type="paragraph" w:styleId="5">
    <w:name w:val="heading 5"/>
    <w:basedOn w:val="1"/>
    <w:next w:val="1"/>
    <w:unhideWhenUsed/>
    <w:qFormat/>
    <w:uiPriority w:val="9"/>
    <w:pPr>
      <w:numPr>
        <w:ilvl w:val="4"/>
        <w:numId w:val="2"/>
      </w:numPr>
      <w:tabs>
        <w:tab w:val="left" w:pos="1200"/>
      </w:tabs>
      <w:outlineLvl w:val="4"/>
    </w:pPr>
    <w:rPr>
      <w:bCs/>
      <w:szCs w:val="28"/>
    </w:rPr>
  </w:style>
  <w:style w:type="character" w:default="1" w:styleId="12">
    <w:name w:val="Default Paragraph Font"/>
    <w:unhideWhenUsed/>
    <w:qFormat/>
    <w:uiPriority w:val="1"/>
  </w:style>
  <w:style w:type="table" w:default="1" w:styleId="10">
    <w:name w:val="Normal Table"/>
    <w:unhideWhenUsed/>
    <w:qFormat/>
    <w:uiPriority w:val="99"/>
    <w:tblPr>
      <w:tblCellMar>
        <w:top w:w="0" w:type="dxa"/>
        <w:left w:w="108" w:type="dxa"/>
        <w:bottom w:w="0" w:type="dxa"/>
        <w:right w:w="108" w:type="dxa"/>
      </w:tblCellMar>
    </w:tblPr>
  </w:style>
  <w:style w:type="paragraph" w:styleId="6">
    <w:name w:val="annotation text"/>
    <w:basedOn w:val="1"/>
    <w:unhideWhenUsed/>
    <w:qFormat/>
    <w:uiPriority w:val="99"/>
    <w:pPr>
      <w:jc w:val="left"/>
    </w:pPr>
  </w:style>
  <w:style w:type="paragraph" w:styleId="7">
    <w:name w:val="Plain Text"/>
    <w:basedOn w:val="1"/>
    <w:unhideWhenUsed/>
    <w:qFormat/>
    <w:uiPriority w:val="99"/>
    <w:rPr>
      <w:rFonts w:ascii="宋体" w:hAnsi="Courier New" w:cs="Courier New"/>
      <w:szCs w:val="21"/>
    </w:rPr>
  </w:style>
  <w:style w:type="paragraph" w:styleId="8">
    <w:name w:val="footer"/>
    <w:basedOn w:val="1"/>
    <w:link w:val="17"/>
    <w:unhideWhenUsed/>
    <w:qFormat/>
    <w:uiPriority w:val="99"/>
    <w:pPr>
      <w:tabs>
        <w:tab w:val="center" w:pos="4153"/>
        <w:tab w:val="right" w:pos="8306"/>
      </w:tabs>
      <w:snapToGrid w:val="0"/>
      <w:jc w:val="left"/>
    </w:pPr>
    <w:rPr>
      <w:sz w:val="18"/>
      <w:szCs w:val="18"/>
    </w:rPr>
  </w:style>
  <w:style w:type="paragraph" w:styleId="9">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table" w:styleId="11">
    <w:name w:val="Table Grid"/>
    <w:basedOn w:val="1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basedOn w:val="12"/>
    <w:qFormat/>
    <w:uiPriority w:val="22"/>
    <w:rPr>
      <w:b/>
    </w:rPr>
  </w:style>
  <w:style w:type="character" w:customStyle="1" w:styleId="14">
    <w:name w:val="标题 2 Char"/>
    <w:basedOn w:val="12"/>
    <w:link w:val="3"/>
    <w:qFormat/>
    <w:uiPriority w:val="0"/>
    <w:rPr>
      <w:rFonts w:ascii="Arial" w:hAnsi="Arial" w:eastAsia="黑体" w:cs="Times New Roman"/>
      <w:b/>
      <w:bCs/>
      <w:sz w:val="32"/>
      <w:szCs w:val="32"/>
    </w:rPr>
  </w:style>
  <w:style w:type="paragraph" w:customStyle="1" w:styleId="15">
    <w:name w:val="正文（缩进）"/>
    <w:basedOn w:val="1"/>
    <w:qFormat/>
    <w:uiPriority w:val="0"/>
    <w:pPr>
      <w:spacing w:before="156" w:after="156"/>
      <w:ind w:firstLine="480" w:firstLineChars="200"/>
    </w:pPr>
  </w:style>
  <w:style w:type="character" w:customStyle="1" w:styleId="16">
    <w:name w:val="页眉 Char"/>
    <w:basedOn w:val="12"/>
    <w:link w:val="9"/>
    <w:qFormat/>
    <w:uiPriority w:val="99"/>
    <w:rPr>
      <w:sz w:val="18"/>
      <w:szCs w:val="18"/>
    </w:rPr>
  </w:style>
  <w:style w:type="character" w:customStyle="1" w:styleId="17">
    <w:name w:val="页脚 Char"/>
    <w:basedOn w:val="12"/>
    <w:link w:val="8"/>
    <w:qFormat/>
    <w:uiPriority w:val="99"/>
    <w:rPr>
      <w:sz w:val="18"/>
      <w:szCs w:val="18"/>
    </w:rPr>
  </w:style>
  <w:style w:type="character" w:customStyle="1" w:styleId="18">
    <w:name w:val="标题 1 Char"/>
    <w:basedOn w:val="12"/>
    <w:link w:val="2"/>
    <w:qFormat/>
    <w:uiPriority w:val="9"/>
    <w:rPr>
      <w:rFonts w:ascii="Times New Roman" w:hAnsi="Times New Roman" w:eastAsia="宋体" w:cs="Times New Roman"/>
      <w:b/>
      <w:bCs/>
      <w:kern w:val="44"/>
      <w:sz w:val="44"/>
      <w:szCs w:val="44"/>
    </w:rPr>
  </w:style>
  <w:style w:type="paragraph" w:customStyle="1" w:styleId="19">
    <w:name w:val="List Paragraph"/>
    <w:basedOn w:val="1"/>
    <w:qFormat/>
    <w:uiPriority w:val="34"/>
    <w:pPr>
      <w:ind w:firstLine="420" w:firstLineChars="200"/>
    </w:pPr>
  </w:style>
  <w:style w:type="paragraph" w:customStyle="1" w:styleId="20">
    <w:name w:val="样式 标题 5 + 行距: 单倍行距"/>
    <w:basedOn w:val="5"/>
    <w:qFormat/>
    <w:uiPriority w:val="0"/>
    <w:pPr>
      <w:numPr>
        <w:ilvl w:val="0"/>
        <w:numId w:val="1"/>
      </w:numPr>
      <w:tabs>
        <w:tab w:val="left" w:pos="1207"/>
        <w:tab w:val="clear" w:pos="1200"/>
      </w:tabs>
      <w:overflowPunct w:val="0"/>
      <w:adjustRightInd w:val="0"/>
      <w:spacing w:line="360" w:lineRule="auto"/>
      <w:textAlignment w:val="baseline"/>
    </w:pPr>
    <w:rPr>
      <w:rFonts w:ascii="Times New Roman" w:hAnsi="Times New Roman" w:cs="宋体"/>
      <w:bCs w:val="0"/>
      <w:sz w:val="21"/>
      <w:szCs w:val="20"/>
    </w:rPr>
  </w:style>
  <w:style w:type="paragraph" w:customStyle="1" w:styleId="21">
    <w:name w:val="样式 首行缩进 + 宋体 行距: 1.5 倍行距"/>
    <w:basedOn w:val="1"/>
    <w:qFormat/>
    <w:uiPriority w:val="0"/>
    <w:pPr>
      <w:spacing w:line="360" w:lineRule="auto"/>
      <w:ind w:firstLine="420" w:firstLineChars="200"/>
    </w:pPr>
    <w:rPr>
      <w:rFonts w:ascii="宋体" w:hAnsi="宋体" w:cs="宋体"/>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E08334-0EAA-436C-8657-B5D9A3600B8C}">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6</Pages>
  <Words>817</Words>
  <Characters>4660</Characters>
  <Lines>38</Lines>
  <Paragraphs>10</Paragraphs>
  <TotalTime>9</TotalTime>
  <ScaleCrop>false</ScaleCrop>
  <LinksUpToDate>false</LinksUpToDate>
  <CharactersWithSpaces>5467</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2016-03-31T07:34:00Z</dcterms:created>
  <dc:creator>ym-jin</dc:creator>
  <cp:lastModifiedBy>普清云</cp:lastModifiedBy>
  <dcterms:modified xsi:type="dcterms:W3CDTF">2026-05-18T02:08:27Z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757EBA93AD6C495B96ECC41F6262447E</vt:lpwstr>
  </property>
</Properties>
</file>