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B9CA82">
      <w:pPr>
        <w:pStyle w:val="8"/>
        <w:spacing w:line="360" w:lineRule="auto"/>
        <w:ind w:left="420"/>
        <w:rPr>
          <w:sz w:val="40"/>
          <w:szCs w:val="24"/>
        </w:rPr>
      </w:pPr>
      <w:bookmarkStart w:id="0" w:name="_Toc371153697"/>
      <w:bookmarkStart w:id="1" w:name="_Toc369269815"/>
      <w:bookmarkStart w:id="2" w:name="_Toc372699294"/>
      <w:bookmarkStart w:id="3" w:name="_Toc399839020"/>
      <w:bookmarkStart w:id="4" w:name="_Toc371344042"/>
      <w:bookmarkStart w:id="5" w:name="_Toc5103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-1167130</wp:posOffset>
            </wp:positionH>
            <wp:positionV relativeFrom="paragraph">
              <wp:posOffset>-922020</wp:posOffset>
            </wp:positionV>
            <wp:extent cx="7598410" cy="2714625"/>
            <wp:effectExtent l="0" t="0" r="2540" b="9525"/>
            <wp:wrapNone/>
            <wp:docPr id="3" name="图片 40" descr="说明: 广东电网封面图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0" descr="说明: 广东电网封面图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9841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9A938D">
      <w:pPr>
        <w:spacing w:line="360" w:lineRule="auto"/>
        <w:ind w:left="-1795" w:leftChars="-855"/>
        <w:jc w:val="center"/>
        <w:rPr>
          <w:sz w:val="40"/>
        </w:rPr>
      </w:pPr>
    </w:p>
    <w:p w14:paraId="2B1B5626">
      <w:pPr>
        <w:spacing w:line="360" w:lineRule="auto"/>
        <w:jc w:val="center"/>
        <w:rPr>
          <w:sz w:val="40"/>
        </w:rPr>
      </w:pPr>
    </w:p>
    <w:p w14:paraId="52C4C60C">
      <w:pPr>
        <w:spacing w:line="360" w:lineRule="auto"/>
        <w:jc w:val="center"/>
        <w:rPr>
          <w:sz w:val="40"/>
        </w:rPr>
      </w:pPr>
    </w:p>
    <w:p w14:paraId="61EE96D2">
      <w:pPr>
        <w:pStyle w:val="28"/>
        <w:adjustRightInd w:val="0"/>
        <w:snapToGrid w:val="0"/>
        <w:spacing w:line="360" w:lineRule="auto"/>
        <w:rPr>
          <w:rFonts w:ascii="Times New Roman" w:eastAsia="宋体"/>
        </w:rPr>
      </w:pPr>
    </w:p>
    <w:p w14:paraId="191CD5AD">
      <w:pPr>
        <w:pStyle w:val="28"/>
        <w:adjustRightInd w:val="0"/>
        <w:snapToGrid w:val="0"/>
        <w:spacing w:line="360" w:lineRule="auto"/>
        <w:rPr>
          <w:rFonts w:ascii="Times New Roman" w:eastAsia="宋体"/>
          <w:sz w:val="24"/>
        </w:rPr>
      </w:pPr>
    </w:p>
    <w:p w14:paraId="023E0A18">
      <w:pPr>
        <w:pStyle w:val="28"/>
        <w:adjustRightInd w:val="0"/>
        <w:snapToGrid w:val="0"/>
        <w:spacing w:line="360" w:lineRule="auto"/>
        <w:rPr>
          <w:rFonts w:ascii="Times New Roman" w:eastAsia="宋体"/>
          <w:sz w:val="24"/>
        </w:rPr>
      </w:pPr>
    </w:p>
    <w:p w14:paraId="0E50AEEF">
      <w:pPr>
        <w:spacing w:line="360" w:lineRule="auto"/>
        <w:jc w:val="center"/>
        <w:rPr>
          <w:rFonts w:ascii="宋体" w:hAnsi="黑体" w:cs="黑体"/>
          <w:sz w:val="44"/>
          <w:szCs w:val="44"/>
        </w:rPr>
      </w:pPr>
      <w:r>
        <w:rPr>
          <w:rFonts w:hint="eastAsia" w:ascii="宋体" w:hAnsi="黑体"/>
          <w:b/>
          <w:bCs/>
          <w:snapToGrid w:val="0"/>
          <w:kern w:val="0"/>
          <w:sz w:val="44"/>
          <w:szCs w:val="44"/>
        </w:rPr>
        <w:t>广东电网</w:t>
      </w:r>
      <w:r>
        <w:rPr>
          <w:rFonts w:hint="eastAsia" w:ascii="宋体" w:hAnsi="黑体"/>
          <w:b/>
          <w:bCs/>
          <w:snapToGrid w:val="0"/>
          <w:kern w:val="0"/>
          <w:sz w:val="44"/>
          <w:szCs w:val="44"/>
          <w:lang w:val="en-US" w:eastAsia="zh-CN"/>
        </w:rPr>
        <w:t>能源投资</w:t>
      </w:r>
      <w:r>
        <w:rPr>
          <w:rFonts w:hint="eastAsia" w:ascii="宋体" w:hAnsi="黑体"/>
          <w:b/>
          <w:bCs/>
          <w:snapToGrid w:val="0"/>
          <w:kern w:val="0"/>
          <w:sz w:val="44"/>
          <w:szCs w:val="44"/>
        </w:rPr>
        <w:t>有限公司</w:t>
      </w:r>
      <w:r>
        <w:rPr>
          <w:rFonts w:ascii="宋体" w:hAnsi="黑体"/>
          <w:b/>
          <w:bCs/>
          <w:snapToGrid w:val="0"/>
          <w:kern w:val="0"/>
          <w:sz w:val="44"/>
          <w:szCs w:val="44"/>
        </w:rPr>
        <w:t>ISO体系（质量、环境、职业健康安全）监督审核服务要求</w:t>
      </w:r>
    </w:p>
    <w:p w14:paraId="4853B355">
      <w:pPr>
        <w:pStyle w:val="5"/>
        <w:spacing w:before="156" w:after="156"/>
        <w:ind w:firstLine="522"/>
        <w:rPr>
          <w:b w:val="0"/>
          <w:sz w:val="26"/>
          <w:szCs w:val="26"/>
        </w:rPr>
      </w:pPr>
    </w:p>
    <w:p w14:paraId="4E1399AC">
      <w:pPr>
        <w:spacing w:line="360" w:lineRule="auto"/>
        <w:jc w:val="center"/>
        <w:rPr>
          <w:b/>
          <w:sz w:val="26"/>
          <w:szCs w:val="26"/>
        </w:rPr>
      </w:pPr>
    </w:p>
    <w:p w14:paraId="60FB347F">
      <w:pPr>
        <w:pStyle w:val="5"/>
        <w:spacing w:before="156" w:after="156"/>
        <w:ind w:firstLine="480"/>
      </w:pPr>
    </w:p>
    <w:p w14:paraId="2019E440">
      <w:pPr>
        <w:spacing w:line="360" w:lineRule="auto"/>
        <w:jc w:val="center"/>
        <w:rPr>
          <w:b/>
          <w:sz w:val="26"/>
          <w:szCs w:val="26"/>
        </w:rPr>
      </w:pPr>
    </w:p>
    <w:p w14:paraId="1C56253F">
      <w:pPr>
        <w:pStyle w:val="11"/>
        <w:tabs>
          <w:tab w:val="right" w:leader="dot" w:pos="8844"/>
        </w:tabs>
        <w:spacing w:before="0" w:after="0"/>
        <w:jc w:val="center"/>
        <w:rPr>
          <w:rFonts w:ascii="宋体" w:hAnsi="黑体"/>
          <w:bCs w:val="0"/>
          <w:caps w:val="0"/>
          <w:snapToGrid w:val="0"/>
          <w:kern w:val="0"/>
          <w:sz w:val="44"/>
          <w:szCs w:val="44"/>
        </w:rPr>
      </w:pPr>
    </w:p>
    <w:p w14:paraId="2FDFABFE">
      <w:pPr>
        <w:rPr>
          <w:rFonts w:ascii="宋体" w:hAnsi="黑体"/>
          <w:snapToGrid w:val="0"/>
          <w:kern w:val="0"/>
          <w:sz w:val="44"/>
          <w:szCs w:val="44"/>
        </w:rPr>
      </w:pPr>
    </w:p>
    <w:p w14:paraId="32D5FB67">
      <w:pPr>
        <w:pStyle w:val="5"/>
        <w:spacing w:before="156" w:after="156"/>
        <w:ind w:firstLine="880"/>
        <w:rPr>
          <w:rFonts w:hAnsi="黑体"/>
          <w:snapToGrid w:val="0"/>
          <w:sz w:val="44"/>
          <w:szCs w:val="44"/>
        </w:rPr>
      </w:pPr>
    </w:p>
    <w:p w14:paraId="561A66DF">
      <w:pPr>
        <w:spacing w:line="360" w:lineRule="auto"/>
        <w:rPr>
          <w:rFonts w:ascii="宋体" w:hAnsi="宋体" w:cs="宋体"/>
          <w:b/>
          <w:sz w:val="32"/>
          <w:szCs w:val="32"/>
        </w:rPr>
      </w:pPr>
    </w:p>
    <w:p w14:paraId="4DE96BA7">
      <w:pPr>
        <w:spacing w:line="360" w:lineRule="auto"/>
        <w:jc w:val="center"/>
        <w:rPr>
          <w:rFonts w:ascii="宋体" w:hAnsi="宋体" w:cs="宋体"/>
          <w:b/>
          <w:sz w:val="32"/>
          <w:szCs w:val="32"/>
        </w:rPr>
      </w:pPr>
    </w:p>
    <w:p w14:paraId="6BE275D8">
      <w:pPr>
        <w:spacing w:line="360" w:lineRule="auto"/>
        <w:jc w:val="center"/>
        <w:rPr>
          <w:rFonts w:ascii="宋体" w:hAnsi="宋体" w:cs="宋体"/>
          <w:b/>
          <w:sz w:val="32"/>
          <w:szCs w:val="32"/>
        </w:rPr>
      </w:pPr>
      <w:r>
        <w:rPr>
          <w:rFonts w:hint="eastAsia" w:ascii="宋体" w:hAnsi="宋体" w:cs="宋体"/>
          <w:b/>
          <w:sz w:val="32"/>
          <w:szCs w:val="32"/>
        </w:rPr>
        <w:t>2026年</w:t>
      </w:r>
      <w:r>
        <w:rPr>
          <w:rFonts w:hint="eastAsia" w:ascii="宋体" w:hAnsi="宋体" w:cs="宋体"/>
          <w:b/>
          <w:sz w:val="32"/>
          <w:szCs w:val="32"/>
          <w:lang w:val="en-US" w:eastAsia="zh-CN"/>
        </w:rPr>
        <w:t>5</w:t>
      </w:r>
      <w:r>
        <w:rPr>
          <w:rFonts w:hint="eastAsia" w:ascii="宋体" w:hAnsi="宋体" w:cs="宋体"/>
          <w:b/>
          <w:sz w:val="32"/>
          <w:szCs w:val="32"/>
        </w:rPr>
        <w:t>月</w:t>
      </w:r>
      <w:bookmarkStart w:id="6" w:name="_Toc408936474"/>
    </w:p>
    <w:p w14:paraId="26578AE0">
      <w:pPr>
        <w:spacing w:line="360" w:lineRule="auto"/>
        <w:jc w:val="center"/>
        <w:rPr>
          <w:rFonts w:ascii="宋体" w:hAnsi="宋体" w:cs="宋体"/>
          <w:b/>
          <w:sz w:val="32"/>
          <w:szCs w:val="32"/>
        </w:rPr>
      </w:pPr>
    </w:p>
    <w:bookmarkEnd w:id="6"/>
    <w:p w14:paraId="56281168">
      <w:pPr>
        <w:spacing w:after="156" w:afterLines="50" w:line="360" w:lineRule="auto"/>
        <w:ind w:firstLine="562" w:firstLineChars="200"/>
        <w:rPr>
          <w:rFonts w:hint="eastAsia" w:ascii="宋体" w:hAnsi="宋体"/>
          <w:b/>
          <w:bCs/>
          <w:sz w:val="28"/>
          <w:szCs w:val="28"/>
        </w:rPr>
      </w:pPr>
    </w:p>
    <w:p w14:paraId="3B11AC74">
      <w:pPr>
        <w:spacing w:after="156" w:afterLines="50" w:line="360" w:lineRule="auto"/>
        <w:ind w:firstLine="562" w:firstLineChars="200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1 项目背景</w:t>
      </w:r>
    </w:p>
    <w:p w14:paraId="3011A5D9">
      <w:pPr>
        <w:adjustRightInd w:val="0"/>
        <w:snapToGrid w:val="0"/>
        <w:spacing w:line="56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广东电网能源投资有限公司</w:t>
      </w:r>
      <w:r>
        <w:rPr>
          <w:rFonts w:hint="eastAsia" w:ascii="宋体" w:hAnsi="宋体"/>
          <w:sz w:val="24"/>
        </w:rPr>
        <w:t>已获得ISO9001质量管理体系、ISO14001环境管理体系、ISO45001职业健康安全管理体系（以下简称“ISO三标体系”）认证，根据国家认监委的规定，在认证周期内需每年定期进行监督审核，为维持</w:t>
      </w:r>
      <w:r>
        <w:rPr>
          <w:rFonts w:hint="eastAsia" w:ascii="宋体" w:hAnsi="宋体"/>
          <w:sz w:val="24"/>
          <w:lang w:eastAsia="zh-CN"/>
        </w:rPr>
        <w:t>广东电网能源投资有限公司</w:t>
      </w:r>
      <w:r>
        <w:rPr>
          <w:rFonts w:hint="eastAsia" w:ascii="宋体" w:hAnsi="宋体"/>
          <w:sz w:val="24"/>
        </w:rPr>
        <w:t>ISO三标体系认证证书的持续性，现需开展</w:t>
      </w:r>
      <w:r>
        <w:rPr>
          <w:rFonts w:ascii="宋体" w:hAnsi="宋体"/>
          <w:sz w:val="24"/>
        </w:rPr>
        <w:t>再认证审核及监督审核</w:t>
      </w:r>
      <w:r>
        <w:rPr>
          <w:rFonts w:hint="eastAsia" w:ascii="宋体" w:hAnsi="宋体"/>
          <w:sz w:val="24"/>
        </w:rPr>
        <w:t>工作。</w:t>
      </w:r>
    </w:p>
    <w:p w14:paraId="30144927">
      <w:pPr>
        <w:adjustRightInd w:val="0"/>
        <w:snapToGrid w:val="0"/>
        <w:spacing w:line="560" w:lineRule="exact"/>
        <w:ind w:firstLine="562" w:firstLineChars="200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2 项目需求内容</w:t>
      </w:r>
    </w:p>
    <w:p w14:paraId="15473669">
      <w:pPr>
        <w:adjustRightInd w:val="0"/>
        <w:snapToGrid w:val="0"/>
        <w:spacing w:line="56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服务供方依据国家认监委规则及对应体系标准，完成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广东电网能源投资有限</w:t>
      </w:r>
      <w:r>
        <w:rPr>
          <w:rFonts w:hint="eastAsia" w:asciiTheme="minorEastAsia" w:hAnsiTheme="minorEastAsia" w:cstheme="minorEastAsia"/>
          <w:sz w:val="24"/>
        </w:rPr>
        <w:t>公司</w:t>
      </w:r>
      <w:r>
        <w:rPr>
          <w:rFonts w:hint="eastAsia" w:ascii="宋体" w:hAnsi="宋体"/>
          <w:sz w:val="24"/>
        </w:rPr>
        <w:t>ISO三标体系</w:t>
      </w:r>
      <w:r>
        <w:rPr>
          <w:rFonts w:ascii="宋体" w:hAnsi="宋体"/>
          <w:sz w:val="24"/>
        </w:rPr>
        <w:t>再认证审核及监督审核</w:t>
      </w:r>
      <w:r>
        <w:rPr>
          <w:rFonts w:hint="eastAsia" w:ascii="宋体" w:hAnsi="宋体"/>
          <w:sz w:val="24"/>
        </w:rPr>
        <w:t>，并根据审核结果出具认证证书。</w:t>
      </w:r>
    </w:p>
    <w:p w14:paraId="67FF1A6E">
      <w:pPr>
        <w:adjustRightInd w:val="0"/>
        <w:snapToGrid w:val="0"/>
        <w:spacing w:line="56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管理体系覆盖的范围：</w:t>
      </w:r>
      <w:r>
        <w:rPr>
          <w:rFonts w:hint="eastAsia" w:ascii="宋体" w:hAnsi="宋体"/>
          <w:sz w:val="24"/>
          <w:lang w:val="en-US" w:eastAsia="zh-CN"/>
        </w:rPr>
        <w:t>储能项目投资及运营、储能项目投资及运营及相关管理活动等</w:t>
      </w:r>
      <w:r>
        <w:rPr>
          <w:rFonts w:hint="eastAsia" w:ascii="宋体" w:hAnsi="宋体"/>
          <w:sz w:val="24"/>
        </w:rPr>
        <w:t>。</w:t>
      </w:r>
    </w:p>
    <w:p w14:paraId="40A5E852">
      <w:pPr>
        <w:adjustRightInd w:val="0"/>
        <w:snapToGrid w:val="0"/>
        <w:spacing w:line="560" w:lineRule="exact"/>
        <w:ind w:firstLine="562" w:firstLineChars="200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3 技术要求</w:t>
      </w:r>
    </w:p>
    <w:p w14:paraId="1A453642">
      <w:pPr>
        <w:pStyle w:val="3"/>
        <w:keepNext w:val="0"/>
        <w:keepLines w:val="0"/>
        <w:widowControl/>
        <w:spacing w:before="0" w:after="0" w:line="560" w:lineRule="exact"/>
        <w:ind w:firstLine="482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（一）审核基础要求</w:t>
      </w:r>
    </w:p>
    <w:p w14:paraId="02D34A62">
      <w:pPr>
        <w:pStyle w:val="3"/>
        <w:keepNext w:val="0"/>
        <w:keepLines w:val="0"/>
        <w:widowControl/>
        <w:spacing w:before="0" w:after="0" w:line="560" w:lineRule="exact"/>
        <w:ind w:firstLine="480" w:firstLineChars="200"/>
        <w:rPr>
          <w:rFonts w:asciiTheme="minorEastAsia" w:hAnsiTheme="minorEastAsia" w:eastAsiaTheme="minorEastAsia" w:cstheme="minorEastAsia"/>
          <w:b w:val="0"/>
          <w:sz w:val="24"/>
        </w:rPr>
      </w:pPr>
      <w:r>
        <w:rPr>
          <w:rFonts w:hint="eastAsia" w:asciiTheme="minorEastAsia" w:hAnsiTheme="minorEastAsia" w:eastAsiaTheme="minorEastAsia" w:cstheme="minorEastAsia"/>
          <w:b w:val="0"/>
          <w:sz w:val="24"/>
        </w:rPr>
        <w:t>审核覆盖：需在再认证审核及</w:t>
      </w:r>
      <w:r>
        <w:rPr>
          <w:rFonts w:asciiTheme="minorEastAsia" w:hAnsiTheme="minorEastAsia" w:eastAsiaTheme="minorEastAsia" w:cstheme="minorEastAsia"/>
          <w:b w:val="0"/>
          <w:sz w:val="24"/>
        </w:rPr>
        <w:t>监督审核</w:t>
      </w:r>
      <w:r>
        <w:rPr>
          <w:rFonts w:hint="eastAsia" w:asciiTheme="minorEastAsia" w:hAnsiTheme="minorEastAsia" w:eastAsiaTheme="minorEastAsia" w:cstheme="minorEastAsia"/>
          <w:b w:val="0"/>
          <w:sz w:val="24"/>
        </w:rPr>
        <w:t>中覆盖</w:t>
      </w:r>
      <w:r>
        <w:rPr>
          <w:rFonts w:hint="eastAsia" w:asciiTheme="minorEastAsia" w:hAnsiTheme="minorEastAsia" w:eastAsiaTheme="minorEastAsia" w:cstheme="minorEastAsia"/>
          <w:b w:val="0"/>
          <w:sz w:val="24"/>
          <w:lang w:val="en-US" w:eastAsia="zh-CN"/>
        </w:rPr>
        <w:t>广东电网能源投资有限</w:t>
      </w:r>
      <w:r>
        <w:rPr>
          <w:rFonts w:asciiTheme="minorEastAsia" w:hAnsiTheme="minorEastAsia" w:eastAsiaTheme="minorEastAsia" w:cstheme="minorEastAsia"/>
          <w:b w:val="0"/>
          <w:sz w:val="24"/>
        </w:rPr>
        <w:t>公司</w:t>
      </w:r>
      <w:r>
        <w:rPr>
          <w:rFonts w:hint="eastAsia" w:asciiTheme="minorEastAsia" w:hAnsiTheme="minorEastAsia" w:eastAsiaTheme="minorEastAsia" w:cstheme="minorEastAsia"/>
          <w:b w:val="0"/>
          <w:sz w:val="24"/>
        </w:rPr>
        <w:t>3项管理体系的全部核心条款、关键业务流程及重要场所（以</w:t>
      </w:r>
      <w:r>
        <w:rPr>
          <w:rFonts w:hint="eastAsia" w:asciiTheme="minorEastAsia" w:hAnsiTheme="minorEastAsia" w:eastAsiaTheme="minorEastAsia" w:cstheme="minorEastAsia"/>
          <w:b w:val="0"/>
          <w:sz w:val="24"/>
          <w:lang w:eastAsia="zh-CN"/>
        </w:rPr>
        <w:t>广东电网能源投资有限公司</w:t>
      </w:r>
      <w:r>
        <w:rPr>
          <w:rFonts w:hint="eastAsia" w:asciiTheme="minorEastAsia" w:hAnsiTheme="minorEastAsia" w:eastAsiaTheme="minorEastAsia" w:cstheme="minorEastAsia"/>
          <w:b w:val="0"/>
          <w:sz w:val="24"/>
        </w:rPr>
        <w:t>确认范围为准）；</w:t>
      </w:r>
    </w:p>
    <w:p w14:paraId="7ED9429A">
      <w:pPr>
        <w:spacing w:line="56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审核结论：根据审核结果出具正式《再认证审核报告》，并依据国家认监委要求作出“认证证书保持、暂停或撤销”的书面决定。</w:t>
      </w:r>
    </w:p>
    <w:p w14:paraId="6FDD0634">
      <w:pPr>
        <w:pStyle w:val="3"/>
        <w:keepNext w:val="0"/>
        <w:keepLines w:val="0"/>
        <w:widowControl/>
        <w:spacing w:before="0" w:after="0" w:line="560" w:lineRule="exact"/>
        <w:ind w:firstLine="482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（二）分体系审核核心内容</w:t>
      </w:r>
    </w:p>
    <w:tbl>
      <w:tblPr>
        <w:tblStyle w:val="1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3436"/>
        <w:gridCol w:w="5110"/>
      </w:tblGrid>
      <w:tr w14:paraId="0AB8D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01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43FE31">
            <w:pPr>
              <w:pStyle w:val="24"/>
              <w:jc w:val="center"/>
              <w:rPr>
                <w:rFonts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体系类别</w:t>
            </w:r>
          </w:p>
        </w:tc>
        <w:tc>
          <w:tcPr>
            <w:tcW w:w="2989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7B56AD">
            <w:pPr>
              <w:pStyle w:val="24"/>
              <w:jc w:val="center"/>
              <w:rPr>
                <w:rFonts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主要审核内容</w:t>
            </w:r>
          </w:p>
        </w:tc>
      </w:tr>
      <w:tr w14:paraId="3851C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1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6F90BF">
            <w:pPr>
              <w:pStyle w:val="24"/>
              <w:rPr>
                <w:rFonts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质量体系（GB/T19001）</w:t>
            </w:r>
          </w:p>
        </w:tc>
        <w:tc>
          <w:tcPr>
            <w:tcW w:w="2989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10D897">
            <w:pPr>
              <w:pStyle w:val="24"/>
              <w:rPr>
                <w:rFonts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1.产品/服务质量控制流程的执行情况（含采购、生产/服务提供、检验检测等）；2.客户满意度调查与投诉处理机制运行；3.质量目标达成情况及改进措施有效性；4.内部审核与管理评审的合规性。</w:t>
            </w:r>
          </w:p>
        </w:tc>
      </w:tr>
      <w:tr w14:paraId="687DD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1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3B2901">
            <w:pPr>
              <w:pStyle w:val="24"/>
              <w:rPr>
                <w:rFonts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环境体系（GB/T24001）</w:t>
            </w:r>
          </w:p>
        </w:tc>
        <w:tc>
          <w:tcPr>
            <w:tcW w:w="2989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A0CA4E">
            <w:pPr>
              <w:pStyle w:val="24"/>
              <w:rPr>
                <w:rFonts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1.环境因素识别与风险评价（含重大环境因素管控）；2.环保法律法规符合性（如排污许可、废弃物处理等）；3.环境目标、指标及管理方案的落实；4.应急准备与响应（如环境污染事故处置）。</w:t>
            </w:r>
          </w:p>
        </w:tc>
      </w:tr>
      <w:tr w14:paraId="3DD9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1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6D67F4">
            <w:pPr>
              <w:pStyle w:val="24"/>
              <w:rPr>
                <w:rFonts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职业健康安全体系（GB/T45001）</w:t>
            </w:r>
          </w:p>
        </w:tc>
        <w:tc>
          <w:tcPr>
            <w:tcW w:w="2989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39DCD2">
            <w:pPr>
              <w:pStyle w:val="24"/>
              <w:rPr>
                <w:rFonts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1.危险源辨识与风险管控（含高风险作业管理）；2.员工健康监护（如体检、职业危害防护）；3.安全生产法律法规符合性（如安全培训、特种设备管理）；4.事故/事件调查与纠正预防措施。</w:t>
            </w:r>
          </w:p>
        </w:tc>
      </w:tr>
    </w:tbl>
    <w:p w14:paraId="559282BB">
      <w:pPr>
        <w:pStyle w:val="3"/>
        <w:keepNext w:val="0"/>
        <w:keepLines w:val="0"/>
        <w:widowControl/>
        <w:spacing w:before="0" w:after="0" w:line="560" w:lineRule="exact"/>
        <w:ind w:firstLine="482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（三）审核配套服务</w:t>
      </w:r>
    </w:p>
    <w:p w14:paraId="70AE32DF">
      <w:pPr>
        <w:spacing w:line="56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认证机构应提供审核计划（提前</w:t>
      </w:r>
      <w:r>
        <w:rPr>
          <w:rFonts w:asciiTheme="minorEastAsia" w:hAnsiTheme="minorEastAsia" w:cstheme="minorEastAsia"/>
          <w:sz w:val="24"/>
        </w:rPr>
        <w:t>3</w:t>
      </w:r>
      <w:r>
        <w:rPr>
          <w:rFonts w:hint="eastAsia" w:asciiTheme="minorEastAsia" w:hAnsiTheme="minorEastAsia" w:cstheme="minorEastAsia"/>
          <w:sz w:val="24"/>
        </w:rPr>
        <w:t>个工作日提交</w:t>
      </w:r>
      <w:r>
        <w:rPr>
          <w:rFonts w:hint="eastAsia" w:asciiTheme="minorEastAsia" w:hAnsiTheme="minorEastAsia" w:cstheme="minorEastAsia"/>
          <w:sz w:val="24"/>
          <w:lang w:eastAsia="zh-CN"/>
        </w:rPr>
        <w:t>广东电网能源投资有限公司</w:t>
      </w:r>
      <w:r>
        <w:rPr>
          <w:rFonts w:hint="eastAsia" w:asciiTheme="minorEastAsia" w:hAnsiTheme="minorEastAsia" w:cstheme="minorEastAsia"/>
          <w:sz w:val="24"/>
        </w:rPr>
        <w:t>确认），充分沟通需求，审核期间及时与</w:t>
      </w:r>
      <w:r>
        <w:rPr>
          <w:rFonts w:hint="eastAsia" w:asciiTheme="minorEastAsia" w:hAnsiTheme="minorEastAsia" w:cstheme="minorEastAsia"/>
          <w:sz w:val="24"/>
          <w:lang w:eastAsia="zh-CN"/>
        </w:rPr>
        <w:t>广东电网能源投资有限公司</w:t>
      </w:r>
      <w:r>
        <w:rPr>
          <w:rFonts w:hint="eastAsia" w:asciiTheme="minorEastAsia" w:hAnsiTheme="minorEastAsia" w:cstheme="minorEastAsia"/>
          <w:sz w:val="24"/>
        </w:rPr>
        <w:t>沟通审核发现的问题，对审核中发现的“一般不符合项”，跟踪</w:t>
      </w:r>
      <w:r>
        <w:rPr>
          <w:rFonts w:hint="eastAsia" w:asciiTheme="minorEastAsia" w:hAnsiTheme="minorEastAsia" w:cstheme="minorEastAsia"/>
          <w:sz w:val="24"/>
          <w:lang w:eastAsia="zh-CN"/>
        </w:rPr>
        <w:t>广东电网能源投资有限公司</w:t>
      </w:r>
      <w:r>
        <w:rPr>
          <w:rFonts w:hint="eastAsia" w:asciiTheme="minorEastAsia" w:hAnsiTheme="minorEastAsia" w:cstheme="minorEastAsia"/>
          <w:sz w:val="24"/>
        </w:rPr>
        <w:t>整改计划制定与验证（整改期不超过15个工作日）。</w:t>
      </w:r>
    </w:p>
    <w:p w14:paraId="65E28746">
      <w:pPr>
        <w:spacing w:line="56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（一）质量保证要求</w:t>
      </w:r>
    </w:p>
    <w:p w14:paraId="3E6C88C8">
      <w:pPr>
        <w:spacing w:line="56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认证机构需指定1名专职项目经理，负责本项目全流程的协调、沟通及质量管控，项目经理需保持与</w:t>
      </w:r>
      <w:r>
        <w:rPr>
          <w:rFonts w:hint="eastAsia" w:asciiTheme="minorEastAsia" w:hAnsiTheme="minorEastAsia" w:cstheme="minorEastAsia"/>
          <w:sz w:val="24"/>
          <w:lang w:eastAsia="zh-CN"/>
        </w:rPr>
        <w:t>广东电网能源投资有限公司</w:t>
      </w:r>
      <w:r>
        <w:rPr>
          <w:rFonts w:hint="eastAsia" w:asciiTheme="minorEastAsia" w:hAnsiTheme="minorEastAsia" w:cstheme="minorEastAsia"/>
          <w:sz w:val="24"/>
        </w:rPr>
        <w:t>的日常对接（响应时间不超过24小时）。</w:t>
      </w:r>
    </w:p>
    <w:p w14:paraId="64C84043">
      <w:pPr>
        <w:spacing w:line="56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（二）进度保证要求</w:t>
      </w:r>
    </w:p>
    <w:p w14:paraId="715641D9">
      <w:pPr>
        <w:spacing w:line="56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认证机构需在合同签订后3个工作日内，与</w:t>
      </w:r>
      <w:r>
        <w:rPr>
          <w:rFonts w:hint="eastAsia" w:asciiTheme="minorEastAsia" w:hAnsiTheme="minorEastAsia" w:cstheme="minorEastAsia"/>
          <w:sz w:val="24"/>
          <w:lang w:eastAsia="zh-CN"/>
        </w:rPr>
        <w:t>广东电网能源投资有限公司</w:t>
      </w:r>
      <w:r>
        <w:rPr>
          <w:rFonts w:hint="eastAsia" w:asciiTheme="minorEastAsia" w:hAnsiTheme="minorEastAsia" w:cstheme="minorEastAsia"/>
          <w:sz w:val="24"/>
        </w:rPr>
        <w:t>确认《2026年度再认证审核计划》。</w:t>
      </w:r>
    </w:p>
    <w:p w14:paraId="1529172C">
      <w:pPr>
        <w:pStyle w:val="3"/>
        <w:keepNext w:val="0"/>
        <w:keepLines w:val="0"/>
        <w:widowControl/>
        <w:spacing w:before="0" w:after="0" w:line="560" w:lineRule="exact"/>
        <w:ind w:firstLine="482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（四）保密要求</w:t>
      </w:r>
    </w:p>
    <w:p w14:paraId="646AB7B1">
      <w:pPr>
        <w:spacing w:line="56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认证机构及审核团队人员需对在服务过程中接触的</w:t>
      </w:r>
      <w:r>
        <w:rPr>
          <w:rFonts w:hint="eastAsia" w:asciiTheme="minorEastAsia" w:hAnsiTheme="minorEastAsia" w:cstheme="minorEastAsia"/>
          <w:sz w:val="24"/>
          <w:lang w:eastAsia="zh-CN"/>
        </w:rPr>
        <w:t>广东电网能源投资有限公司</w:t>
      </w:r>
      <w:r>
        <w:rPr>
          <w:rFonts w:hint="eastAsia" w:asciiTheme="minorEastAsia" w:hAnsiTheme="minorEastAsia" w:cstheme="minorEastAsia"/>
          <w:sz w:val="24"/>
        </w:rPr>
        <w:t>信息严格保密，包括但不限于：管理体系文件、业务数据、客户信息、商业秘密、审核过程记录及报告等；</w:t>
      </w:r>
    </w:p>
    <w:p w14:paraId="6D15F0CB">
      <w:pPr>
        <w:spacing w:line="56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未经</w:t>
      </w:r>
      <w:r>
        <w:rPr>
          <w:rFonts w:hint="eastAsia" w:asciiTheme="minorEastAsia" w:hAnsiTheme="minorEastAsia" w:cstheme="minorEastAsia"/>
          <w:sz w:val="24"/>
          <w:lang w:eastAsia="zh-CN"/>
        </w:rPr>
        <w:t>广东电网能源投资有限公司</w:t>
      </w:r>
      <w:r>
        <w:rPr>
          <w:rFonts w:hint="eastAsia" w:asciiTheme="minorEastAsia" w:hAnsiTheme="minorEastAsia" w:cstheme="minorEastAsia"/>
          <w:sz w:val="24"/>
        </w:rPr>
        <w:t>书面授权，认证机构不得向任何第三方（含认证机构内部非本项目人员）泄露上述信息，不得将</w:t>
      </w:r>
      <w:r>
        <w:rPr>
          <w:rFonts w:hint="eastAsia" w:asciiTheme="minorEastAsia" w:hAnsiTheme="minorEastAsia" w:cstheme="minorEastAsia"/>
          <w:sz w:val="24"/>
          <w:lang w:eastAsia="zh-CN"/>
        </w:rPr>
        <w:t>广东电网能源投资有限公司</w:t>
      </w:r>
      <w:r>
        <w:rPr>
          <w:rFonts w:hint="eastAsia" w:asciiTheme="minorEastAsia" w:hAnsiTheme="minorEastAsia" w:cstheme="minorEastAsia"/>
          <w:sz w:val="24"/>
        </w:rPr>
        <w:t>数据用于本项目以外的任何用途；</w:t>
      </w:r>
    </w:p>
    <w:p w14:paraId="7DC3805F">
      <w:pPr>
        <w:spacing w:line="56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若认证机构违反保密要求，</w:t>
      </w:r>
      <w:r>
        <w:rPr>
          <w:rFonts w:hint="eastAsia" w:asciiTheme="minorEastAsia" w:hAnsiTheme="minorEastAsia" w:cstheme="minorEastAsia"/>
          <w:sz w:val="24"/>
          <w:lang w:eastAsia="zh-CN"/>
        </w:rPr>
        <w:t>广东电网能源投资有限公司</w:t>
      </w:r>
      <w:r>
        <w:rPr>
          <w:rFonts w:hint="eastAsia" w:asciiTheme="minorEastAsia" w:hAnsiTheme="minorEastAsia" w:cstheme="minorEastAsia"/>
          <w:sz w:val="24"/>
        </w:rPr>
        <w:t>有权终止项目，并追究认证机构的法律责任及经济损失。</w:t>
      </w:r>
    </w:p>
    <w:p w14:paraId="5020BA9E">
      <w:pPr>
        <w:pStyle w:val="3"/>
        <w:keepNext w:val="0"/>
        <w:keepLines w:val="0"/>
        <w:widowControl/>
        <w:spacing w:before="0" w:after="0" w:line="560" w:lineRule="exact"/>
        <w:ind w:firstLine="482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（五）业绩要求</w:t>
      </w:r>
    </w:p>
    <w:p w14:paraId="12A40DDA">
      <w:pPr>
        <w:spacing w:line="56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认证机构需提供2023年1月1日至今（近3年）承接的同类项目业绩证明材料，具体要求如下：</w:t>
      </w:r>
    </w:p>
    <w:p w14:paraId="3AB41E7D">
      <w:pPr>
        <w:spacing w:line="56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业绩范围：质量、环境、职业健康安全体系认证审核服务（需包含至少2个及以上体系的审核业绩）；</w:t>
      </w:r>
    </w:p>
    <w:p w14:paraId="2B028764">
      <w:pPr>
        <w:spacing w:line="56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证明材料：需提供合同复印件（关键页需包含项目名称、服务内容、签订时间、双方盖章）；</w:t>
      </w:r>
    </w:p>
    <w:p w14:paraId="1B10C2F9">
      <w:pPr>
        <w:spacing w:line="56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业绩数量：至少提供2个同类项目业绩。</w:t>
      </w:r>
    </w:p>
    <w:p w14:paraId="6D149469">
      <w:pPr>
        <w:adjustRightInd w:val="0"/>
        <w:snapToGrid w:val="0"/>
        <w:spacing w:line="360" w:lineRule="auto"/>
        <w:ind w:firstLine="562" w:firstLineChars="200"/>
        <w:rPr>
          <w:rFonts w:ascii="宋体" w:hAnsi="宋体"/>
          <w:b/>
          <w:bCs/>
          <w:sz w:val="28"/>
          <w:szCs w:val="28"/>
        </w:rPr>
      </w:pPr>
    </w:p>
    <w:p w14:paraId="498E64B3">
      <w:pPr>
        <w:adjustRightInd w:val="0"/>
        <w:snapToGrid w:val="0"/>
        <w:spacing w:line="360" w:lineRule="auto"/>
        <w:ind w:firstLine="562" w:firstLineChars="200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4 资质要求</w:t>
      </w:r>
    </w:p>
    <w:tbl>
      <w:tblPr>
        <w:tblStyle w:val="1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6960"/>
      </w:tblGrid>
      <w:tr w14:paraId="34FE5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 w14:paraId="76B9F7B9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4</w:t>
            </w:r>
            <w:r>
              <w:rPr>
                <w:rFonts w:hint="eastAsia" w:ascii="宋体" w:hAnsi="宋体"/>
                <w:sz w:val="24"/>
              </w:rPr>
              <w:t>.</w:t>
            </w:r>
            <w:r>
              <w:rPr>
                <w:rFonts w:hint="eastAsia" w:ascii="宋体" w:hAnsi="宋体" w:eastAsia="宋体"/>
                <w:sz w:val="24"/>
              </w:rPr>
              <w:t>1</w:t>
            </w:r>
          </w:p>
        </w:tc>
        <w:tc>
          <w:tcPr>
            <w:tcW w:w="6960" w:type="dxa"/>
            <w:vAlign w:val="center"/>
          </w:tcPr>
          <w:p w14:paraId="4EBE9204"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.投标方资质要求</w:t>
            </w:r>
          </w:p>
          <w:p w14:paraId="57616619"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1）投标方为中华人民共和国境内注册合法运作的法人，具有独立承担民事责任的能力和独立履行合同的能力；或具有法人授权，且具有独立履行合同的能力的其他组织；或中华人民共和国境内依法登记成立和合法运作的非法人组织。具备有效的营业执照或其他行政主管部门核发的有效登记注册证明。</w:t>
            </w:r>
          </w:p>
          <w:p w14:paraId="4E96AA84"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（2）投标方不在中国南方电网有限责任公司黑名单或预警名单内（处理措施为不接受投标或市场禁入，且未解除的）。</w:t>
            </w:r>
          </w:p>
          <w:p w14:paraId="05187734"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3）投标方具有经中国国家认证认可监督管理委员会（CNCA）批准，具备质量、环境、职业健康安全管理体系认证资格，且获得中国合格评定国家认可委员会（CNAS）认可并颁发现行有效的质量、环境、职业健康安全管理体系认证认可资格。</w:t>
            </w:r>
          </w:p>
          <w:p w14:paraId="31AB9592"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（</w:t>
            </w:r>
            <w:r>
              <w:rPr>
                <w:rFonts w:hint="eastAsia" w:ascii="宋体" w:hAnsi="宋体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）投标方</w:t>
            </w:r>
            <w:r>
              <w:rPr>
                <w:rFonts w:hint="eastAsia" w:ascii="宋体" w:hAnsi="宋体"/>
                <w:szCs w:val="21"/>
              </w:rPr>
              <w:t>审核人员要具备审核服务能力。</w:t>
            </w:r>
          </w:p>
          <w:p w14:paraId="6E03B957"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（</w:t>
            </w:r>
            <w:r>
              <w:rPr>
                <w:rFonts w:hint="eastAsia" w:ascii="宋体" w:hAnsi="宋体"/>
                <w:szCs w:val="21"/>
              </w:rPr>
              <w:t>5</w:t>
            </w:r>
            <w:r>
              <w:rPr>
                <w:rFonts w:ascii="宋体" w:hAnsi="宋体"/>
                <w:szCs w:val="21"/>
              </w:rPr>
              <w:t>）投标方</w:t>
            </w:r>
            <w:r>
              <w:rPr>
                <w:rFonts w:hint="eastAsia" w:ascii="宋体" w:hAnsi="宋体"/>
                <w:szCs w:val="21"/>
              </w:rPr>
              <w:t>要具备在</w:t>
            </w:r>
            <w:r>
              <w:rPr>
                <w:rFonts w:hint="eastAsia" w:ascii="宋体" w:hAnsi="宋体"/>
                <w:szCs w:val="21"/>
                <w:lang w:eastAsia="zh-CN"/>
              </w:rPr>
              <w:t>广东电网能源投资有限公司</w:t>
            </w:r>
            <w:r>
              <w:rPr>
                <w:rFonts w:hint="eastAsia" w:ascii="宋体" w:hAnsi="宋体"/>
                <w:szCs w:val="21"/>
              </w:rPr>
              <w:t>所在地开展现场审核服务的能力与人员配置。</w:t>
            </w:r>
          </w:p>
          <w:p w14:paraId="16A1B2ED"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2.信息保密要求</w:t>
            </w:r>
          </w:p>
          <w:p w14:paraId="5459E7F1"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（1）投标方应将本支撑项目的所有相关文档、申报材料等资料移交给招标方，并保证文档的一致性和完整性。</w:t>
            </w:r>
          </w:p>
          <w:p w14:paraId="1823EB16"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/>
                <w:szCs w:val="21"/>
              </w:rPr>
              <w:t>（2）投标方须就本项目与其固定支撑人员签订保密协议。</w:t>
            </w:r>
          </w:p>
        </w:tc>
      </w:tr>
      <w:bookmarkEnd w:id="0"/>
      <w:bookmarkEnd w:id="1"/>
      <w:bookmarkEnd w:id="2"/>
      <w:bookmarkEnd w:id="3"/>
      <w:bookmarkEnd w:id="4"/>
    </w:tbl>
    <w:p w14:paraId="1CA91CB5">
      <w:pPr>
        <w:spacing w:line="560" w:lineRule="exact"/>
        <w:ind w:firstLine="562" w:firstLineChars="200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5 交付物及时间要求</w:t>
      </w:r>
    </w:p>
    <w:p w14:paraId="2611642D">
      <w:pPr>
        <w:tabs>
          <w:tab w:val="right" w:leader="dot" w:pos="8296"/>
        </w:tabs>
        <w:spacing w:line="560" w:lineRule="exact"/>
        <w:ind w:firstLine="480" w:firstLineChars="200"/>
        <w:jc w:val="left"/>
        <w:rPr>
          <w:rFonts w:asciiTheme="minorEastAsia" w:hAnsiTheme="minorEastAsia" w:cstheme="minorEastAsia"/>
          <w:sz w:val="24"/>
          <w:u w:val="single"/>
        </w:rPr>
      </w:pPr>
      <w:r>
        <w:rPr>
          <w:rFonts w:hint="eastAsia" w:asciiTheme="minorEastAsia" w:hAnsiTheme="minorEastAsia" w:cstheme="minorEastAsia"/>
          <w:sz w:val="24"/>
        </w:rPr>
        <w:t>1.</w:t>
      </w:r>
      <w:r>
        <w:rPr>
          <w:rFonts w:hint="eastAsia" w:asciiTheme="minorEastAsia" w:hAnsiTheme="minorEastAsia" w:cstheme="minorEastAsia"/>
          <w:color w:val="FF0000"/>
          <w:sz w:val="24"/>
        </w:rPr>
        <w:t xml:space="preserve"> </w:t>
      </w:r>
      <w:r>
        <w:rPr>
          <w:rFonts w:hint="eastAsia" w:asciiTheme="minorEastAsia" w:hAnsiTheme="minorEastAsia" w:cstheme="minorEastAsia"/>
          <w:sz w:val="24"/>
          <w:u w:val="single"/>
        </w:rPr>
        <w:t>2026年</w:t>
      </w:r>
      <w:r>
        <w:rPr>
          <w:rFonts w:hint="eastAsia" w:asciiTheme="minorEastAsia" w:hAnsiTheme="minorEastAsia" w:cstheme="minorEastAsia"/>
          <w:sz w:val="24"/>
          <w:u w:val="single"/>
          <w:lang w:val="en-US" w:eastAsia="zh-CN"/>
        </w:rPr>
        <w:t>6</w:t>
      </w:r>
      <w:r>
        <w:rPr>
          <w:rFonts w:hint="eastAsia" w:asciiTheme="minorEastAsia" w:hAnsiTheme="minorEastAsia" w:cstheme="minorEastAsia"/>
          <w:sz w:val="24"/>
          <w:u w:val="single"/>
        </w:rPr>
        <w:t>月</w:t>
      </w:r>
      <w:r>
        <w:rPr>
          <w:rFonts w:hint="eastAsia" w:asciiTheme="minorEastAsia" w:hAnsiTheme="minorEastAsia" w:cstheme="minorEastAsia"/>
          <w:sz w:val="24"/>
          <w:u w:val="single"/>
          <w:lang w:val="en-US" w:eastAsia="zh-CN"/>
        </w:rPr>
        <w:t>3</w:t>
      </w:r>
      <w:r>
        <w:rPr>
          <w:rFonts w:hint="eastAsia" w:asciiTheme="minorEastAsia" w:hAnsiTheme="minorEastAsia" w:cstheme="minorEastAsia"/>
          <w:sz w:val="24"/>
        </w:rPr>
        <w:t>日前，服务方完成2026年</w:t>
      </w:r>
      <w:r>
        <w:rPr>
          <w:rFonts w:hint="eastAsia" w:asciiTheme="minorEastAsia" w:hAnsiTheme="minorEastAsia" w:cstheme="minorEastAsia"/>
          <w:sz w:val="24"/>
          <w:u w:val="single"/>
        </w:rPr>
        <w:t>ISO三标体系年度现场监督审核。</w:t>
      </w:r>
    </w:p>
    <w:p w14:paraId="043CC6F4">
      <w:pPr>
        <w:spacing w:line="560" w:lineRule="exact"/>
        <w:ind w:firstLine="480" w:firstLineChars="200"/>
        <w:rPr>
          <w:rFonts w:asciiTheme="minorEastAsia" w:hAnsiTheme="minorEastAsia" w:cstheme="minorEastAsia"/>
          <w:color w:val="0000FF"/>
          <w:sz w:val="24"/>
        </w:rPr>
      </w:pPr>
      <w:r>
        <w:rPr>
          <w:rFonts w:hint="eastAsia" w:asciiTheme="minorEastAsia" w:hAnsiTheme="minorEastAsia" w:cstheme="minorEastAsia"/>
          <w:sz w:val="24"/>
        </w:rPr>
        <w:t xml:space="preserve">2. </w:t>
      </w:r>
      <w:r>
        <w:rPr>
          <w:rFonts w:hint="eastAsia" w:asciiTheme="minorEastAsia" w:hAnsiTheme="minorEastAsia" w:cstheme="minorEastAsia"/>
          <w:sz w:val="24"/>
          <w:u w:val="single"/>
        </w:rPr>
        <w:t>2026年</w:t>
      </w:r>
      <w:r>
        <w:rPr>
          <w:rFonts w:hint="eastAsia" w:asciiTheme="minorEastAsia" w:hAnsiTheme="minorEastAsia" w:cstheme="minorEastAsia"/>
          <w:sz w:val="24"/>
          <w:u w:val="single"/>
          <w:lang w:val="en-US" w:eastAsia="zh-CN"/>
        </w:rPr>
        <w:t>6</w:t>
      </w:r>
      <w:r>
        <w:rPr>
          <w:rFonts w:hint="eastAsia" w:asciiTheme="minorEastAsia" w:hAnsiTheme="minorEastAsia" w:cstheme="minorEastAsia"/>
          <w:sz w:val="24"/>
          <w:u w:val="single"/>
        </w:rPr>
        <w:t>月</w:t>
      </w:r>
      <w:r>
        <w:rPr>
          <w:rFonts w:hint="eastAsia" w:asciiTheme="minorEastAsia" w:hAnsiTheme="minorEastAsia" w:cstheme="minorEastAsia"/>
          <w:sz w:val="24"/>
          <w:u w:val="single"/>
          <w:lang w:val="en-US" w:eastAsia="zh-CN"/>
        </w:rPr>
        <w:t>11</w:t>
      </w:r>
      <w:r>
        <w:rPr>
          <w:rFonts w:hint="eastAsia" w:asciiTheme="minorEastAsia" w:hAnsiTheme="minorEastAsia" w:cstheme="minorEastAsia"/>
          <w:sz w:val="24"/>
          <w:u w:val="single"/>
        </w:rPr>
        <w:t>日</w:t>
      </w:r>
      <w:r>
        <w:rPr>
          <w:rFonts w:hint="eastAsia" w:asciiTheme="minorEastAsia" w:hAnsiTheme="minorEastAsia" w:cstheme="minorEastAsia"/>
          <w:sz w:val="24"/>
        </w:rPr>
        <w:t>前，服务方</w:t>
      </w:r>
      <w:r>
        <w:rPr>
          <w:rFonts w:hint="eastAsia" w:asciiTheme="minorEastAsia" w:hAnsiTheme="minorEastAsia" w:cstheme="minorEastAsia"/>
          <w:sz w:val="24"/>
          <w:u w:val="single"/>
        </w:rPr>
        <w:t>根据审核结果、整改资料</w:t>
      </w:r>
      <w:r>
        <w:rPr>
          <w:rFonts w:hint="eastAsia" w:asciiTheme="minorEastAsia" w:hAnsiTheme="minorEastAsia" w:cstheme="minorEastAsia"/>
          <w:kern w:val="0"/>
          <w:sz w:val="24"/>
          <w:u w:val="single"/>
        </w:rPr>
        <w:t>出具认证证书。</w:t>
      </w:r>
      <w:r>
        <w:rPr>
          <w:rFonts w:hint="eastAsia" w:asciiTheme="minorEastAsia" w:hAnsiTheme="minorEastAsia" w:cstheme="minorEastAsia"/>
          <w:sz w:val="24"/>
        </w:rPr>
        <w:t>交付物：</w:t>
      </w:r>
      <w:r>
        <w:rPr>
          <w:rFonts w:hint="eastAsia" w:asciiTheme="minorEastAsia" w:hAnsiTheme="minorEastAsia" w:cstheme="minorEastAsia"/>
          <w:kern w:val="0"/>
          <w:sz w:val="24"/>
          <w:u w:val="single"/>
        </w:rPr>
        <w:t>认证证书</w:t>
      </w:r>
      <w:r>
        <w:rPr>
          <w:rFonts w:hint="eastAsia" w:asciiTheme="minorEastAsia" w:hAnsiTheme="minorEastAsia" w:cstheme="minorEastAsia"/>
          <w:sz w:val="24"/>
        </w:rPr>
        <w:t>。</w:t>
      </w:r>
    </w:p>
    <w:p w14:paraId="23244CBB">
      <w:pPr>
        <w:spacing w:line="560" w:lineRule="exact"/>
        <w:ind w:firstLine="562" w:firstLineChars="200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6 付款方式及其他要求</w:t>
      </w:r>
      <w:bookmarkStart w:id="7" w:name="_GoBack"/>
      <w:bookmarkEnd w:id="7"/>
    </w:p>
    <w:p w14:paraId="42A075EE">
      <w:pPr>
        <w:spacing w:after="156" w:afterLines="50" w:line="560" w:lineRule="exact"/>
        <w:ind w:firstLine="480" w:firstLineChars="200"/>
        <w:rPr>
          <w:rFonts w:asciiTheme="minorEastAsia" w:hAnsiTheme="minorEastAsia" w:cstheme="minorEastAsia"/>
          <w:kern w:val="0"/>
          <w:sz w:val="24"/>
        </w:rPr>
      </w:pPr>
      <w:r>
        <w:rPr>
          <w:rFonts w:hint="eastAsia" w:asciiTheme="minorEastAsia" w:hAnsiTheme="minorEastAsia" w:cstheme="minorEastAsia"/>
          <w:kern w:val="0"/>
          <w:sz w:val="24"/>
        </w:rPr>
        <w:t>服务方在规定时限内使采购方通过I</w:t>
      </w:r>
      <w:r>
        <w:rPr>
          <w:rFonts w:hint="eastAsia" w:ascii="宋体" w:hAnsi="宋体"/>
          <w:sz w:val="24"/>
        </w:rPr>
        <w:t>SO三标体系</w:t>
      </w:r>
      <w:r>
        <w:rPr>
          <w:rFonts w:asciiTheme="minorEastAsia" w:hAnsiTheme="minorEastAsia" w:cstheme="minorEastAsia"/>
          <w:kern w:val="0"/>
          <w:sz w:val="24"/>
        </w:rPr>
        <w:t>再认证审核及监督审核</w:t>
      </w:r>
      <w:r>
        <w:rPr>
          <w:rFonts w:hint="eastAsia" w:asciiTheme="minorEastAsia" w:hAnsiTheme="minorEastAsia" w:cstheme="minorEastAsia"/>
          <w:kern w:val="0"/>
          <w:sz w:val="24"/>
        </w:rPr>
        <w:t>，证书持续有效，经采购方验收合格后，服务方开具符合国家税务规定及采购方财务要求的发票，采购方于收到发票后30天内一次性支付合同价款。</w:t>
      </w:r>
    </w:p>
    <w:bookmarkEnd w:id="5"/>
    <w:p w14:paraId="20D8F6B1">
      <w:pPr>
        <w:spacing w:after="156" w:afterLines="50" w:line="560" w:lineRule="exact"/>
        <w:ind w:firstLine="640" w:firstLineChars="200"/>
        <w:rPr>
          <w:rFonts w:ascii="仿宋" w:hAnsi="仿宋" w:eastAsia="仿宋" w:cs="仿宋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711"/>
    <w:rsid w:val="000050A7"/>
    <w:rsid w:val="00006E53"/>
    <w:rsid w:val="00031455"/>
    <w:rsid w:val="000C002D"/>
    <w:rsid w:val="000F644C"/>
    <w:rsid w:val="00126BE4"/>
    <w:rsid w:val="00134FE7"/>
    <w:rsid w:val="00183B72"/>
    <w:rsid w:val="001C20C3"/>
    <w:rsid w:val="001D111B"/>
    <w:rsid w:val="00227D53"/>
    <w:rsid w:val="0023336F"/>
    <w:rsid w:val="00291C21"/>
    <w:rsid w:val="002A108A"/>
    <w:rsid w:val="002F1FB3"/>
    <w:rsid w:val="002F272A"/>
    <w:rsid w:val="0030125F"/>
    <w:rsid w:val="003079F6"/>
    <w:rsid w:val="003218E3"/>
    <w:rsid w:val="00457FE6"/>
    <w:rsid w:val="005B113C"/>
    <w:rsid w:val="005D086E"/>
    <w:rsid w:val="00604333"/>
    <w:rsid w:val="0065397C"/>
    <w:rsid w:val="00683638"/>
    <w:rsid w:val="00764366"/>
    <w:rsid w:val="00792803"/>
    <w:rsid w:val="007B22F3"/>
    <w:rsid w:val="007E2056"/>
    <w:rsid w:val="007F320E"/>
    <w:rsid w:val="00805AB3"/>
    <w:rsid w:val="00820473"/>
    <w:rsid w:val="00883ED9"/>
    <w:rsid w:val="008B0711"/>
    <w:rsid w:val="008D294C"/>
    <w:rsid w:val="008E3556"/>
    <w:rsid w:val="00954426"/>
    <w:rsid w:val="00961A82"/>
    <w:rsid w:val="00971965"/>
    <w:rsid w:val="00983F6C"/>
    <w:rsid w:val="009A0C80"/>
    <w:rsid w:val="009D7C27"/>
    <w:rsid w:val="00A15C75"/>
    <w:rsid w:val="00A3107E"/>
    <w:rsid w:val="00AD5D35"/>
    <w:rsid w:val="00AE112A"/>
    <w:rsid w:val="00B429E2"/>
    <w:rsid w:val="00B50B29"/>
    <w:rsid w:val="00BB505A"/>
    <w:rsid w:val="00BC4298"/>
    <w:rsid w:val="00BE4F5A"/>
    <w:rsid w:val="00C10D35"/>
    <w:rsid w:val="00CC2847"/>
    <w:rsid w:val="00CE6AE5"/>
    <w:rsid w:val="00D569A8"/>
    <w:rsid w:val="00E40AA0"/>
    <w:rsid w:val="00E63866"/>
    <w:rsid w:val="00E9685C"/>
    <w:rsid w:val="00EE7ED9"/>
    <w:rsid w:val="00EF6ACB"/>
    <w:rsid w:val="00F1688C"/>
    <w:rsid w:val="00F23139"/>
    <w:rsid w:val="00F26FA5"/>
    <w:rsid w:val="00FB474A"/>
    <w:rsid w:val="00FF71EC"/>
    <w:rsid w:val="01C225B4"/>
    <w:rsid w:val="01D95366"/>
    <w:rsid w:val="02194A7B"/>
    <w:rsid w:val="0397380D"/>
    <w:rsid w:val="03E52626"/>
    <w:rsid w:val="048C2515"/>
    <w:rsid w:val="04A47A1C"/>
    <w:rsid w:val="063603A1"/>
    <w:rsid w:val="06FC5A06"/>
    <w:rsid w:val="07B00D2B"/>
    <w:rsid w:val="07D73FC9"/>
    <w:rsid w:val="0AF947F1"/>
    <w:rsid w:val="0B6A7D5F"/>
    <w:rsid w:val="0D50609C"/>
    <w:rsid w:val="0D5B4EBE"/>
    <w:rsid w:val="0E0306BC"/>
    <w:rsid w:val="0F207C3D"/>
    <w:rsid w:val="136F7A2F"/>
    <w:rsid w:val="1A0E3F26"/>
    <w:rsid w:val="1AA25945"/>
    <w:rsid w:val="1BDD3DCC"/>
    <w:rsid w:val="1C5C1BEB"/>
    <w:rsid w:val="1E960680"/>
    <w:rsid w:val="1F006E33"/>
    <w:rsid w:val="21A64AF4"/>
    <w:rsid w:val="21BC5689"/>
    <w:rsid w:val="222A3E68"/>
    <w:rsid w:val="22C45564"/>
    <w:rsid w:val="22F741D0"/>
    <w:rsid w:val="23294643"/>
    <w:rsid w:val="23CC41E5"/>
    <w:rsid w:val="255D6C70"/>
    <w:rsid w:val="274003FD"/>
    <w:rsid w:val="280A09EC"/>
    <w:rsid w:val="29974979"/>
    <w:rsid w:val="2A304622"/>
    <w:rsid w:val="2BC76884"/>
    <w:rsid w:val="2EF23E7E"/>
    <w:rsid w:val="32045F16"/>
    <w:rsid w:val="3209789F"/>
    <w:rsid w:val="326411C9"/>
    <w:rsid w:val="32E5216B"/>
    <w:rsid w:val="34017520"/>
    <w:rsid w:val="343A3288"/>
    <w:rsid w:val="34561C62"/>
    <w:rsid w:val="34A9334E"/>
    <w:rsid w:val="356E011F"/>
    <w:rsid w:val="38F67321"/>
    <w:rsid w:val="390206CF"/>
    <w:rsid w:val="3A4339E9"/>
    <w:rsid w:val="3BF47FC4"/>
    <w:rsid w:val="3D2E6223"/>
    <w:rsid w:val="409D6EDF"/>
    <w:rsid w:val="41F877AD"/>
    <w:rsid w:val="42DF56F8"/>
    <w:rsid w:val="43E310A7"/>
    <w:rsid w:val="449C4F71"/>
    <w:rsid w:val="4865197E"/>
    <w:rsid w:val="48CE6D90"/>
    <w:rsid w:val="495439A4"/>
    <w:rsid w:val="4A7D7F75"/>
    <w:rsid w:val="4A82410A"/>
    <w:rsid w:val="4AA9618A"/>
    <w:rsid w:val="4E0730E1"/>
    <w:rsid w:val="4ECF3B51"/>
    <w:rsid w:val="4EF355C2"/>
    <w:rsid w:val="50C21A5C"/>
    <w:rsid w:val="517172B1"/>
    <w:rsid w:val="52C9267A"/>
    <w:rsid w:val="53F25B78"/>
    <w:rsid w:val="567A28F1"/>
    <w:rsid w:val="569F59D3"/>
    <w:rsid w:val="56C5062A"/>
    <w:rsid w:val="56ED0BE1"/>
    <w:rsid w:val="57367418"/>
    <w:rsid w:val="574660ED"/>
    <w:rsid w:val="57A81C2E"/>
    <w:rsid w:val="58661DFE"/>
    <w:rsid w:val="59A67F02"/>
    <w:rsid w:val="5DB15A9B"/>
    <w:rsid w:val="5E300E0A"/>
    <w:rsid w:val="5F7C602D"/>
    <w:rsid w:val="5F8C285B"/>
    <w:rsid w:val="6249758F"/>
    <w:rsid w:val="63E63383"/>
    <w:rsid w:val="6480516E"/>
    <w:rsid w:val="661844B7"/>
    <w:rsid w:val="68812C43"/>
    <w:rsid w:val="68CC5026"/>
    <w:rsid w:val="68F32100"/>
    <w:rsid w:val="6BA12809"/>
    <w:rsid w:val="6BB575F0"/>
    <w:rsid w:val="6CC9302E"/>
    <w:rsid w:val="6CE50CE9"/>
    <w:rsid w:val="6DD86E12"/>
    <w:rsid w:val="6F3D240B"/>
    <w:rsid w:val="704C6EF4"/>
    <w:rsid w:val="71157BCE"/>
    <w:rsid w:val="71A457CF"/>
    <w:rsid w:val="71E074B6"/>
    <w:rsid w:val="72773B36"/>
    <w:rsid w:val="735013D8"/>
    <w:rsid w:val="755F1BDF"/>
    <w:rsid w:val="76A51E92"/>
    <w:rsid w:val="78235898"/>
    <w:rsid w:val="785C3A37"/>
    <w:rsid w:val="79413BAE"/>
    <w:rsid w:val="79840511"/>
    <w:rsid w:val="7BBC7A94"/>
    <w:rsid w:val="7C5B78C3"/>
    <w:rsid w:val="7D990B95"/>
    <w:rsid w:val="7E873BF8"/>
    <w:rsid w:val="7FED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  <w:pPr>
      <w:spacing w:line="360" w:lineRule="auto"/>
      <w:ind w:firstLine="420" w:firstLineChars="200"/>
    </w:pPr>
    <w:rPr>
      <w:rFonts w:ascii="宋体" w:hAnsi="宋体"/>
      <w:kern w:val="0"/>
      <w:sz w:val="24"/>
      <w:szCs w:val="20"/>
    </w:rPr>
  </w:style>
  <w:style w:type="paragraph" w:styleId="5">
    <w:name w:val="Body Text"/>
    <w:basedOn w:val="6"/>
    <w:next w:val="6"/>
    <w:qFormat/>
    <w:uiPriority w:val="0"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7">
    <w:name w:val="Body Text Indent"/>
    <w:basedOn w:val="1"/>
    <w:qFormat/>
    <w:uiPriority w:val="0"/>
    <w:pPr>
      <w:spacing w:line="360" w:lineRule="auto"/>
      <w:ind w:firstLine="435"/>
    </w:pPr>
    <w:rPr>
      <w:rFonts w:ascii="等线" w:hAnsi="等线" w:eastAsia="等线"/>
      <w:b/>
      <w:bCs/>
      <w:kern w:val="0"/>
      <w:sz w:val="20"/>
      <w:szCs w:val="20"/>
    </w:rPr>
  </w:style>
  <w:style w:type="paragraph" w:styleId="8">
    <w:name w:val="Date"/>
    <w:basedOn w:val="1"/>
    <w:next w:val="1"/>
    <w:link w:val="27"/>
    <w:qFormat/>
    <w:uiPriority w:val="0"/>
    <w:rPr>
      <w:rFonts w:ascii="Times New Roman" w:hAnsi="Times New Roman" w:eastAsia="宋体" w:cs="Times New Roman"/>
      <w:sz w:val="32"/>
      <w:szCs w:val="20"/>
    </w:rPr>
  </w:style>
  <w:style w:type="paragraph" w:styleId="9">
    <w:name w:val="footer"/>
    <w:basedOn w:val="1"/>
    <w:link w:val="2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qFormat/>
    <w:uiPriority w:val="39"/>
    <w:pPr>
      <w:spacing w:before="120" w:after="120" w:line="360" w:lineRule="auto"/>
    </w:pPr>
    <w:rPr>
      <w:rFonts w:ascii="Times New Roman" w:hAnsi="Times New Roman" w:eastAsia="宋体" w:cs="Times New Roman"/>
      <w:b/>
      <w:bCs/>
      <w:caps/>
      <w:szCs w:val="20"/>
    </w:rPr>
  </w:style>
  <w:style w:type="paragraph" w:styleId="12">
    <w:name w:val="Body Text First Indent 2"/>
    <w:basedOn w:val="7"/>
    <w:next w:val="1"/>
    <w:unhideWhenUsed/>
    <w:qFormat/>
    <w:uiPriority w:val="99"/>
    <w:pPr>
      <w:spacing w:after="120" w:line="240" w:lineRule="auto"/>
      <w:ind w:left="420" w:leftChars="200" w:firstLine="420" w:firstLineChars="200"/>
    </w:pPr>
    <w:rPr>
      <w:rFonts w:ascii="Times New Roman" w:hAnsi="Times New Roman" w:eastAsia="宋体"/>
      <w:b w:val="0"/>
      <w:bCs w:val="0"/>
      <w:kern w:val="2"/>
      <w:sz w:val="21"/>
      <w:szCs w:val="24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6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17">
    <w:name w:val="封面标题"/>
    <w:basedOn w:val="1"/>
    <w:qFormat/>
    <w:uiPriority w:val="0"/>
    <w:pPr>
      <w:jc w:val="center"/>
    </w:pPr>
    <w:rPr>
      <w:rFonts w:eastAsia="黑体"/>
      <w:sz w:val="48"/>
      <w:szCs w:val="20"/>
    </w:rPr>
  </w:style>
  <w:style w:type="character" w:customStyle="1" w:styleId="18">
    <w:name w:val="正文文本 + 非粗体"/>
    <w:basedOn w:val="19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0"/>
      <w:szCs w:val="20"/>
      <w:u w:val="none"/>
      <w:lang w:val="zh-TW"/>
    </w:rPr>
  </w:style>
  <w:style w:type="character" w:customStyle="1" w:styleId="19">
    <w:name w:val="正文文本_"/>
    <w:basedOn w:val="15"/>
    <w:link w:val="20"/>
    <w:qFormat/>
    <w:uiPriority w:val="0"/>
    <w:rPr>
      <w:rFonts w:ascii="MingLiU" w:hAnsi="MingLiU" w:eastAsia="MingLiU" w:cs="MingLiU"/>
      <w:b/>
      <w:bCs/>
      <w:sz w:val="20"/>
      <w:szCs w:val="20"/>
    </w:rPr>
  </w:style>
  <w:style w:type="paragraph" w:customStyle="1" w:styleId="20">
    <w:name w:val="正文文本1"/>
    <w:basedOn w:val="1"/>
    <w:link w:val="19"/>
    <w:qFormat/>
    <w:uiPriority w:val="0"/>
    <w:pPr>
      <w:shd w:val="clear" w:color="auto" w:fill="FFFFFF"/>
      <w:spacing w:before="780" w:line="0" w:lineRule="atLeast"/>
    </w:pPr>
    <w:rPr>
      <w:rFonts w:ascii="MingLiU" w:hAnsi="MingLiU" w:eastAsia="MingLiU" w:cs="MingLiU"/>
      <w:b/>
      <w:bCs/>
      <w:sz w:val="20"/>
      <w:szCs w:val="20"/>
    </w:rPr>
  </w:style>
  <w:style w:type="character" w:customStyle="1" w:styleId="21">
    <w:name w:val="标题 1 Char1"/>
    <w:qFormat/>
    <w:uiPriority w:val="0"/>
    <w:rPr>
      <w:rFonts w:ascii="Times New Roman" w:hAnsi="Times New Roman"/>
    </w:rPr>
  </w:style>
  <w:style w:type="paragraph" w:customStyle="1" w:styleId="22">
    <w:name w:val="列出段落3"/>
    <w:basedOn w:val="1"/>
    <w:qFormat/>
    <w:uiPriority w:val="0"/>
    <w:rPr>
      <w:kern w:val="0"/>
      <w:sz w:val="20"/>
      <w:szCs w:val="20"/>
    </w:rPr>
  </w:style>
  <w:style w:type="paragraph" w:customStyle="1" w:styleId="23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4">
    <w:name w:val="_Style 13"/>
    <w:qFormat/>
    <w:uiPriority w:val="0"/>
    <w:pPr>
      <w:spacing w:before="120" w:after="120" w:line="288" w:lineRule="auto"/>
    </w:pPr>
    <w:rPr>
      <w:rFonts w:ascii="Arial" w:hAnsi="Arial" w:eastAsia="等线" w:cs="Arial"/>
      <w:sz w:val="22"/>
      <w:szCs w:val="22"/>
      <w:lang w:val="en-US" w:eastAsia="zh-CN" w:bidi="ar-SA"/>
    </w:rPr>
  </w:style>
  <w:style w:type="character" w:customStyle="1" w:styleId="25">
    <w:name w:val="页眉 字符"/>
    <w:basedOn w:val="15"/>
    <w:link w:val="10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6">
    <w:name w:val="页脚 字符"/>
    <w:basedOn w:val="15"/>
    <w:link w:val="9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7">
    <w:name w:val="日期 字符"/>
    <w:basedOn w:val="15"/>
    <w:link w:val="8"/>
    <w:qFormat/>
    <w:uiPriority w:val="0"/>
    <w:rPr>
      <w:kern w:val="2"/>
      <w:sz w:val="32"/>
    </w:rPr>
  </w:style>
  <w:style w:type="paragraph" w:customStyle="1" w:styleId="28">
    <w:name w:val="封面一级标题文字"/>
    <w:basedOn w:val="1"/>
    <w:qFormat/>
    <w:uiPriority w:val="0"/>
    <w:pPr>
      <w:spacing w:line="640" w:lineRule="exact"/>
      <w:jc w:val="center"/>
    </w:pPr>
    <w:rPr>
      <w:rFonts w:ascii="黑体" w:hAnsi="Times New Roman" w:eastAsia="黑体" w:cs="Times New Roman"/>
      <w:b/>
      <w:bCs/>
      <w:sz w:val="5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336</Words>
  <Characters>1917</Characters>
  <Lines>15</Lines>
  <Paragraphs>4</Paragraphs>
  <TotalTime>134</TotalTime>
  <ScaleCrop>false</ScaleCrop>
  <LinksUpToDate>false</LinksUpToDate>
  <CharactersWithSpaces>2249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Tai</dc:creator>
  <cp:lastModifiedBy>投资公司文书员</cp:lastModifiedBy>
  <cp:lastPrinted>2026-04-19T14:18:00Z</cp:lastPrinted>
  <dcterms:modified xsi:type="dcterms:W3CDTF">2026-05-18T07:57:46Z</dcterms:modified>
  <cp:revision>52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E3B1A82EA3E74AE9B3573BA5A2BEE388</vt:lpwstr>
  </property>
  <property fmtid="{D5CDD505-2E9C-101B-9397-08002B2CF9AE}" pid="4" name="KSOTemplateDocerSaveRecord">
    <vt:lpwstr>eyJoZGlkIjoiNTg1ODZiMDQ5MmY3MmYxNDIyMThhZGI0NzQ0NTc3YTAiLCJ1c2VySWQiOiI0MTA5Njg5MjQifQ==</vt:lpwstr>
  </property>
</Properties>
</file>