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小标宋_GBK" w:hAnsi="方正小标宋_GBK" w:eastAsia="方正小标宋_GBK" w:cs="方正小标宋_GBK"/>
          <w:color w:val="auto"/>
          <w:sz w:val="36"/>
          <w:szCs w:val="44"/>
          <w:highlight w:val="none"/>
        </w:rPr>
      </w:pPr>
      <w:r>
        <w:rPr>
          <w:rFonts w:ascii="宋体" w:hAnsi="宋体"/>
          <w:color w:val="auto"/>
          <w:highlight w:val="none"/>
        </w:rPr>
        <w:drawing>
          <wp:anchor distT="0" distB="0" distL="114300" distR="114300" simplePos="0" relativeHeight="251659264" behindDoc="1" locked="0" layoutInCell="1" allowOverlap="1">
            <wp:simplePos x="0" y="0"/>
            <wp:positionH relativeFrom="column">
              <wp:posOffset>-1133475</wp:posOffset>
            </wp:positionH>
            <wp:positionV relativeFrom="paragraph">
              <wp:posOffset>-925195</wp:posOffset>
            </wp:positionV>
            <wp:extent cx="7781925" cy="6972300"/>
            <wp:effectExtent l="0" t="0" r="9525" b="0"/>
            <wp:wrapNone/>
            <wp:docPr id="1" name="图片 2"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未命名"/>
                    <pic:cNvPicPr>
                      <a:picLocks noChangeAspect="1"/>
                    </pic:cNvPicPr>
                  </pic:nvPicPr>
                  <pic:blipFill>
                    <a:blip r:embed="rId8"/>
                    <a:stretch>
                      <a:fillRect/>
                    </a:stretch>
                  </pic:blipFill>
                  <pic:spPr>
                    <a:xfrm>
                      <a:off x="0" y="0"/>
                      <a:ext cx="7781925" cy="6972300"/>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r>
        <w:rPr>
          <w:rFonts w:ascii="宋体" w:hAnsi="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-217170</wp:posOffset>
                </wp:positionH>
                <wp:positionV relativeFrom="paragraph">
                  <wp:posOffset>20955</wp:posOffset>
                </wp:positionV>
                <wp:extent cx="5708015" cy="1334135"/>
                <wp:effectExtent l="0" t="0" r="0" b="0"/>
                <wp:wrapNone/>
                <wp:docPr id="2" name="Rectangle 3"/>
                <wp:cNvGraphicFramePr/>
                <a:graphic xmlns:a="http://schemas.openxmlformats.org/drawingml/2006/main">
                  <a:graphicData uri="http://schemas.microsoft.com/office/word/2010/wordprocessingShape">
                    <wps:wsp>
                      <wps:cNvSpPr/>
                      <wps:spPr>
                        <a:xfrm>
                          <a:off x="0" y="0"/>
                          <a:ext cx="5708015" cy="1334135"/>
                        </a:xfrm>
                        <a:prstGeom prst="rect">
                          <a:avLst/>
                        </a:prstGeom>
                        <a:noFill/>
                        <a:ln>
                          <a:noFill/>
                        </a:ln>
                      </wps:spPr>
                      <wps:txbx>
                        <w:txbxContent>
                          <w:p>
                            <w:pPr>
                              <w:pStyle w:val="18"/>
                              <w:keepNext w:val="0"/>
                              <w:keepLines w:val="0"/>
                              <w:widowControl/>
                              <w:suppressLineNumbers w:val="0"/>
                              <w:spacing w:before="0" w:beforeAutospacing="0" w:after="0" w:afterAutospacing="0"/>
                              <w:ind w:left="0" w:right="0" w:firstLine="0"/>
                              <w:jc w:val="center"/>
                              <w:rPr>
                                <w:rFonts w:hint="eastAsia" w:ascii="黑体" w:hAnsi="黑体" w:eastAsia="黑体" w:cs="黑体"/>
                                <w:b/>
                                <w:bCs/>
                                <w:sz w:val="48"/>
                                <w:szCs w:val="48"/>
                                <w:lang w:val="zh-CN" w:eastAsia="zh-CN"/>
                              </w:rPr>
                            </w:pPr>
                            <w:r>
                              <w:rPr>
                                <w:rFonts w:hint="eastAsia" w:ascii="黑体" w:hAnsi="黑体" w:eastAsia="黑体" w:cs="黑体"/>
                                <w:b/>
                                <w:bCs/>
                                <w:sz w:val="48"/>
                                <w:szCs w:val="48"/>
                                <w:lang w:val="zh-CN" w:eastAsia="zh-CN"/>
                              </w:rPr>
                              <w:t>玉林供电局供应链服务中心叉车维保维修服务</w:t>
                            </w:r>
                          </w:p>
                        </w:txbxContent>
                      </wps:txbx>
                      <wps:bodyPr vert="horz" wrap="square" anchor="t" anchorCtr="0" upright="1"/>
                    </wps:wsp>
                  </a:graphicData>
                </a:graphic>
              </wp:anchor>
            </w:drawing>
          </mc:Choice>
          <mc:Fallback>
            <w:pict>
              <v:rect id="Rectangle 3" o:spid="_x0000_s1026" o:spt="1" style="position:absolute;left:0pt;margin-left:-17.1pt;margin-top:1.65pt;height:105.05pt;width:449.45pt;z-index:251660288;mso-width-relative:page;mso-height-relative:page;" filled="f" stroked="f" coordsize="21600,21600" o:gfxdata="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H0WfVHaAAAACQEAAA8AAAAAAAAAAQAgAAAAIgAAAGRycy9kb3ducmV2LnhtbFBLAQIU&#10;ABQAAAAIAIdO4kBOcBhWuAEAAHgDAAAOAAAAAAAAAAEAIAAAACkBAABkcnMvZTJvRG9jLnhtbFBL&#10;BQYAAAAABgAGAFkBAABTBQAAAAA=&#10;">
                <v:fill on="f" focussize="0,0"/>
                <v:stroke on="f"/>
                <v:imagedata o:title=""/>
                <o:lock v:ext="edit" aspectratio="f"/>
                <v:textbox>
                  <w:txbxContent>
                    <w:p>
                      <w:pPr>
                        <w:pStyle w:val="18"/>
                        <w:keepNext w:val="0"/>
                        <w:keepLines w:val="0"/>
                        <w:widowControl/>
                        <w:suppressLineNumbers w:val="0"/>
                        <w:spacing w:before="0" w:beforeAutospacing="0" w:after="0" w:afterAutospacing="0"/>
                        <w:ind w:left="0" w:right="0" w:firstLine="0"/>
                        <w:jc w:val="center"/>
                        <w:rPr>
                          <w:rFonts w:hint="eastAsia" w:ascii="黑体" w:hAnsi="黑体" w:eastAsia="黑体" w:cs="黑体"/>
                          <w:b/>
                          <w:bCs/>
                          <w:sz w:val="48"/>
                          <w:szCs w:val="48"/>
                          <w:lang w:val="zh-CN" w:eastAsia="zh-CN"/>
                        </w:rPr>
                      </w:pPr>
                      <w:r>
                        <w:rPr>
                          <w:rFonts w:hint="eastAsia" w:ascii="黑体" w:hAnsi="黑体" w:eastAsia="黑体" w:cs="黑体"/>
                          <w:b/>
                          <w:bCs/>
                          <w:sz w:val="48"/>
                          <w:szCs w:val="48"/>
                          <w:lang w:val="zh-CN" w:eastAsia="zh-CN"/>
                        </w:rPr>
                        <w:t>玉林供电局供应链服务中心叉车维保维修服务</w:t>
                      </w:r>
                    </w:p>
                  </w:txbxContent>
                </v:textbox>
              </v:rect>
            </w:pict>
          </mc:Fallback>
        </mc:AlternateConten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r>
        <w:rPr>
          <w:rFonts w:ascii="宋体" w:hAnsi="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71755</wp:posOffset>
                </wp:positionH>
                <wp:positionV relativeFrom="paragraph">
                  <wp:posOffset>64770</wp:posOffset>
                </wp:positionV>
                <wp:extent cx="6205855" cy="753745"/>
                <wp:effectExtent l="0" t="0" r="0" b="0"/>
                <wp:wrapNone/>
                <wp:docPr id="3" name="Text Box 2"/>
                <wp:cNvGraphicFramePr/>
                <a:graphic xmlns:a="http://schemas.openxmlformats.org/drawingml/2006/main">
                  <a:graphicData uri="http://schemas.microsoft.com/office/word/2010/wordprocessingShape">
                    <wps:wsp>
                      <wps:cNvSpPr txBox="1"/>
                      <wps:spPr>
                        <a:xfrm>
                          <a:off x="0" y="0"/>
                          <a:ext cx="6205855" cy="753745"/>
                        </a:xfrm>
                        <a:prstGeom prst="rect">
                          <a:avLst/>
                        </a:prstGeom>
                        <a:noFill/>
                        <a:ln>
                          <a:noFill/>
                        </a:ln>
                      </wps:spPr>
                      <wps:txbx>
                        <w:txbxContent>
                          <w:p>
                            <w:pPr>
                              <w:wordWrap w:val="0"/>
                              <w:ind w:right="981"/>
                              <w:jc w:val="right"/>
                              <w:rPr>
                                <w:rFonts w:ascii="文鼎CS大黑" w:eastAsia="文鼎CS大黑"/>
                                <w:b/>
                                <w:color w:val="003B77"/>
                                <w:sz w:val="84"/>
                              </w:rPr>
                            </w:pPr>
                            <w:r>
                              <w:rPr>
                                <w:rFonts w:hint="eastAsia" w:ascii="方正粗宋简体" w:eastAsia="方正粗宋简体"/>
                                <w:b/>
                                <w:color w:val="000080"/>
                                <w:sz w:val="84"/>
                              </w:rPr>
                              <w:t xml:space="preserve">技术规范和服务标准 </w:t>
                            </w:r>
                          </w:p>
                        </w:txbxContent>
                      </wps:txbx>
                      <wps:bodyPr vert="horz" wrap="square" anchor="t" anchorCtr="0" upright="1"/>
                    </wps:wsp>
                  </a:graphicData>
                </a:graphic>
              </wp:anchor>
            </w:drawing>
          </mc:Choice>
          <mc:Fallback>
            <w:pict>
              <v:shape id="Text Box 2" o:spid="_x0000_s1026" o:spt="202" type="#_x0000_t202" style="position:absolute;left:0pt;margin-left:5.65pt;margin-top:5.1pt;height:59.35pt;width:488.65pt;z-index:251661312;mso-width-relative:page;mso-height-relative:page;" filled="f" stroked="f" coordsize="21600,21600" o:gfxdata="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GSFn5rWAAAACQEAAA8AAAAAAAAAAQAgAAAAIgAAAGRycy9kb3ducmV2LnhtbFBLAQIU&#10;ABQAAAAIAIdO4kCM5RscvAEAAIADAAAOAAAAAAAAAAEAIAAAACUBAABkcnMvZTJvRG9jLnhtbFBL&#10;BQYAAAAABgAGAFkBAABTBQAAAAA=&#10;">
                <v:fill on="f" focussize="0,0"/>
                <v:stroke on="f"/>
                <v:imagedata o:title=""/>
                <o:lock v:ext="edit" aspectratio="f"/>
                <v:textbox>
                  <w:txbxContent>
                    <w:p>
                      <w:pPr>
                        <w:wordWrap w:val="0"/>
                        <w:ind w:right="981"/>
                        <w:jc w:val="right"/>
                        <w:rPr>
                          <w:rFonts w:ascii="文鼎CS大黑" w:eastAsia="文鼎CS大黑"/>
                          <w:b/>
                          <w:color w:val="003B77"/>
                          <w:sz w:val="84"/>
                        </w:rPr>
                      </w:pPr>
                      <w:r>
                        <w:rPr>
                          <w:rFonts w:hint="eastAsia" w:ascii="方正粗宋简体" w:eastAsia="方正粗宋简体"/>
                          <w:b/>
                          <w:color w:val="000080"/>
                          <w:sz w:val="84"/>
                        </w:rPr>
                        <w:t xml:space="preserve">技术规范和服务标准 </w:t>
                      </w:r>
                    </w:p>
                  </w:txbxContent>
                </v:textbox>
              </v:shape>
            </w:pict>
          </mc:Fallback>
        </mc:AlternateConten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pStyle w:val="2"/>
        <w:jc w:val="center"/>
        <w:rPr>
          <w:rFonts w:hint="eastAsia"/>
        </w:rPr>
      </w:pPr>
    </w:p>
    <w:p>
      <w:pPr>
        <w:jc w:val="center"/>
        <w:rPr>
          <w:rFonts w:hint="default"/>
          <w:b/>
          <w:bCs/>
          <w:color w:val="auto"/>
          <w:sz w:val="32"/>
          <w:szCs w:val="32"/>
          <w:highlight w:val="none"/>
          <w:lang w:val="en-US"/>
        </w:rPr>
      </w:pPr>
      <w:r>
        <w:rPr>
          <w:rFonts w:hint="eastAsia"/>
          <w:b/>
          <w:bCs/>
          <w:color w:val="auto"/>
          <w:sz w:val="32"/>
          <w:szCs w:val="32"/>
          <w:highlight w:val="none"/>
        </w:rPr>
        <w:t>广西电网有限责任公司</w:t>
      </w:r>
      <w:r>
        <w:rPr>
          <w:rFonts w:hint="eastAsia"/>
          <w:b/>
          <w:bCs/>
          <w:color w:val="auto"/>
          <w:sz w:val="32"/>
          <w:szCs w:val="32"/>
          <w:highlight w:val="none"/>
          <w:lang w:val="en-US" w:eastAsia="zh-CN"/>
        </w:rPr>
        <w:t>玉林供电局</w:t>
      </w:r>
    </w:p>
    <w:p>
      <w:pPr>
        <w:jc w:val="center"/>
        <w:rPr>
          <w:rFonts w:hint="eastAsia" w:ascii="方正小标宋_GBK" w:hAnsi="方正小标宋_GBK" w:eastAsia="方正小标宋_GBK" w:cs="方正小标宋_GBK"/>
          <w:b/>
          <w:bCs/>
          <w:color w:val="auto"/>
          <w:sz w:val="36"/>
          <w:szCs w:val="44"/>
          <w:highlight w:val="none"/>
        </w:rPr>
      </w:pPr>
      <w:r>
        <w:rPr>
          <w:rFonts w:hint="eastAsia"/>
          <w:b/>
          <w:bCs/>
          <w:color w:val="auto"/>
          <w:sz w:val="32"/>
          <w:szCs w:val="32"/>
          <w:highlight w:val="none"/>
        </w:rPr>
        <w:t>20</w:t>
      </w:r>
      <w:r>
        <w:rPr>
          <w:rFonts w:hint="eastAsia"/>
          <w:b/>
          <w:bCs/>
          <w:color w:val="auto"/>
          <w:sz w:val="32"/>
          <w:szCs w:val="32"/>
          <w:highlight w:val="none"/>
          <w:lang w:val="en-US" w:eastAsia="zh-CN"/>
        </w:rPr>
        <w:t>26</w:t>
      </w:r>
      <w:r>
        <w:rPr>
          <w:rFonts w:hint="eastAsia"/>
          <w:b/>
          <w:bCs/>
          <w:color w:val="auto"/>
          <w:sz w:val="32"/>
          <w:szCs w:val="32"/>
          <w:highlight w:val="none"/>
        </w:rPr>
        <w:t>年</w:t>
      </w:r>
      <w:r>
        <w:rPr>
          <w:rFonts w:hint="eastAsia"/>
          <w:b/>
          <w:bCs/>
          <w:color w:val="auto"/>
          <w:sz w:val="32"/>
          <w:szCs w:val="32"/>
          <w:highlight w:val="none"/>
          <w:lang w:val="en-US" w:eastAsia="zh-CN"/>
        </w:rPr>
        <w:t>5</w:t>
      </w:r>
      <w:r>
        <w:rPr>
          <w:rFonts w:hint="eastAsia"/>
          <w:b/>
          <w:bCs/>
          <w:color w:val="auto"/>
          <w:sz w:val="32"/>
          <w:szCs w:val="32"/>
          <w:highlight w:val="none"/>
        </w:rPr>
        <w:t>月</w: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pStyle w:val="16"/>
        <w:tabs>
          <w:tab w:val="right" w:leader="dot" w:pos="8306"/>
        </w:tabs>
        <w:jc w:val="center"/>
        <w:rPr>
          <w:rFonts w:hint="eastAsia" w:ascii="方正小标宋_GBK" w:hAnsi="方正小标宋_GBK" w:eastAsia="方正小标宋_GBK" w:cs="方正小标宋_GBK"/>
          <w:color w:val="auto"/>
          <w:sz w:val="52"/>
          <w:szCs w:val="52"/>
          <w:highlight w:val="none"/>
          <w:lang w:eastAsia="zh-CN"/>
        </w:rPr>
        <w:sectPr>
          <w:headerReference r:id="rId3" w:type="even"/>
          <w:footerReference r:id="rId4" w:type="even"/>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pStyle w:val="16"/>
        <w:tabs>
          <w:tab w:val="right" w:leader="dot" w:pos="8306"/>
        </w:tabs>
        <w:jc w:val="center"/>
        <w:rPr>
          <w:rFonts w:hint="eastAsia" w:ascii="方正小标宋_GBK" w:hAnsi="方正小标宋_GBK" w:eastAsia="方正小标宋_GBK" w:cs="方正小标宋_GBK"/>
          <w:color w:val="auto"/>
          <w:sz w:val="52"/>
          <w:szCs w:val="52"/>
          <w:highlight w:val="none"/>
          <w:lang w:eastAsia="zh-CN"/>
        </w:rPr>
      </w:pPr>
      <w:r>
        <w:rPr>
          <w:rFonts w:hint="eastAsia" w:ascii="方正小标宋_GBK" w:hAnsi="方正小标宋_GBK" w:eastAsia="方正小标宋_GBK" w:cs="方正小标宋_GBK"/>
          <w:color w:val="auto"/>
          <w:sz w:val="52"/>
          <w:szCs w:val="52"/>
          <w:highlight w:val="none"/>
          <w:lang w:eastAsia="zh-CN"/>
        </w:rPr>
        <w:t>目</w:t>
      </w:r>
      <w:r>
        <w:rPr>
          <w:rFonts w:hint="eastAsia" w:ascii="方正小标宋_GBK" w:hAnsi="方正小标宋_GBK" w:eastAsia="方正小标宋_GBK" w:cs="方正小标宋_GBK"/>
          <w:color w:val="auto"/>
          <w:sz w:val="52"/>
          <w:szCs w:val="52"/>
          <w:highlight w:val="none"/>
          <w:lang w:val="en-US" w:eastAsia="zh-CN"/>
        </w:rPr>
        <w:t xml:space="preserve">  </w:t>
      </w:r>
      <w:r>
        <w:rPr>
          <w:rFonts w:hint="eastAsia" w:ascii="方正小标宋_GBK" w:hAnsi="方正小标宋_GBK" w:eastAsia="方正小标宋_GBK" w:cs="方正小标宋_GBK"/>
          <w:color w:val="auto"/>
          <w:sz w:val="52"/>
          <w:szCs w:val="52"/>
          <w:highlight w:val="none"/>
          <w:lang w:eastAsia="zh-CN"/>
        </w:rPr>
        <w:t>录</w:t>
      </w:r>
    </w:p>
    <w:p>
      <w:pPr>
        <w:pStyle w:val="16"/>
        <w:tabs>
          <w:tab w:val="right" w:leader="dot" w:pos="8306"/>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"1-3"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sz w:val="28"/>
          <w:szCs w:val="28"/>
          <w:lang w:val="en-US" w:eastAsia="zh-CN"/>
        </w:rPr>
        <w:t>一、 总则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_Toc24566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p>
    <w:p>
      <w:pPr>
        <w:pStyle w:val="17"/>
        <w:tabs>
          <w:tab w:val="right" w:leader="dot" w:pos="8306"/>
        </w:tabs>
        <w:rPr>
          <w:rFonts w:hint="eastAsia" w:ascii="宋体" w:hAnsi="宋体" w:eastAsia="宋体" w:cs="宋体"/>
          <w:sz w:val="28"/>
          <w:szCs w:val="28"/>
        </w:rPr>
      </w:pPr>
      <w:r>
        <w:rPr>
          <w:rFonts w:hint="eastAsia" w:ascii="宋体" w:hAnsi="宋体" w:eastAsia="宋体" w:cs="宋体"/>
          <w:sz w:val="28"/>
          <w:szCs w:val="28"/>
        </w:rPr>
        <w:t>定义</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_Toc6880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p>
    <w:p>
      <w:pPr>
        <w:pStyle w:val="16"/>
        <w:tabs>
          <w:tab w:val="right" w:leader="dot" w:pos="8306"/>
        </w:tabs>
        <w:rPr>
          <w:rFonts w:hint="eastAsia" w:ascii="宋体" w:hAnsi="宋体" w:eastAsia="宋体" w:cs="宋体"/>
          <w:sz w:val="28"/>
          <w:szCs w:val="28"/>
        </w:rPr>
      </w:pPr>
      <w:r>
        <w:rPr>
          <w:rFonts w:hint="eastAsia" w:ascii="宋体" w:hAnsi="宋体" w:eastAsia="宋体" w:cs="宋体"/>
          <w:sz w:val="28"/>
          <w:szCs w:val="28"/>
        </w:rPr>
        <w:t>投标须知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_Toc19712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p>
    <w:p>
      <w:pPr>
        <w:pStyle w:val="16"/>
        <w:tabs>
          <w:tab w:val="right" w:leader="dot" w:pos="8306"/>
        </w:tabs>
        <w:rPr>
          <w:rFonts w:hint="eastAsia" w:ascii="宋体" w:hAnsi="宋体" w:eastAsia="宋体" w:cs="宋体"/>
          <w:sz w:val="28"/>
          <w:szCs w:val="28"/>
        </w:rPr>
      </w:pPr>
      <w:r>
        <w:rPr>
          <w:rFonts w:hint="eastAsia" w:ascii="宋体" w:hAnsi="宋体" w:eastAsia="宋体" w:cs="宋体"/>
          <w:sz w:val="28"/>
          <w:szCs w:val="28"/>
          <w:lang w:val="en-US" w:eastAsia="zh-CN"/>
        </w:rPr>
        <w:t>二、 工作范围</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_Toc15548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p>
    <w:p>
      <w:pPr>
        <w:pStyle w:val="17"/>
        <w:tabs>
          <w:tab w:val="right" w:leader="dot" w:pos="8306"/>
        </w:tabs>
        <w:rPr>
          <w:rFonts w:hint="eastAsia" w:ascii="宋体" w:hAnsi="宋体" w:eastAsia="宋体" w:cs="宋体"/>
          <w:sz w:val="28"/>
          <w:szCs w:val="28"/>
        </w:rPr>
      </w:pPr>
      <w:r>
        <w:rPr>
          <w:rFonts w:hint="eastAsia" w:ascii="宋体" w:hAnsi="宋体" w:eastAsia="宋体" w:cs="宋体"/>
          <w:sz w:val="28"/>
          <w:szCs w:val="28"/>
          <w:lang w:val="en-US" w:eastAsia="zh-CN"/>
        </w:rPr>
        <w:t>2.1、项目概况</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_Toc3875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p>
    <w:p>
      <w:pPr>
        <w:pStyle w:val="17"/>
        <w:tabs>
          <w:tab w:val="right" w:leader="dot" w:pos="8306"/>
        </w:tabs>
        <w:rPr>
          <w:rFonts w:hint="eastAsia" w:ascii="宋体" w:hAnsi="宋体" w:eastAsia="宋体" w:cs="宋体"/>
          <w:sz w:val="28"/>
          <w:szCs w:val="28"/>
        </w:rPr>
      </w:pPr>
      <w:r>
        <w:rPr>
          <w:rFonts w:hint="eastAsia" w:ascii="宋体" w:hAnsi="宋体" w:eastAsia="宋体" w:cs="宋体"/>
          <w:color w:val="auto"/>
          <w:sz w:val="28"/>
          <w:szCs w:val="28"/>
          <w:lang w:val="en-US" w:eastAsia="zh-CN"/>
        </w:rPr>
        <w:t>2.2、服务目标</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_Toc22349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p>
    <w:p>
      <w:pPr>
        <w:pStyle w:val="17"/>
        <w:tabs>
          <w:tab w:val="right" w:leader="dot" w:pos="8306"/>
        </w:tabs>
        <w:rPr>
          <w:rFonts w:hint="eastAsia" w:ascii="宋体" w:hAnsi="宋体" w:eastAsia="宋体" w:cs="宋体"/>
          <w:sz w:val="28"/>
          <w:szCs w:val="28"/>
        </w:rPr>
      </w:pPr>
      <w:r>
        <w:rPr>
          <w:rFonts w:hint="eastAsia" w:ascii="宋体" w:hAnsi="宋体" w:eastAsia="宋体" w:cs="宋体"/>
          <w:color w:val="auto"/>
          <w:sz w:val="28"/>
          <w:szCs w:val="28"/>
          <w:lang w:val="en-US" w:eastAsia="zh-CN"/>
        </w:rPr>
        <w:t>2.3、服务范围</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_Toc5156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p>
    <w:p>
      <w:pPr>
        <w:pStyle w:val="17"/>
        <w:tabs>
          <w:tab w:val="right" w:leader="dot" w:pos="8306"/>
        </w:tabs>
        <w:rPr>
          <w:rFonts w:hint="eastAsia" w:ascii="宋体" w:hAnsi="宋体" w:eastAsia="宋体" w:cs="宋体"/>
          <w:sz w:val="28"/>
          <w:szCs w:val="28"/>
        </w:rPr>
      </w:pPr>
      <w:r>
        <w:rPr>
          <w:rFonts w:hint="eastAsia" w:ascii="宋体" w:hAnsi="宋体" w:eastAsia="宋体" w:cs="宋体"/>
          <w:color w:val="auto"/>
          <w:sz w:val="28"/>
          <w:szCs w:val="28"/>
          <w:lang w:val="en-US" w:eastAsia="zh-CN"/>
        </w:rPr>
        <w:t>2.4、服务内容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_Toc25421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p>
    <w:p>
      <w:pPr>
        <w:pStyle w:val="17"/>
        <w:tabs>
          <w:tab w:val="right" w:leader="dot" w:pos="8306"/>
        </w:tabs>
        <w:rPr>
          <w:rFonts w:hint="eastAsia" w:ascii="宋体" w:hAnsi="宋体" w:eastAsia="宋体" w:cs="宋体"/>
          <w:sz w:val="28"/>
          <w:szCs w:val="28"/>
        </w:rPr>
      </w:pPr>
      <w:r>
        <w:rPr>
          <w:rFonts w:hint="eastAsia" w:ascii="宋体" w:hAnsi="宋体" w:eastAsia="宋体" w:cs="宋体"/>
          <w:color w:val="auto"/>
          <w:sz w:val="28"/>
          <w:szCs w:val="28"/>
          <w:lang w:val="en-US" w:eastAsia="zh-CN"/>
        </w:rPr>
        <w:t>2.5、维护内容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_Toc21429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p>
    <w:p>
      <w:pPr>
        <w:pStyle w:val="16"/>
        <w:tabs>
          <w:tab w:val="right" w:leader="dot" w:pos="8306"/>
        </w:tabs>
        <w:rPr>
          <w:rFonts w:hint="eastAsia" w:ascii="宋体" w:hAnsi="宋体" w:eastAsia="宋体" w:cs="宋体"/>
          <w:sz w:val="28"/>
          <w:szCs w:val="28"/>
        </w:rPr>
      </w:pPr>
      <w:r>
        <w:rPr>
          <w:rFonts w:hint="eastAsia" w:ascii="宋体" w:hAnsi="宋体" w:eastAsia="宋体" w:cs="宋体"/>
          <w:color w:val="auto"/>
          <w:sz w:val="28"/>
          <w:szCs w:val="28"/>
          <w:lang w:val="en-US" w:eastAsia="zh-CN"/>
        </w:rPr>
        <w:t>三、 应遵循的主要标准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_Toc23557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p>
    <w:p>
      <w:pPr>
        <w:pStyle w:val="16"/>
        <w:tabs>
          <w:tab w:val="right" w:leader="dot" w:pos="8306"/>
        </w:tabs>
        <w:rPr>
          <w:rFonts w:hint="eastAsia" w:ascii="宋体" w:hAnsi="宋体" w:eastAsia="宋体" w:cs="宋体"/>
          <w:sz w:val="28"/>
          <w:szCs w:val="28"/>
        </w:rPr>
      </w:pPr>
      <w:r>
        <w:rPr>
          <w:rFonts w:hint="eastAsia" w:ascii="宋体" w:hAnsi="宋体" w:eastAsia="宋体" w:cs="宋体"/>
          <w:color w:val="auto"/>
          <w:sz w:val="28"/>
          <w:szCs w:val="28"/>
          <w:lang w:val="en-US" w:eastAsia="zh-CN"/>
        </w:rPr>
        <w:t>四、 其他要求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_Toc7408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end"/>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pStyle w:val="3"/>
        <w:numPr>
          <w:ilvl w:val="0"/>
          <w:numId w:val="2"/>
        </w:numPr>
        <w:bidi w:val="0"/>
        <w:ind w:left="630" w:leftChars="0" w:firstLineChars="0"/>
        <w:rPr>
          <w:rFonts w:hint="eastAsia"/>
          <w:lang w:val="en-US" w:eastAsia="zh-CN"/>
        </w:rPr>
      </w:pPr>
      <w:bookmarkStart w:id="0" w:name="_Toc32242"/>
      <w:bookmarkStart w:id="1" w:name="_Toc16466"/>
      <w:bookmarkStart w:id="2" w:name="_Toc24566"/>
      <w:bookmarkStart w:id="3" w:name="_Toc15946"/>
      <w:bookmarkStart w:id="4" w:name="_Toc30293"/>
      <w:bookmarkStart w:id="5" w:name="_Toc9335"/>
      <w:bookmarkStart w:id="6" w:name="_Toc7906"/>
      <w:r>
        <w:rPr>
          <w:rFonts w:hint="eastAsia"/>
          <w:lang w:val="en-US" w:eastAsia="zh-CN"/>
        </w:rPr>
        <w:t>总则</w:t>
      </w:r>
      <w:bookmarkEnd w:id="0"/>
      <w:bookmarkEnd w:id="1"/>
      <w:bookmarkEnd w:id="2"/>
      <w:bookmarkEnd w:id="3"/>
      <w:bookmarkEnd w:id="4"/>
      <w:bookmarkEnd w:id="5"/>
      <w:bookmarkEnd w:id="6"/>
    </w:p>
    <w:p>
      <w:pPr>
        <w:pStyle w:val="4"/>
        <w:bidi w:val="0"/>
      </w:pPr>
      <w:bookmarkStart w:id="7" w:name="_Toc320014800"/>
      <w:bookmarkStart w:id="8" w:name="_Toc10833"/>
      <w:bookmarkStart w:id="9" w:name="_Toc4017"/>
      <w:bookmarkStart w:id="10" w:name="_Toc13579"/>
      <w:bookmarkStart w:id="11" w:name="_Toc16925"/>
      <w:bookmarkStart w:id="12" w:name="_Toc24576"/>
      <w:bookmarkStart w:id="13" w:name="_Toc319936809"/>
      <w:bookmarkStart w:id="14" w:name="_Toc31299"/>
      <w:bookmarkStart w:id="15" w:name="_Toc320257407"/>
      <w:bookmarkStart w:id="16" w:name="_Toc416811672"/>
      <w:bookmarkStart w:id="17" w:name="_Toc6880"/>
      <w:bookmarkStart w:id="18" w:name="_Toc2450"/>
      <w:bookmarkStart w:id="19" w:name="_Toc20888"/>
      <w:r>
        <w:t>定义</w:t>
      </w:r>
      <w:bookmarkEnd w:id="7"/>
      <w:bookmarkEnd w:id="8"/>
      <w:bookmarkEnd w:id="9"/>
      <w:bookmarkEnd w:id="10"/>
      <w:bookmarkEnd w:id="11"/>
      <w:bookmarkEnd w:id="12"/>
      <w:bookmarkEnd w:id="13"/>
      <w:bookmarkEnd w:id="14"/>
      <w:bookmarkEnd w:id="15"/>
      <w:bookmarkEnd w:id="16"/>
      <w:bookmarkEnd w:id="17"/>
      <w:bookmarkEnd w:id="18"/>
    </w:p>
    <w:p>
      <w:pPr>
        <w:bidi w:val="0"/>
        <w:ind w:firstLine="420" w:firstLineChars="0"/>
        <w:rPr>
          <w:sz w:val="28"/>
          <w:szCs w:val="28"/>
        </w:rPr>
      </w:pPr>
      <w:r>
        <w:rPr>
          <w:sz w:val="28"/>
          <w:szCs w:val="28"/>
        </w:rPr>
        <w:t>招标方：</w:t>
      </w:r>
      <w:r>
        <w:rPr>
          <w:rFonts w:hint="eastAsia"/>
          <w:sz w:val="28"/>
          <w:szCs w:val="28"/>
          <w:lang w:val="en-US" w:eastAsia="zh-CN"/>
        </w:rPr>
        <w:t>广西电网公司玉林供电局</w:t>
      </w:r>
      <w:r>
        <w:rPr>
          <w:sz w:val="28"/>
          <w:szCs w:val="28"/>
        </w:rPr>
        <w:t>。</w:t>
      </w:r>
    </w:p>
    <w:p>
      <w:pPr>
        <w:spacing w:line="480" w:lineRule="auto"/>
        <w:ind w:firstLine="420" w:firstLineChars="0"/>
        <w:jc w:val="left"/>
        <w:rPr>
          <w:rFonts w:hint="default" w:eastAsia="黑体" w:cs="Times New Roman"/>
          <w:sz w:val="28"/>
          <w:szCs w:val="28"/>
          <w:lang w:val="en-US" w:eastAsia="zh-CN"/>
        </w:rPr>
      </w:pPr>
      <w:r>
        <w:rPr>
          <w:sz w:val="28"/>
          <w:szCs w:val="28"/>
        </w:rPr>
        <w:t>招标项目名称</w:t>
      </w:r>
      <w:r>
        <w:rPr>
          <w:color w:val="000000"/>
          <w:sz w:val="28"/>
          <w:szCs w:val="28"/>
        </w:rPr>
        <w:t>：</w:t>
      </w:r>
      <w:r>
        <w:rPr>
          <w:rFonts w:hint="eastAsia"/>
          <w:sz w:val="28"/>
          <w:szCs w:val="28"/>
          <w:lang w:val="en-US" w:eastAsia="zh-CN"/>
        </w:rPr>
        <w:t>2026-2027</w:t>
      </w:r>
      <w:r>
        <w:rPr>
          <w:rFonts w:hint="eastAsia"/>
          <w:sz w:val="28"/>
          <w:szCs w:val="28"/>
          <w:lang w:val="zh-CN" w:eastAsia="zh-CN"/>
        </w:rPr>
        <w:t>年玉林供电局供应链服务中心叉车维保维修服务</w:t>
      </w:r>
      <w:r>
        <w:rPr>
          <w:rFonts w:hint="eastAsia"/>
          <w:sz w:val="28"/>
          <w:szCs w:val="28"/>
          <w:lang w:val="en-US" w:eastAsia="zh-CN"/>
        </w:rPr>
        <w:t>项目</w:t>
      </w:r>
    </w:p>
    <w:p>
      <w:pPr>
        <w:pStyle w:val="3"/>
        <w:bidi w:val="0"/>
      </w:pPr>
      <w:bookmarkStart w:id="20" w:name="_Toc11205"/>
      <w:bookmarkStart w:id="21" w:name="_Toc6922"/>
      <w:bookmarkStart w:id="22" w:name="_Toc19712"/>
      <w:bookmarkStart w:id="23" w:name="_Toc320257408"/>
      <w:bookmarkStart w:id="24" w:name="_Toc416811673"/>
      <w:bookmarkStart w:id="25" w:name="_Toc319936810"/>
      <w:bookmarkStart w:id="26" w:name="_Toc14734"/>
      <w:bookmarkStart w:id="27" w:name="_Toc29624"/>
      <w:bookmarkStart w:id="28" w:name="_Toc14092"/>
      <w:bookmarkStart w:id="29" w:name="_Toc18607"/>
      <w:bookmarkStart w:id="30" w:name="_Toc320014801"/>
      <w:bookmarkStart w:id="31" w:name="_Toc4008"/>
      <w:r>
        <w:t>投标须知</w:t>
      </w:r>
      <w:bookmarkEnd w:id="20"/>
      <w:bookmarkEnd w:id="21"/>
      <w:bookmarkEnd w:id="22"/>
      <w:bookmarkEnd w:id="23"/>
      <w:bookmarkEnd w:id="24"/>
      <w:bookmarkEnd w:id="25"/>
      <w:bookmarkEnd w:id="26"/>
      <w:bookmarkEnd w:id="27"/>
      <w:bookmarkEnd w:id="28"/>
      <w:bookmarkEnd w:id="29"/>
      <w:bookmarkEnd w:id="30"/>
      <w:bookmarkEnd w:id="31"/>
    </w:p>
    <w:p>
      <w:pPr>
        <w:spacing w:line="480" w:lineRule="auto"/>
        <w:ind w:firstLine="420" w:firstLineChars="0"/>
        <w:jc w:val="left"/>
        <w:rPr>
          <w:sz w:val="28"/>
          <w:szCs w:val="28"/>
        </w:rPr>
      </w:pPr>
      <w:r>
        <w:rPr>
          <w:rFonts w:hint="eastAsia"/>
          <w:sz w:val="28"/>
          <w:szCs w:val="28"/>
          <w:lang w:val="en-US" w:eastAsia="zh-CN"/>
        </w:rPr>
        <w:t>1、</w:t>
      </w:r>
      <w:r>
        <w:rPr>
          <w:sz w:val="28"/>
          <w:szCs w:val="28"/>
        </w:rPr>
        <w:t>本招标文件描述了</w:t>
      </w:r>
      <w:r>
        <w:rPr>
          <w:rFonts w:hint="eastAsia"/>
          <w:sz w:val="28"/>
          <w:szCs w:val="28"/>
          <w:lang w:val="zh-CN" w:eastAsia="zh-CN"/>
        </w:rPr>
        <w:t>玉林供电局供应链服务中心叉车维修服务</w:t>
      </w:r>
      <w:r>
        <w:rPr>
          <w:rFonts w:hint="eastAsia"/>
          <w:sz w:val="28"/>
          <w:szCs w:val="28"/>
          <w:lang w:val="en-US" w:eastAsia="zh-CN"/>
        </w:rPr>
        <w:t>项目</w:t>
      </w:r>
      <w:r>
        <w:rPr>
          <w:rFonts w:cs="Times New Roman"/>
          <w:sz w:val="28"/>
          <w:szCs w:val="28"/>
        </w:rPr>
        <w:t>（简称本项目）工作目标、内容和要求，可供投标方编写</w:t>
      </w:r>
      <w:r>
        <w:rPr>
          <w:sz w:val="28"/>
          <w:szCs w:val="28"/>
        </w:rPr>
        <w:t>投标文件之用。</w:t>
      </w:r>
    </w:p>
    <w:p>
      <w:pPr>
        <w:bidi w:val="0"/>
        <w:ind w:firstLine="420" w:firstLineChars="0"/>
        <w:rPr>
          <w:rFonts w:hint="eastAsia"/>
          <w:sz w:val="28"/>
          <w:szCs w:val="28"/>
          <w:lang w:val="en-US" w:eastAsia="zh-CN"/>
        </w:rPr>
      </w:pPr>
      <w:r>
        <w:rPr>
          <w:rFonts w:hint="eastAsia"/>
          <w:sz w:val="28"/>
          <w:szCs w:val="28"/>
          <w:lang w:val="en-US" w:eastAsia="zh-CN"/>
        </w:rPr>
        <w:t>2、</w:t>
      </w:r>
      <w:r>
        <w:rPr>
          <w:sz w:val="28"/>
          <w:szCs w:val="28"/>
        </w:rPr>
        <w:t>投标方应按照本招标文件的要求提供详细、完整的</w:t>
      </w:r>
      <w:r>
        <w:rPr>
          <w:rFonts w:hint="eastAsia"/>
          <w:sz w:val="28"/>
          <w:szCs w:val="28"/>
        </w:rPr>
        <w:t>运维服务</w:t>
      </w:r>
      <w:r>
        <w:rPr>
          <w:sz w:val="28"/>
          <w:szCs w:val="28"/>
        </w:rPr>
        <w:t>方案。该方案应完全满足或高于本招标文件要求，对于本招标文件中的某些部分，投标方如不能满足要求，或有其它替代方案，或有其它修改建议，应在方案中指出其必须进行修改的理由以及与原要求的差别，否则，招标方即认为投标方可以满足本招标文件的要求。</w:t>
      </w:r>
    </w:p>
    <w:p>
      <w:pPr>
        <w:bidi w:val="0"/>
        <w:ind w:firstLine="420" w:firstLineChars="0"/>
        <w:rPr>
          <w:sz w:val="28"/>
          <w:szCs w:val="28"/>
          <w:lang w:val="en-US" w:eastAsia="zh-CN"/>
        </w:rPr>
      </w:pPr>
      <w:r>
        <w:rPr>
          <w:rFonts w:hint="eastAsia"/>
          <w:sz w:val="28"/>
          <w:szCs w:val="28"/>
          <w:lang w:val="en-US" w:eastAsia="zh-CN"/>
        </w:rPr>
        <w:t>3、</w:t>
      </w:r>
      <w:r>
        <w:rPr>
          <w:sz w:val="28"/>
          <w:szCs w:val="28"/>
          <w:lang w:val="en-US" w:eastAsia="zh-CN"/>
        </w:rPr>
        <w:t>投标方应保证所提供的所有资料真实、完整、准确无误，否则招标方将有权取消投标方的中标资格，由此产生的一切后果由投标方承担。</w:t>
      </w:r>
    </w:p>
    <w:p>
      <w:pPr>
        <w:bidi w:val="0"/>
        <w:ind w:firstLine="420" w:firstLineChars="0"/>
        <w:rPr>
          <w:rFonts w:hint="eastAsia" w:cs="Times New Roman"/>
          <w:sz w:val="28"/>
          <w:szCs w:val="28"/>
        </w:rPr>
      </w:pPr>
      <w:r>
        <w:rPr>
          <w:rFonts w:hint="eastAsia" w:cs="Times New Roman"/>
          <w:sz w:val="28"/>
          <w:szCs w:val="28"/>
          <w:lang w:val="en-US" w:eastAsia="zh-CN"/>
        </w:rPr>
        <w:t>4、</w:t>
      </w:r>
      <w:r>
        <w:rPr>
          <w:rFonts w:hint="eastAsia" w:cs="Times New Roman"/>
          <w:sz w:val="28"/>
          <w:szCs w:val="28"/>
        </w:rPr>
        <w:t>如果投标方认为本技术条款所描述技术要求等存在不合理性或不明白的，可在响应原要求后陈述相关建议。</w:t>
      </w:r>
    </w:p>
    <w:p>
      <w:pPr>
        <w:bidi w:val="0"/>
        <w:ind w:firstLine="420" w:firstLineChars="0"/>
        <w:rPr>
          <w:rFonts w:hint="eastAsia" w:cs="Times New Roman"/>
          <w:sz w:val="28"/>
          <w:szCs w:val="28"/>
        </w:rPr>
      </w:pPr>
      <w:r>
        <w:rPr>
          <w:rFonts w:hint="eastAsia" w:cs="Times New Roman"/>
          <w:sz w:val="28"/>
          <w:szCs w:val="28"/>
          <w:lang w:val="en-US" w:eastAsia="zh-CN"/>
        </w:rPr>
        <w:t>5、</w:t>
      </w:r>
      <w:r>
        <w:rPr>
          <w:rFonts w:hint="eastAsia" w:cs="Times New Roman"/>
          <w:sz w:val="28"/>
          <w:szCs w:val="28"/>
        </w:rPr>
        <w:t>投标方也可提出满足本技术规范书要求，且技术先进、成熟、价格合理的其他建议，供招标方选择。</w:t>
      </w:r>
    </w:p>
    <w:p>
      <w:pPr>
        <w:bidi w:val="0"/>
        <w:ind w:firstLine="420" w:firstLineChars="0"/>
        <w:rPr>
          <w:rFonts w:hint="eastAsia" w:cs="Times New Roman"/>
          <w:sz w:val="28"/>
          <w:szCs w:val="28"/>
        </w:rPr>
      </w:pPr>
      <w:r>
        <w:rPr>
          <w:rFonts w:hint="eastAsia" w:cs="Times New Roman"/>
          <w:sz w:val="28"/>
          <w:szCs w:val="28"/>
          <w:lang w:val="en-US" w:eastAsia="zh-CN"/>
        </w:rPr>
        <w:t>6、</w:t>
      </w:r>
      <w:r>
        <w:rPr>
          <w:rFonts w:hint="eastAsia" w:cs="Times New Roman"/>
          <w:sz w:val="28"/>
          <w:szCs w:val="28"/>
        </w:rPr>
        <w:t>本技术规范书所使用的标准如与投标方所执行的标准不一致，按较高标准执行。</w:t>
      </w:r>
    </w:p>
    <w:p>
      <w:pPr>
        <w:bidi w:val="0"/>
        <w:ind w:firstLine="420" w:firstLineChars="0"/>
        <w:rPr>
          <w:rFonts w:hint="eastAsia" w:cs="Times New Roman"/>
          <w:sz w:val="28"/>
          <w:szCs w:val="28"/>
          <w:lang w:val="en-US" w:eastAsia="zh-CN"/>
        </w:rPr>
      </w:pPr>
      <w:r>
        <w:rPr>
          <w:rFonts w:hint="eastAsia" w:cs="Times New Roman"/>
          <w:sz w:val="28"/>
          <w:szCs w:val="28"/>
          <w:lang w:val="en-US" w:eastAsia="zh-CN"/>
        </w:rPr>
        <w:t>7、如果因为无法提供的原因而提供其他产品、服务，投标方应明确说明并提出质量保证承诺。</w:t>
      </w:r>
    </w:p>
    <w:p>
      <w:pPr>
        <w:pStyle w:val="3"/>
        <w:numPr>
          <w:ilvl w:val="0"/>
          <w:numId w:val="2"/>
        </w:numPr>
        <w:bidi w:val="0"/>
        <w:ind w:left="630" w:leftChars="0" w:firstLineChars="0"/>
        <w:rPr>
          <w:rFonts w:hint="eastAsia"/>
          <w:lang w:val="en-US" w:eastAsia="zh-CN"/>
        </w:rPr>
      </w:pPr>
      <w:bookmarkStart w:id="32" w:name="_Toc13337"/>
      <w:bookmarkStart w:id="33" w:name="_Toc32063"/>
      <w:bookmarkStart w:id="34" w:name="_Toc17117"/>
      <w:bookmarkStart w:id="35" w:name="_Toc15376"/>
      <w:bookmarkStart w:id="36" w:name="_Toc30413"/>
      <w:bookmarkStart w:id="37" w:name="_Toc15548"/>
      <w:r>
        <w:rPr>
          <w:rFonts w:hint="eastAsia"/>
          <w:lang w:val="en-US" w:eastAsia="zh-CN"/>
        </w:rPr>
        <w:t>工作范围</w:t>
      </w:r>
      <w:bookmarkEnd w:id="19"/>
      <w:bookmarkEnd w:id="32"/>
      <w:bookmarkEnd w:id="33"/>
      <w:bookmarkEnd w:id="34"/>
      <w:bookmarkEnd w:id="35"/>
      <w:bookmarkEnd w:id="36"/>
      <w:bookmarkEnd w:id="37"/>
      <w:bookmarkStart w:id="38" w:name="_Toc349031717"/>
    </w:p>
    <w:p>
      <w:pPr>
        <w:pStyle w:val="4"/>
        <w:bidi w:val="0"/>
        <w:rPr>
          <w:rFonts w:hint="eastAsia"/>
          <w:lang w:val="en-US" w:eastAsia="zh-CN"/>
        </w:rPr>
      </w:pPr>
      <w:bookmarkStart w:id="39" w:name="_Toc16249"/>
      <w:bookmarkStart w:id="40" w:name="_Toc2715"/>
      <w:bookmarkStart w:id="41" w:name="_Toc4681"/>
      <w:bookmarkStart w:id="42" w:name="_Toc17646"/>
      <w:bookmarkStart w:id="43" w:name="_Toc17728"/>
      <w:bookmarkStart w:id="44" w:name="_Toc3875"/>
      <w:bookmarkStart w:id="45" w:name="_Toc31317"/>
      <w:r>
        <w:rPr>
          <w:rFonts w:hint="eastAsia"/>
          <w:lang w:val="en-US" w:eastAsia="zh-CN"/>
        </w:rPr>
        <w:t>2.1、项目概况</w:t>
      </w:r>
      <w:bookmarkEnd w:id="39"/>
      <w:bookmarkEnd w:id="40"/>
      <w:bookmarkEnd w:id="41"/>
      <w:bookmarkEnd w:id="42"/>
      <w:bookmarkEnd w:id="43"/>
      <w:bookmarkEnd w:id="44"/>
      <w:bookmarkEnd w:id="45"/>
    </w:p>
    <w:p>
      <w:pPr>
        <w:spacing w:line="360" w:lineRule="auto"/>
        <w:ind w:firstLine="560" w:firstLineChars="200"/>
        <w:rPr>
          <w:rFonts w:hint="eastAsia" w:cs="Times New Roman"/>
          <w:color w:val="auto"/>
          <w:kern w:val="2"/>
          <w:sz w:val="28"/>
          <w:szCs w:val="28"/>
          <w:lang w:val="en-US" w:eastAsia="zh-CN" w:bidi="ar-SA"/>
        </w:rPr>
      </w:pPr>
      <w:r>
        <w:rPr>
          <w:rFonts w:hint="eastAsia" w:cs="Times New Roman"/>
          <w:color w:val="auto"/>
          <w:kern w:val="2"/>
          <w:sz w:val="28"/>
          <w:szCs w:val="28"/>
          <w:lang w:val="en-US" w:eastAsia="zh-CN" w:bidi="ar-SA"/>
        </w:rPr>
        <w:t>对玉林</w:t>
      </w:r>
      <w:r>
        <w:rPr>
          <w:rFonts w:hint="eastAsia" w:ascii="Calibri" w:hAnsi="Calibri" w:eastAsia="宋体" w:cs="Times New Roman"/>
          <w:color w:val="auto"/>
          <w:kern w:val="2"/>
          <w:sz w:val="28"/>
          <w:szCs w:val="28"/>
          <w:lang w:val="en-US" w:eastAsia="zh-CN" w:bidi="ar-SA"/>
        </w:rPr>
        <w:t>供电局</w:t>
      </w:r>
      <w:r>
        <w:rPr>
          <w:rFonts w:hint="eastAsia" w:cs="Times New Roman"/>
          <w:color w:val="auto"/>
          <w:kern w:val="2"/>
          <w:sz w:val="28"/>
          <w:szCs w:val="28"/>
          <w:lang w:val="en-US" w:eastAsia="zh-CN" w:bidi="ar-SA"/>
        </w:rPr>
        <w:t>供应链服务中心的特种车辆（叉车）共4辆开展维保维修服务，具体车辆型号如下：</w:t>
      </w:r>
    </w:p>
    <w:tbl>
      <w:tblPr>
        <w:tblStyle w:val="19"/>
        <w:tblW w:w="87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1"/>
        <w:gridCol w:w="2512"/>
        <w:gridCol w:w="1079"/>
        <w:gridCol w:w="1078"/>
        <w:gridCol w:w="1125"/>
        <w:gridCol w:w="1096"/>
        <w:gridCol w:w="10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733" w:type="dxa"/>
            <w:tcBorders>
              <w:top w:val="single" w:color="000000" w:sz="4" w:space="0"/>
              <w:left w:val="single" w:color="000000" w:sz="4" w:space="0"/>
              <w:bottom w:val="single" w:color="000000" w:sz="4" w:space="0"/>
              <w:right w:val="single" w:color="000000" w:sz="4" w:space="0"/>
            </w:tcBorders>
            <w:shd w:val="clear" w:color="auto" w:fill="DEEBF6"/>
            <w:vAlign w:val="center"/>
          </w:tcPr>
          <w:p>
            <w:pPr>
              <w:keepNext w:val="0"/>
              <w:keepLines w:val="0"/>
              <w:widowControl/>
              <w:suppressLineNumbers w:val="0"/>
              <w:jc w:val="center"/>
              <w:textAlignment w:val="center"/>
              <w:rPr>
                <w:rFonts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序号</w:t>
            </w:r>
          </w:p>
        </w:tc>
        <w:tc>
          <w:tcPr>
            <w:tcW w:w="2524" w:type="dxa"/>
            <w:tcBorders>
              <w:top w:val="single" w:color="000000" w:sz="4" w:space="0"/>
              <w:left w:val="single" w:color="000000" w:sz="4" w:space="0"/>
              <w:bottom w:val="single" w:color="000000" w:sz="4" w:space="0"/>
              <w:right w:val="single" w:color="000000" w:sz="4" w:space="0"/>
            </w:tcBorders>
            <w:shd w:val="clear" w:color="auto" w:fill="DEEBF6"/>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设备名称</w:t>
            </w:r>
          </w:p>
        </w:tc>
        <w:tc>
          <w:tcPr>
            <w:tcW w:w="1080" w:type="dxa"/>
            <w:tcBorders>
              <w:top w:val="single" w:color="000000" w:sz="4" w:space="0"/>
              <w:left w:val="single" w:color="000000" w:sz="4" w:space="0"/>
              <w:bottom w:val="single" w:color="000000" w:sz="4" w:space="0"/>
              <w:right w:val="single" w:color="000000" w:sz="4" w:space="0"/>
            </w:tcBorders>
            <w:shd w:val="clear" w:color="auto" w:fill="DEEBF6"/>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设备型号</w:t>
            </w:r>
          </w:p>
        </w:tc>
        <w:tc>
          <w:tcPr>
            <w:tcW w:w="1080" w:type="dxa"/>
            <w:tcBorders>
              <w:top w:val="single" w:color="000000" w:sz="4" w:space="0"/>
              <w:left w:val="single" w:color="000000" w:sz="4" w:space="0"/>
              <w:bottom w:val="single" w:color="000000" w:sz="4" w:space="0"/>
              <w:right w:val="single" w:color="000000" w:sz="4" w:space="0"/>
            </w:tcBorders>
            <w:shd w:val="clear" w:color="auto" w:fill="DEEBF6"/>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额定载荷</w:t>
            </w:r>
          </w:p>
        </w:tc>
        <w:tc>
          <w:tcPr>
            <w:tcW w:w="1128" w:type="dxa"/>
            <w:tcBorders>
              <w:top w:val="single" w:color="000000" w:sz="4" w:space="0"/>
              <w:left w:val="single" w:color="000000" w:sz="4" w:space="0"/>
              <w:bottom w:val="single" w:color="000000" w:sz="4" w:space="0"/>
              <w:right w:val="single" w:color="000000" w:sz="4" w:space="0"/>
            </w:tcBorders>
            <w:shd w:val="clear" w:color="auto" w:fill="DEEBF6"/>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品牌</w:t>
            </w:r>
          </w:p>
        </w:tc>
        <w:tc>
          <w:tcPr>
            <w:tcW w:w="1080" w:type="dxa"/>
            <w:tcBorders>
              <w:top w:val="single" w:color="000000" w:sz="4" w:space="0"/>
              <w:left w:val="single" w:color="000000" w:sz="4" w:space="0"/>
              <w:bottom w:val="single" w:color="000000" w:sz="4" w:space="0"/>
              <w:right w:val="single" w:color="000000" w:sz="4" w:space="0"/>
            </w:tcBorders>
            <w:shd w:val="clear" w:color="auto" w:fill="DEEBF6"/>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存放地点</w:t>
            </w:r>
          </w:p>
        </w:tc>
        <w:tc>
          <w:tcPr>
            <w:tcW w:w="1080" w:type="dxa"/>
            <w:tcBorders>
              <w:top w:val="single" w:color="000000" w:sz="4" w:space="0"/>
              <w:left w:val="single" w:color="000000" w:sz="4" w:space="0"/>
              <w:bottom w:val="single" w:color="000000" w:sz="4" w:space="0"/>
              <w:right w:val="single" w:color="000000" w:sz="4" w:space="0"/>
            </w:tcBorders>
            <w:shd w:val="clear" w:color="auto" w:fill="DEEBF6"/>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投运时间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5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内燃式平衡重式叉车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CPCD35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3.5T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永上仓库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2015.12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25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蓄电池平衡重式叉车</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CDP30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3T</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江淮</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泉东仓库</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2019.3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25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蓄电池平衡重式叉车</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CDP30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3T</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江淮</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泉东仓库</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2019.3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5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前移式叉车</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CQD16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1.6T</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江淮</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泉东仓库</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2022.5</w:t>
            </w:r>
          </w:p>
        </w:tc>
      </w:tr>
    </w:tbl>
    <w:p>
      <w:pPr>
        <w:pStyle w:val="2"/>
        <w:rPr>
          <w:rFonts w:hint="default"/>
          <w:lang w:val="en-US" w:eastAsia="zh-CN"/>
        </w:rPr>
      </w:pPr>
    </w:p>
    <w:p>
      <w:pPr>
        <w:pStyle w:val="4"/>
        <w:bidi w:val="0"/>
        <w:rPr>
          <w:rFonts w:hint="eastAsia"/>
          <w:color w:val="auto"/>
          <w:lang w:val="en-US" w:eastAsia="zh-CN"/>
        </w:rPr>
      </w:pPr>
      <w:bookmarkStart w:id="46" w:name="_Toc22349"/>
      <w:bookmarkStart w:id="47" w:name="_Toc1784"/>
      <w:bookmarkStart w:id="48" w:name="_Toc13757"/>
      <w:bookmarkStart w:id="49" w:name="_Toc5903"/>
      <w:bookmarkStart w:id="50" w:name="_Toc23425"/>
      <w:bookmarkStart w:id="51" w:name="_Toc4456"/>
      <w:bookmarkStart w:id="52" w:name="_Toc25003"/>
      <w:r>
        <w:rPr>
          <w:rFonts w:hint="eastAsia"/>
          <w:color w:val="auto"/>
          <w:lang w:val="en-US" w:eastAsia="zh-CN"/>
        </w:rPr>
        <w:t>2.2、服务目标</w:t>
      </w:r>
      <w:bookmarkEnd w:id="46"/>
    </w:p>
    <w:p>
      <w:pPr>
        <w:spacing w:line="360" w:lineRule="auto"/>
        <w:ind w:firstLine="560" w:firstLineChars="200"/>
        <w:rPr>
          <w:rFonts w:hint="eastAsia" w:ascii="Calibri" w:hAnsi="Calibri" w:eastAsia="宋体" w:cs="Times New Roman"/>
          <w:kern w:val="2"/>
          <w:sz w:val="28"/>
          <w:szCs w:val="28"/>
          <w:lang w:val="en-US" w:eastAsia="zh-CN" w:bidi="ar-SA"/>
        </w:rPr>
      </w:pPr>
      <w:r>
        <w:rPr>
          <w:rFonts w:hint="eastAsia" w:ascii="Calibri" w:hAnsi="Calibri" w:eastAsia="宋体" w:cs="Times New Roman"/>
          <w:kern w:val="2"/>
          <w:sz w:val="28"/>
          <w:szCs w:val="28"/>
          <w:lang w:val="en-US" w:eastAsia="zh-CN" w:bidi="ar-SA"/>
        </w:rPr>
        <w:t>乙方在承担委托的运行维护工作期间，应达到下列服务目标：</w:t>
      </w:r>
    </w:p>
    <w:p>
      <w:pPr>
        <w:bidi w:val="0"/>
        <w:ind w:firstLine="420" w:firstLineChars="0"/>
        <w:rPr>
          <w:rFonts w:hint="eastAsia" w:eastAsia="宋体"/>
          <w:sz w:val="28"/>
          <w:szCs w:val="28"/>
          <w:lang w:eastAsia="zh-CN"/>
        </w:rPr>
      </w:pPr>
      <w:r>
        <w:rPr>
          <w:rFonts w:hint="eastAsia"/>
          <w:sz w:val="28"/>
          <w:szCs w:val="28"/>
        </w:rPr>
        <w:t>（1）严格执行国家、南方电网公司、广西电网有限责任公司颁发的规程、规定、规范和标准，开展系统的运行维护工作，并严格遵守《电业安全工作规程》的有关规定，不发生安全责任事故</w:t>
      </w:r>
      <w:r>
        <w:rPr>
          <w:rFonts w:hint="eastAsia"/>
          <w:sz w:val="28"/>
          <w:szCs w:val="28"/>
          <w:lang w:eastAsia="zh-CN"/>
        </w:rPr>
        <w:t>；</w:t>
      </w:r>
    </w:p>
    <w:p>
      <w:pPr>
        <w:bidi w:val="0"/>
        <w:ind w:firstLine="420" w:firstLineChars="0"/>
        <w:rPr>
          <w:rFonts w:hint="eastAsia" w:eastAsia="宋体"/>
          <w:sz w:val="28"/>
          <w:szCs w:val="28"/>
          <w:lang w:eastAsia="zh-CN"/>
        </w:rPr>
      </w:pPr>
      <w:r>
        <w:rPr>
          <w:rFonts w:hint="eastAsia"/>
          <w:sz w:val="28"/>
          <w:szCs w:val="28"/>
        </w:rPr>
        <w:t>（2）不发生业务数据丢失、泄密等信息安全事件</w:t>
      </w:r>
      <w:r>
        <w:rPr>
          <w:rFonts w:hint="eastAsia"/>
          <w:sz w:val="28"/>
          <w:szCs w:val="28"/>
          <w:lang w:eastAsia="zh-CN"/>
        </w:rPr>
        <w:t>；</w:t>
      </w:r>
    </w:p>
    <w:p>
      <w:pPr>
        <w:bidi w:val="0"/>
        <w:ind w:firstLine="420" w:firstLineChars="0"/>
        <w:rPr>
          <w:rFonts w:hint="eastAsia"/>
          <w:color w:val="auto"/>
          <w:sz w:val="28"/>
          <w:szCs w:val="28"/>
          <w:lang w:val="en-US" w:eastAsia="zh-CN"/>
        </w:rPr>
      </w:pPr>
      <w:r>
        <w:rPr>
          <w:rFonts w:hint="eastAsia"/>
          <w:sz w:val="28"/>
          <w:szCs w:val="28"/>
        </w:rPr>
        <w:t>（3）</w:t>
      </w:r>
      <w:r>
        <w:rPr>
          <w:rFonts w:hint="eastAsia"/>
          <w:color w:val="auto"/>
          <w:sz w:val="28"/>
          <w:szCs w:val="28"/>
        </w:rPr>
        <w:t>确保</w:t>
      </w:r>
      <w:r>
        <w:rPr>
          <w:rFonts w:hint="eastAsia"/>
          <w:color w:val="auto"/>
          <w:sz w:val="28"/>
          <w:szCs w:val="28"/>
          <w:lang w:val="en-US" w:eastAsia="zh-CN"/>
        </w:rPr>
        <w:t>叉车安全可靠运行</w:t>
      </w:r>
      <w:r>
        <w:rPr>
          <w:rFonts w:hint="eastAsia"/>
          <w:color w:val="auto"/>
          <w:sz w:val="28"/>
          <w:szCs w:val="28"/>
        </w:rPr>
        <w:t>；满足</w:t>
      </w:r>
      <w:r>
        <w:rPr>
          <w:rFonts w:hint="eastAsia"/>
          <w:color w:val="auto"/>
          <w:sz w:val="28"/>
          <w:szCs w:val="28"/>
          <w:lang w:val="en-US" w:eastAsia="zh-CN"/>
        </w:rPr>
        <w:t>日常生产</w:t>
      </w:r>
      <w:r>
        <w:rPr>
          <w:rFonts w:hint="eastAsia"/>
          <w:color w:val="auto"/>
          <w:sz w:val="28"/>
          <w:szCs w:val="28"/>
        </w:rPr>
        <w:t>需要</w:t>
      </w:r>
      <w:r>
        <w:rPr>
          <w:rFonts w:hint="eastAsia"/>
          <w:color w:val="auto"/>
          <w:sz w:val="28"/>
          <w:szCs w:val="28"/>
          <w:lang w:val="en-US" w:eastAsia="zh-CN"/>
        </w:rPr>
        <w:t>;</w:t>
      </w:r>
    </w:p>
    <w:p>
      <w:pPr>
        <w:bidi w:val="0"/>
        <w:ind w:firstLine="420" w:firstLineChars="0"/>
        <w:rPr>
          <w:rFonts w:hint="default"/>
          <w:color w:val="auto"/>
          <w:sz w:val="28"/>
          <w:szCs w:val="28"/>
          <w:shd w:val="clear" w:color="auto" w:fill="auto"/>
          <w:lang w:val="en-US" w:eastAsia="zh-CN"/>
        </w:rPr>
      </w:pPr>
      <w:r>
        <w:rPr>
          <w:rFonts w:hint="eastAsia"/>
          <w:sz w:val="28"/>
          <w:szCs w:val="28"/>
          <w:lang w:val="en-US" w:eastAsia="zh-CN"/>
        </w:rPr>
        <w:t>（4）</w:t>
      </w:r>
      <w:r>
        <w:rPr>
          <w:rFonts w:hint="eastAsia"/>
          <w:color w:val="auto"/>
          <w:sz w:val="28"/>
          <w:szCs w:val="28"/>
          <w:shd w:val="clear" w:color="auto" w:fill="auto"/>
          <w:lang w:val="en-US" w:eastAsia="zh-CN"/>
        </w:rPr>
        <w:t>接到甲方叉车故障通知后3小时内到达现场，并实施紧急处理，需在8小时内解决故障。</w:t>
      </w:r>
    </w:p>
    <w:p>
      <w:pPr>
        <w:pStyle w:val="4"/>
        <w:bidi w:val="0"/>
        <w:rPr>
          <w:rFonts w:hint="default"/>
          <w:color w:val="auto"/>
          <w:lang w:val="en-US" w:eastAsia="zh-CN"/>
        </w:rPr>
      </w:pPr>
      <w:bookmarkStart w:id="53" w:name="_Toc5156"/>
      <w:r>
        <w:rPr>
          <w:rFonts w:hint="eastAsia"/>
          <w:color w:val="auto"/>
          <w:lang w:val="en-US" w:eastAsia="zh-CN"/>
        </w:rPr>
        <w:t>2.3、服务</w:t>
      </w:r>
      <w:bookmarkEnd w:id="47"/>
      <w:bookmarkEnd w:id="48"/>
      <w:bookmarkEnd w:id="49"/>
      <w:bookmarkEnd w:id="50"/>
      <w:bookmarkEnd w:id="51"/>
      <w:bookmarkEnd w:id="52"/>
      <w:r>
        <w:rPr>
          <w:rFonts w:hint="eastAsia"/>
          <w:color w:val="auto"/>
          <w:lang w:val="en-US" w:eastAsia="zh-CN"/>
        </w:rPr>
        <w:t>范围</w:t>
      </w:r>
      <w:bookmarkEnd w:id="53"/>
    </w:p>
    <w:p>
      <w:pPr>
        <w:spacing w:line="480" w:lineRule="auto"/>
        <w:ind w:firstLine="420" w:firstLineChars="0"/>
        <w:jc w:val="left"/>
        <w:rPr>
          <w:rFonts w:hint="default" w:eastAsia="黑体" w:cs="Times New Roman"/>
          <w:color w:val="auto"/>
          <w:sz w:val="28"/>
          <w:szCs w:val="28"/>
          <w:lang w:val="en-US" w:eastAsia="zh-CN"/>
        </w:rPr>
      </w:pPr>
      <w:bookmarkStart w:id="54" w:name="_Toc12354"/>
      <w:r>
        <w:rPr>
          <w:rFonts w:hint="eastAsia" w:cs="Times New Roman"/>
          <w:color w:val="auto"/>
          <w:sz w:val="28"/>
          <w:szCs w:val="28"/>
        </w:rPr>
        <w:t>本项目的业务范围主要指</w:t>
      </w:r>
      <w:bookmarkStart w:id="69" w:name="_GoBack"/>
      <w:bookmarkEnd w:id="69"/>
      <w:r>
        <w:rPr>
          <w:rFonts w:hint="eastAsia"/>
          <w:color w:val="auto"/>
          <w:sz w:val="28"/>
          <w:szCs w:val="28"/>
          <w:lang w:val="zh-CN" w:eastAsia="zh-CN"/>
        </w:rPr>
        <w:t>玉林供电局供应链服务中心叉车维保维修服务</w:t>
      </w:r>
      <w:r>
        <w:rPr>
          <w:rFonts w:hint="eastAsia"/>
          <w:color w:val="auto"/>
          <w:sz w:val="28"/>
          <w:szCs w:val="28"/>
          <w:lang w:val="en-US" w:eastAsia="zh-CN"/>
        </w:rPr>
        <w:t>项目</w:t>
      </w:r>
    </w:p>
    <w:p>
      <w:pPr>
        <w:bidi w:val="0"/>
        <w:ind w:firstLine="420" w:firstLineChars="0"/>
        <w:rPr>
          <w:rFonts w:hint="eastAsia" w:cs="Times New Roman"/>
          <w:color w:val="auto"/>
          <w:sz w:val="28"/>
          <w:szCs w:val="28"/>
        </w:rPr>
      </w:pPr>
      <w:r>
        <w:rPr>
          <w:rFonts w:hint="eastAsia" w:cs="Times New Roman"/>
          <w:color w:val="auto"/>
          <w:sz w:val="28"/>
          <w:szCs w:val="28"/>
        </w:rPr>
        <w:t>本项目的维护期限：</w:t>
      </w:r>
      <w:r>
        <w:rPr>
          <w:rFonts w:hint="eastAsia" w:cs="Times New Roman"/>
          <w:color w:val="auto"/>
          <w:sz w:val="28"/>
          <w:szCs w:val="28"/>
          <w:lang w:val="en-US" w:eastAsia="zh-CN"/>
        </w:rPr>
        <w:t>2年，具体时间</w:t>
      </w:r>
      <w:r>
        <w:rPr>
          <w:rFonts w:hint="eastAsia" w:cs="Times New Roman"/>
          <w:color w:val="auto"/>
          <w:sz w:val="28"/>
          <w:szCs w:val="28"/>
          <w:u w:val="single"/>
          <w:lang w:val="en-US" w:eastAsia="zh-CN"/>
        </w:rPr>
        <w:t>以合同约定为准。</w:t>
      </w:r>
    </w:p>
    <w:p>
      <w:pPr>
        <w:pStyle w:val="4"/>
        <w:bidi w:val="0"/>
        <w:ind w:left="0" w:leftChars="0" w:firstLine="321" w:firstLineChars="100"/>
        <w:rPr>
          <w:rFonts w:hint="eastAsia"/>
          <w:color w:val="auto"/>
          <w:lang w:val="en-US" w:eastAsia="zh-CN"/>
        </w:rPr>
      </w:pPr>
      <w:bookmarkStart w:id="55" w:name="_Toc25321"/>
      <w:bookmarkStart w:id="56" w:name="_Toc28826"/>
      <w:bookmarkStart w:id="57" w:name="_Toc1591"/>
      <w:bookmarkStart w:id="58" w:name="_Toc26683"/>
      <w:bookmarkStart w:id="59" w:name="_Toc9527"/>
      <w:bookmarkStart w:id="60" w:name="_Toc25421"/>
      <w:r>
        <w:rPr>
          <w:rFonts w:hint="eastAsia"/>
          <w:color w:val="auto"/>
          <w:lang w:val="en-US" w:eastAsia="zh-CN"/>
        </w:rPr>
        <w:t>2.4、服务</w:t>
      </w:r>
      <w:bookmarkEnd w:id="55"/>
      <w:bookmarkEnd w:id="56"/>
      <w:bookmarkEnd w:id="57"/>
      <w:bookmarkEnd w:id="58"/>
      <w:bookmarkEnd w:id="59"/>
      <w:r>
        <w:rPr>
          <w:rFonts w:hint="eastAsia"/>
          <w:color w:val="auto"/>
          <w:lang w:val="en-US" w:eastAsia="zh-CN"/>
        </w:rPr>
        <w:t>内容</w:t>
      </w:r>
      <w:bookmarkEnd w:id="60"/>
    </w:p>
    <w:p>
      <w:pPr>
        <w:snapToGrid w:val="0"/>
        <w:spacing w:before="0" w:beforeAutospacing="0" w:after="0" w:afterAutospacing="0" w:line="360" w:lineRule="auto"/>
        <w:ind w:firstLine="420" w:firstLineChars="200"/>
        <w:jc w:val="both"/>
        <w:textAlignment w:val="baseline"/>
        <w:rPr>
          <w:rFonts w:hint="eastAsia" w:cs="Times New Roman"/>
          <w:color w:val="auto"/>
          <w:sz w:val="28"/>
          <w:szCs w:val="28"/>
          <w:lang w:val="en-US" w:eastAsia="zh-CN"/>
        </w:rPr>
      </w:pPr>
      <w:r>
        <w:rPr>
          <w:rFonts w:hint="eastAsia"/>
          <w:lang w:val="en-US" w:eastAsia="zh-CN"/>
        </w:rPr>
        <w:t xml:space="preserve">  </w:t>
      </w:r>
      <w:r>
        <w:rPr>
          <w:rFonts w:hint="eastAsia" w:eastAsia="宋体" w:cs="Times New Roman"/>
          <w:color w:val="auto"/>
          <w:sz w:val="28"/>
          <w:szCs w:val="28"/>
          <w:lang w:val="en-US" w:eastAsia="zh-CN"/>
        </w:rPr>
        <w:t xml:space="preserve"> 按照行业标准及维保项目清单对内燃叉车</w:t>
      </w:r>
      <w:r>
        <w:rPr>
          <w:rFonts w:hint="eastAsia" w:cs="Times New Roman"/>
          <w:color w:val="auto"/>
          <w:sz w:val="28"/>
          <w:szCs w:val="28"/>
          <w:lang w:val="en-US" w:eastAsia="zh-CN"/>
        </w:rPr>
        <w:t>、前移式堆垛机及</w:t>
      </w:r>
      <w:r>
        <w:rPr>
          <w:rFonts w:hint="default" w:ascii="Calibri" w:hAnsi="Calibri" w:eastAsia="宋体" w:cs="Times New Roman"/>
          <w:color w:val="auto"/>
          <w:kern w:val="2"/>
          <w:sz w:val="28"/>
          <w:szCs w:val="28"/>
          <w:lang w:val="en-US" w:eastAsia="zh-CN" w:bidi="ar-SA"/>
        </w:rPr>
        <w:t>蓄电池平衡重式叉车</w:t>
      </w:r>
      <w:r>
        <w:rPr>
          <w:rFonts w:hint="eastAsia" w:eastAsia="宋体" w:cs="Times New Roman"/>
          <w:color w:val="auto"/>
          <w:sz w:val="28"/>
          <w:szCs w:val="28"/>
          <w:lang w:val="en-US" w:eastAsia="zh-CN"/>
        </w:rPr>
        <w:t>开展维护保养</w:t>
      </w:r>
      <w:r>
        <w:rPr>
          <w:rFonts w:hint="eastAsia" w:cs="Times New Roman"/>
          <w:color w:val="auto"/>
          <w:sz w:val="28"/>
          <w:szCs w:val="28"/>
          <w:lang w:val="en-US" w:eastAsia="zh-CN"/>
        </w:rPr>
        <w:t>（每季度开展一次）及年检代办服务</w:t>
      </w:r>
      <w:r>
        <w:rPr>
          <w:rFonts w:hint="eastAsia" w:eastAsia="宋体" w:cs="Times New Roman"/>
          <w:color w:val="auto"/>
          <w:sz w:val="28"/>
          <w:szCs w:val="28"/>
          <w:lang w:val="en-US" w:eastAsia="zh-CN"/>
        </w:rPr>
        <w:t>，</w:t>
      </w:r>
      <w:r>
        <w:rPr>
          <w:rFonts w:hint="eastAsia" w:cs="Times New Roman"/>
          <w:color w:val="auto"/>
          <w:sz w:val="28"/>
          <w:szCs w:val="28"/>
          <w:lang w:val="en-US" w:eastAsia="zh-CN"/>
        </w:rPr>
        <w:t>内燃叉车维保内容主要包括对动力系统、传动系统、起升系统、液压系统、转向系统、制动系统、电气系统、操纵系统等进行定检维护保养，保证内燃叉车各功能正常运行；前移式堆垛机及</w:t>
      </w:r>
      <w:r>
        <w:rPr>
          <w:rFonts w:hint="default" w:ascii="Calibri" w:hAnsi="Calibri" w:eastAsia="宋体" w:cs="Times New Roman"/>
          <w:color w:val="auto"/>
          <w:kern w:val="2"/>
          <w:sz w:val="28"/>
          <w:szCs w:val="28"/>
          <w:lang w:val="en-US" w:eastAsia="zh-CN" w:bidi="ar-SA"/>
        </w:rPr>
        <w:t>蓄电池平衡重式叉</w:t>
      </w:r>
      <w:r>
        <w:rPr>
          <w:rFonts w:hint="default" w:eastAsia="宋体" w:cs="Times New Roman"/>
          <w:color w:val="auto"/>
          <w:sz w:val="28"/>
          <w:szCs w:val="28"/>
          <w:lang w:val="en-US" w:eastAsia="zh-CN"/>
        </w:rPr>
        <w:t>车</w:t>
      </w:r>
      <w:r>
        <w:rPr>
          <w:rFonts w:hint="eastAsia" w:eastAsia="宋体" w:cs="Times New Roman"/>
          <w:color w:val="auto"/>
          <w:sz w:val="28"/>
          <w:szCs w:val="28"/>
          <w:lang w:val="en-US" w:eastAsia="zh-CN"/>
        </w:rPr>
        <w:t>维保内容主要包括对电动堆垛机传动系统、控制系统、电气系统等部件进行定检维护保养，保证电动堆垛机各功能正常运行。如在维护保养过程中需更</w:t>
      </w:r>
      <w:r>
        <w:rPr>
          <w:rFonts w:hint="eastAsia" w:cs="Times New Roman"/>
          <w:color w:val="auto"/>
          <w:sz w:val="28"/>
          <w:szCs w:val="28"/>
          <w:lang w:val="en-US" w:eastAsia="zh-CN"/>
        </w:rPr>
        <w:t>换零配件材料，所更换配件材料在配件报价单内的，经项目负责人同意后更换，总费用=维保费用+更换配件费，如所更换配件不在配件报价单内，需双方签订补充协议签字确认后予以更换及结算。</w:t>
      </w:r>
    </w:p>
    <w:p>
      <w:pPr>
        <w:snapToGrid w:val="0"/>
        <w:spacing w:before="0" w:beforeAutospacing="0" w:after="0" w:afterAutospacing="0" w:line="360" w:lineRule="auto"/>
        <w:ind w:firstLine="560" w:firstLineChars="200"/>
        <w:jc w:val="both"/>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 内燃叉车维保项目如下，按要求对下表所列项目开展检查保养。</w:t>
      </w:r>
    </w:p>
    <w:tbl>
      <w:tblPr>
        <w:tblStyle w:val="19"/>
        <w:tblW w:w="90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80"/>
        <w:gridCol w:w="3413"/>
        <w:gridCol w:w="2880"/>
        <w:gridCol w:w="16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napToGrid w:val="0"/>
              <w:spacing w:before="0" w:beforeAutospacing="0" w:after="0" w:afterAutospacing="0" w:line="360" w:lineRule="auto"/>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序号</w:t>
            </w:r>
          </w:p>
        </w:tc>
        <w:tc>
          <w:tcPr>
            <w:tcW w:w="34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保养项目</w:t>
            </w:r>
          </w:p>
        </w:tc>
        <w:tc>
          <w:tcPr>
            <w:tcW w:w="28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项目内容</w:t>
            </w:r>
          </w:p>
        </w:tc>
        <w:tc>
          <w:tcPr>
            <w:tcW w:w="168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车身、底盘</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清洁、润滑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2</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空气滤清器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清洁</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3</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传动轴（中间传动轴）</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紧固、润滑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4</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转向油缸</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紧固、润滑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5</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制动液量</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检查、添加制动液</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6</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液压工作系统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检查、紧固</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7</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车轮</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检查、紧固、充气</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8</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蓄电池</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清洁、加液</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9</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机油滤清器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清洗</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10</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燃油滤清器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清洗</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11</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门架和提升托架、链条</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检查、紧固、调整、润滑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12</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气缸压力</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 测试</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13</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气门间隙</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检查、调整 </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14</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喷油器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清洗、校验</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15</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冷却系统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  清洗</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16</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发动机座与发动油底壳螺栓</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清洁、紧固</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17</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手制动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  检查、调整  </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18</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脚制动 </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  检查、调整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19</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变速箱 变矩器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检查、测量、清洗滤网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20</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发动机</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清洁、检查、调整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21</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起动机</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 清洁、检查、调整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22</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刮水器、喇叭、灯光、报警器、仪表 </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23</w:t>
            </w:r>
          </w:p>
        </w:tc>
        <w:tc>
          <w:tcPr>
            <w:tcW w:w="6293"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其他（车辆外观）</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bl>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2. </w:t>
      </w:r>
      <w:r>
        <w:rPr>
          <w:rFonts w:hint="eastAsia" w:cs="Times New Roman"/>
          <w:color w:val="auto"/>
          <w:sz w:val="28"/>
          <w:szCs w:val="28"/>
          <w:lang w:val="en-US" w:eastAsia="zh-CN"/>
        </w:rPr>
        <w:t>前移式</w:t>
      </w:r>
      <w:r>
        <w:rPr>
          <w:rFonts w:hint="eastAsia" w:eastAsia="宋体" w:cs="Times New Roman"/>
          <w:color w:val="auto"/>
          <w:sz w:val="28"/>
          <w:szCs w:val="28"/>
          <w:lang w:val="en-US" w:eastAsia="zh-CN"/>
        </w:rPr>
        <w:t>堆垛机</w:t>
      </w:r>
      <w:r>
        <w:rPr>
          <w:rFonts w:hint="eastAsia" w:cs="Times New Roman"/>
          <w:color w:val="auto"/>
          <w:sz w:val="28"/>
          <w:szCs w:val="28"/>
          <w:lang w:val="en-US" w:eastAsia="zh-CN"/>
        </w:rPr>
        <w:t>及</w:t>
      </w:r>
      <w:r>
        <w:rPr>
          <w:rFonts w:hint="default" w:ascii="Calibri" w:hAnsi="Calibri" w:eastAsia="宋体" w:cs="Times New Roman"/>
          <w:color w:val="auto"/>
          <w:kern w:val="2"/>
          <w:sz w:val="28"/>
          <w:szCs w:val="28"/>
          <w:lang w:val="en-US" w:eastAsia="zh-CN" w:bidi="ar-SA"/>
        </w:rPr>
        <w:t>蓄电池平衡重式叉车</w:t>
      </w:r>
      <w:r>
        <w:rPr>
          <w:rFonts w:hint="eastAsia" w:eastAsia="宋体" w:cs="Times New Roman"/>
          <w:color w:val="auto"/>
          <w:sz w:val="28"/>
          <w:szCs w:val="28"/>
          <w:lang w:val="en-US" w:eastAsia="zh-CN"/>
        </w:rPr>
        <w:t>维保项目如下，按要求对下表所列项目开展检查保养。</w:t>
      </w:r>
    </w:p>
    <w:tbl>
      <w:tblPr>
        <w:tblStyle w:val="19"/>
        <w:tblW w:w="90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49"/>
        <w:gridCol w:w="3444"/>
        <w:gridCol w:w="2880"/>
        <w:gridCol w:w="16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4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napToGrid w:val="0"/>
              <w:spacing w:before="0" w:beforeAutospacing="0" w:after="0" w:afterAutospacing="0" w:line="360" w:lineRule="auto"/>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序号</w:t>
            </w:r>
          </w:p>
        </w:tc>
        <w:tc>
          <w:tcPr>
            <w:tcW w:w="344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保养项目</w:t>
            </w:r>
          </w:p>
        </w:tc>
        <w:tc>
          <w:tcPr>
            <w:tcW w:w="28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项目内容</w:t>
            </w:r>
          </w:p>
        </w:tc>
        <w:tc>
          <w:tcPr>
            <w:tcW w:w="16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车身、底盘</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清洁、润滑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2</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操纵系统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检查、调整</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3</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传动装置</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4</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起升系统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5</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制动系统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检查、调整</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6</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驱动系统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7</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车轮</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检查、紧固、充气</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9</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蓄电池</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清洁、加液</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10</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门架和提升托架、链条</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检查、紧固、调整、润滑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11</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刮水器、喇叭、灯光、报警器、仪表 </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检查、调整</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12</w:t>
            </w:r>
          </w:p>
        </w:tc>
        <w:tc>
          <w:tcPr>
            <w:tcW w:w="632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其他（车辆外观）</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bl>
    <w:p>
      <w:pPr>
        <w:snapToGrid w:val="0"/>
        <w:spacing w:before="0" w:beforeAutospacing="0" w:after="0" w:afterAutospacing="0" w:line="360" w:lineRule="auto"/>
        <w:jc w:val="both"/>
        <w:textAlignment w:val="baseline"/>
        <w:rPr>
          <w:rFonts w:hint="default"/>
          <w:lang w:val="en-US" w:eastAsia="zh-CN"/>
        </w:rPr>
      </w:pPr>
    </w:p>
    <w:bookmarkEnd w:id="38"/>
    <w:bookmarkEnd w:id="54"/>
    <w:p>
      <w:pPr>
        <w:pStyle w:val="3"/>
        <w:numPr>
          <w:ilvl w:val="0"/>
          <w:numId w:val="2"/>
        </w:numPr>
        <w:bidi w:val="0"/>
        <w:ind w:left="630" w:leftChars="0" w:firstLineChars="0"/>
        <w:rPr>
          <w:rFonts w:hint="eastAsia"/>
          <w:b/>
          <w:color w:val="auto"/>
          <w:lang w:val="en-US" w:eastAsia="zh-CN"/>
        </w:rPr>
      </w:pPr>
      <w:bookmarkStart w:id="61" w:name="_Toc6423"/>
      <w:bookmarkStart w:id="62" w:name="_Toc18589"/>
      <w:bookmarkStart w:id="63" w:name="_Toc17970"/>
      <w:bookmarkStart w:id="64" w:name="_Toc23721"/>
      <w:bookmarkStart w:id="65" w:name="_Toc27715"/>
      <w:bookmarkStart w:id="66" w:name="_Toc23557"/>
      <w:bookmarkStart w:id="67" w:name="_Toc17757"/>
      <w:r>
        <w:rPr>
          <w:rFonts w:hint="eastAsia"/>
          <w:b/>
          <w:color w:val="auto"/>
          <w:lang w:val="en-US" w:eastAsia="zh-CN"/>
        </w:rPr>
        <w:t>应遵循的主要标准</w:t>
      </w:r>
      <w:bookmarkEnd w:id="61"/>
      <w:bookmarkEnd w:id="62"/>
      <w:bookmarkEnd w:id="63"/>
      <w:bookmarkEnd w:id="64"/>
      <w:bookmarkEnd w:id="65"/>
      <w:bookmarkEnd w:id="66"/>
      <w:bookmarkEnd w:id="67"/>
    </w:p>
    <w:p>
      <w:pPr>
        <w:ind w:firstLine="840" w:firstLineChars="300"/>
        <w:rPr>
          <w:rFonts w:hint="eastAsia" w:cs="Times New Roman"/>
          <w:color w:val="auto"/>
          <w:kern w:val="2"/>
          <w:sz w:val="28"/>
          <w:szCs w:val="28"/>
          <w:lang w:val="en-US" w:eastAsia="zh-CN" w:bidi="ar-SA"/>
        </w:rPr>
      </w:pPr>
      <w:r>
        <w:rPr>
          <w:rFonts w:hint="eastAsia" w:ascii="Calibri" w:hAnsi="Calibri" w:eastAsia="宋体" w:cs="Times New Roman"/>
          <w:color w:val="auto"/>
          <w:kern w:val="2"/>
          <w:sz w:val="28"/>
          <w:szCs w:val="28"/>
          <w:lang w:val="en-US" w:eastAsia="zh-CN" w:bidi="ar-SA"/>
        </w:rPr>
        <w:t>乙方提供的所有工作</w:t>
      </w:r>
      <w:r>
        <w:rPr>
          <w:rFonts w:hint="eastAsia" w:cs="Times New Roman"/>
          <w:color w:val="auto"/>
          <w:kern w:val="2"/>
          <w:sz w:val="28"/>
          <w:szCs w:val="28"/>
          <w:lang w:val="en-US" w:eastAsia="zh-CN" w:bidi="ar-SA"/>
        </w:rPr>
        <w:t>及</w:t>
      </w:r>
      <w:r>
        <w:rPr>
          <w:rFonts w:hint="eastAsia" w:ascii="Calibri" w:hAnsi="Calibri" w:eastAsia="宋体" w:cs="Times New Roman"/>
          <w:color w:val="auto"/>
          <w:kern w:val="2"/>
          <w:sz w:val="28"/>
          <w:szCs w:val="28"/>
          <w:lang w:val="en-US" w:eastAsia="zh-CN" w:bidi="ar-SA"/>
        </w:rPr>
        <w:t>产品，除本规范书中规定的技术参数和要求外，其余均应遵照最新版本的</w:t>
      </w:r>
      <w:r>
        <w:rPr>
          <w:rFonts w:hint="eastAsia" w:cs="Times New Roman"/>
          <w:color w:val="auto"/>
          <w:kern w:val="2"/>
          <w:sz w:val="28"/>
          <w:szCs w:val="28"/>
          <w:lang w:val="en-US" w:eastAsia="zh-CN" w:bidi="ar-SA"/>
        </w:rPr>
        <w:t>国家及行业相关标准执行。</w:t>
      </w:r>
    </w:p>
    <w:tbl>
      <w:tblPr>
        <w:tblStyle w:val="19"/>
        <w:tblW w:w="89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33"/>
        <w:gridCol w:w="64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3" w:type="dxa"/>
            <w:noWrap w:val="0"/>
            <w:vAlign w:val="top"/>
          </w:tcPr>
          <w:p>
            <w:pPr>
              <w:spacing w:line="360" w:lineRule="auto"/>
              <w:ind w:firstLine="560" w:firstLineChars="200"/>
              <w:rPr>
                <w:rFonts w:hint="eastAsia" w:ascii="Calibri" w:hAnsi="Calibri" w:eastAsia="宋体" w:cs="Times New Roman"/>
                <w:color w:val="auto"/>
                <w:kern w:val="2"/>
                <w:sz w:val="28"/>
                <w:szCs w:val="28"/>
                <w:lang w:val="en-US" w:eastAsia="zh-CN" w:bidi="ar-SA"/>
              </w:rPr>
            </w:pPr>
            <w:r>
              <w:rPr>
                <w:rFonts w:hint="eastAsia" w:ascii="Calibri" w:hAnsi="Calibri" w:eastAsia="宋体" w:cs="Times New Roman"/>
                <w:color w:val="auto"/>
                <w:kern w:val="2"/>
                <w:sz w:val="28"/>
                <w:szCs w:val="28"/>
                <w:lang w:val="en-US" w:eastAsia="zh-CN" w:bidi="ar-SA"/>
              </w:rPr>
              <w:t>标准号或文号</w:t>
            </w:r>
          </w:p>
        </w:tc>
        <w:tc>
          <w:tcPr>
            <w:tcW w:w="6401" w:type="dxa"/>
            <w:noWrap w:val="0"/>
            <w:vAlign w:val="top"/>
          </w:tcPr>
          <w:p>
            <w:pPr>
              <w:spacing w:line="360" w:lineRule="auto"/>
              <w:ind w:firstLine="560" w:firstLineChars="200"/>
              <w:rPr>
                <w:rFonts w:hint="eastAsia" w:ascii="Calibri" w:hAnsi="Calibri" w:eastAsia="宋体" w:cs="Times New Roman"/>
                <w:color w:val="auto"/>
                <w:kern w:val="2"/>
                <w:sz w:val="28"/>
                <w:szCs w:val="28"/>
                <w:lang w:val="en-US" w:eastAsia="zh-CN" w:bidi="ar-SA"/>
              </w:rPr>
            </w:pPr>
            <w:r>
              <w:rPr>
                <w:rFonts w:hint="eastAsia" w:ascii="Calibri" w:hAnsi="Calibri" w:eastAsia="宋体" w:cs="Times New Roman"/>
                <w:color w:val="auto"/>
                <w:kern w:val="2"/>
                <w:sz w:val="28"/>
                <w:szCs w:val="28"/>
                <w:lang w:val="en-US" w:eastAsia="zh-CN" w:bidi="ar-SA"/>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3" w:type="dxa"/>
            <w:noWrap w:val="0"/>
            <w:vAlign w:val="center"/>
          </w:tcPr>
          <w:p>
            <w:pPr>
              <w:spacing w:line="360" w:lineRule="auto"/>
              <w:ind w:firstLine="480" w:firstLineChars="200"/>
              <w:jc w:val="left"/>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DB35/T 1864-2019</w:t>
            </w:r>
          </w:p>
        </w:tc>
        <w:tc>
          <w:tcPr>
            <w:tcW w:w="6401" w:type="dxa"/>
            <w:noWrap w:val="0"/>
            <w:vAlign w:val="center"/>
          </w:tcPr>
          <w:p>
            <w:pPr>
              <w:spacing w:line="360" w:lineRule="auto"/>
              <w:jc w:val="both"/>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《机电类特种设备安装、改造、修理自检质量控制基本要求》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3" w:type="dxa"/>
            <w:noWrap w:val="0"/>
            <w:vAlign w:val="center"/>
          </w:tcPr>
          <w:p>
            <w:pPr>
              <w:spacing w:line="360" w:lineRule="auto"/>
              <w:ind w:firstLine="480" w:firstLineChars="200"/>
              <w:jc w:val="left"/>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DB35/T 1774-2018</w:t>
            </w:r>
          </w:p>
        </w:tc>
        <w:tc>
          <w:tcPr>
            <w:tcW w:w="6401" w:type="dxa"/>
            <w:noWrap w:val="0"/>
            <w:vAlign w:val="center"/>
          </w:tcPr>
          <w:p>
            <w:pPr>
              <w:spacing w:line="360" w:lineRule="auto"/>
              <w:jc w:val="both"/>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《承压类特种设备制造、安装自检质量控制基本要求》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3" w:type="dxa"/>
            <w:noWrap w:val="0"/>
            <w:vAlign w:val="center"/>
          </w:tcPr>
          <w:p>
            <w:pPr>
              <w:spacing w:line="360" w:lineRule="auto"/>
              <w:ind w:firstLine="480" w:firstLineChars="200"/>
              <w:jc w:val="left"/>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DB35/T 1297-2012</w:t>
            </w:r>
          </w:p>
        </w:tc>
        <w:tc>
          <w:tcPr>
            <w:tcW w:w="6401" w:type="dxa"/>
            <w:noWrap w:val="0"/>
            <w:vAlign w:val="center"/>
          </w:tcPr>
          <w:p>
            <w:pPr>
              <w:spacing w:line="360" w:lineRule="auto"/>
              <w:jc w:val="both"/>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《机电类特种设备使用管理规范》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3" w:type="dxa"/>
            <w:noWrap w:val="0"/>
            <w:vAlign w:val="center"/>
          </w:tcPr>
          <w:p>
            <w:pPr>
              <w:spacing w:line="360" w:lineRule="auto"/>
              <w:ind w:firstLine="480" w:firstLineChars="200"/>
              <w:jc w:val="left"/>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DB35/T 1298-2012</w:t>
            </w:r>
          </w:p>
        </w:tc>
        <w:tc>
          <w:tcPr>
            <w:tcW w:w="6401" w:type="dxa"/>
            <w:noWrap w:val="0"/>
            <w:vAlign w:val="center"/>
          </w:tcPr>
          <w:p>
            <w:pPr>
              <w:spacing w:line="360" w:lineRule="auto"/>
              <w:jc w:val="both"/>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《承压类特种设备使用管理规范》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3" w:type="dxa"/>
            <w:noWrap w:val="0"/>
            <w:vAlign w:val="center"/>
          </w:tcPr>
          <w:p>
            <w:pPr>
              <w:spacing w:line="360" w:lineRule="auto"/>
              <w:ind w:firstLine="480" w:firstLineChars="200"/>
              <w:jc w:val="left"/>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TSG 08-2017</w:t>
            </w:r>
          </w:p>
        </w:tc>
        <w:tc>
          <w:tcPr>
            <w:tcW w:w="6401" w:type="dxa"/>
            <w:noWrap w:val="0"/>
            <w:vAlign w:val="center"/>
          </w:tcPr>
          <w:p>
            <w:pPr>
              <w:spacing w:line="360" w:lineRule="auto"/>
              <w:jc w:val="both"/>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《特种设备使用管理规则》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3" w:type="dxa"/>
            <w:noWrap w:val="0"/>
            <w:vAlign w:val="center"/>
          </w:tcPr>
          <w:p>
            <w:pPr>
              <w:spacing w:line="360" w:lineRule="auto"/>
              <w:ind w:firstLine="480" w:firstLineChars="200"/>
              <w:jc w:val="left"/>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TSG Z8002-2013</w:t>
            </w:r>
          </w:p>
        </w:tc>
        <w:tc>
          <w:tcPr>
            <w:tcW w:w="6401" w:type="dxa"/>
            <w:noWrap w:val="0"/>
            <w:vAlign w:val="center"/>
          </w:tcPr>
          <w:p>
            <w:pPr>
              <w:spacing w:line="360" w:lineRule="auto"/>
              <w:jc w:val="both"/>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《特种设备检验人员考核规则》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3" w:type="dxa"/>
            <w:noWrap w:val="0"/>
            <w:vAlign w:val="center"/>
          </w:tcPr>
          <w:p>
            <w:pPr>
              <w:spacing w:line="360" w:lineRule="auto"/>
              <w:ind w:firstLine="480" w:firstLineChars="200"/>
              <w:jc w:val="left"/>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DB15/T 824-2015</w:t>
            </w:r>
          </w:p>
        </w:tc>
        <w:tc>
          <w:tcPr>
            <w:tcW w:w="6401" w:type="dxa"/>
            <w:noWrap w:val="0"/>
            <w:vAlign w:val="center"/>
          </w:tcPr>
          <w:p>
            <w:pPr>
              <w:spacing w:line="360" w:lineRule="auto"/>
              <w:jc w:val="both"/>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《（厂）内专用机动车辆使用管理与维护保养规则》</w:t>
            </w:r>
          </w:p>
        </w:tc>
      </w:tr>
    </w:tbl>
    <w:p>
      <w:pPr>
        <w:pStyle w:val="3"/>
        <w:numPr>
          <w:ilvl w:val="0"/>
          <w:numId w:val="2"/>
        </w:numPr>
        <w:bidi w:val="0"/>
        <w:ind w:left="630" w:leftChars="0" w:firstLineChars="0"/>
        <w:rPr>
          <w:rFonts w:hint="eastAsia"/>
          <w:b/>
          <w:color w:val="auto"/>
          <w:lang w:val="en-US" w:eastAsia="zh-CN"/>
        </w:rPr>
      </w:pPr>
      <w:bookmarkStart w:id="68" w:name="_Toc7408"/>
      <w:r>
        <w:rPr>
          <w:rFonts w:hint="eastAsia"/>
          <w:b/>
          <w:color w:val="auto"/>
          <w:lang w:val="en-US" w:eastAsia="zh-CN"/>
        </w:rPr>
        <w:t>其他要求</w:t>
      </w:r>
      <w:bookmarkEnd w:id="6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cs="Times New Roman"/>
          <w:color w:val="auto"/>
          <w:kern w:val="2"/>
          <w:sz w:val="28"/>
          <w:szCs w:val="28"/>
          <w:lang w:val="en-US" w:eastAsia="zh-CN" w:bidi="ar-SA"/>
        </w:rPr>
      </w:pPr>
      <w:r>
        <w:rPr>
          <w:rFonts w:hint="eastAsia" w:ascii="Arial" w:hAnsi="Arial" w:eastAsia="宋体" w:cs="Times New Roman"/>
          <w:b w:val="0"/>
          <w:bCs/>
          <w:color w:val="auto"/>
          <w:kern w:val="2"/>
          <w:sz w:val="28"/>
          <w:szCs w:val="28"/>
          <w:lang w:val="en-US" w:eastAsia="zh-CN" w:bidi="ar-SA"/>
        </w:rPr>
        <w:t>1、</w:t>
      </w:r>
      <w:r>
        <w:rPr>
          <w:rFonts w:hint="eastAsia" w:cs="Times New Roman"/>
          <w:color w:val="auto"/>
          <w:kern w:val="2"/>
          <w:sz w:val="28"/>
          <w:szCs w:val="28"/>
          <w:lang w:val="en-US" w:eastAsia="zh-CN" w:bidi="ar-SA"/>
        </w:rPr>
        <w:t>安装及更换人员应具备相关资质；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color w:val="auto"/>
          <w:lang w:val="en-US" w:eastAsia="zh-CN"/>
        </w:rPr>
      </w:pPr>
      <w:r>
        <w:rPr>
          <w:rFonts w:hint="eastAsia" w:cs="Times New Roman"/>
          <w:color w:val="auto"/>
          <w:kern w:val="2"/>
          <w:sz w:val="28"/>
          <w:szCs w:val="28"/>
          <w:lang w:val="en-US" w:eastAsia="zh-CN" w:bidi="ar-SA"/>
        </w:rPr>
        <w:t>2、</w:t>
      </w:r>
      <w:r>
        <w:rPr>
          <w:rFonts w:hint="eastAsia" w:ascii="Calibri" w:hAnsi="Calibri" w:eastAsia="宋体" w:cs="Times New Roman"/>
          <w:color w:val="auto"/>
          <w:kern w:val="2"/>
          <w:sz w:val="28"/>
          <w:szCs w:val="28"/>
          <w:lang w:val="en-US" w:eastAsia="zh-CN" w:bidi="ar-SA"/>
        </w:rPr>
        <w:t>为确保人身、设备安全，乙方工作人员进入现场时应办理有关手续，严格遵守甲方的安全规定和制度。</w:t>
      </w:r>
    </w:p>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AFF" w:usb1="C0007841" w:usb2="00000009" w:usb3="00000000" w:csb0="400001FF" w:csb1="FFFF0000"/>
  </w:font>
  <w:font w:name="宋体">
    <w:panose1 w:val="02010600030101010101"/>
    <w:charset w:val="A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73577A0A-0409-4C1E-809D-D64EF43478B9}"/>
  </w:font>
  <w:font w:name="黑体">
    <w:panose1 w:val="02010609060101010101"/>
    <w:charset w:val="86"/>
    <w:family w:val="auto"/>
    <w:pitch w:val="default"/>
    <w:sig w:usb0="800002BF" w:usb1="38CF7CFA" w:usb2="00000016" w:usb3="00000000" w:csb0="00040001" w:csb1="00000000"/>
    <w:embedRegular r:id="rId2" w:fontKey="{0D0DF79F-BC27-4B47-BD9D-109DE285EC4C}"/>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667267A4-3256-4655-8334-7DB1E93CAC6C}"/>
  </w:font>
  <w:font w:name="方正小标宋_GBK">
    <w:panose1 w:val="03000509000000000000"/>
    <w:charset w:val="86"/>
    <w:family w:val="auto"/>
    <w:pitch w:val="default"/>
    <w:sig w:usb0="00000001" w:usb1="080E0000" w:usb2="00000000" w:usb3="00000000" w:csb0="00040000" w:csb1="00000000"/>
    <w:embedRegular r:id="rId4" w:fontKey="{307AC6FD-8128-4244-A290-344554D3C606}"/>
  </w:font>
  <w:font w:name="文鼎CS大黑">
    <w:altName w:val="宋体"/>
    <w:panose1 w:val="00000000000000000000"/>
    <w:charset w:val="86"/>
    <w:family w:val="modern"/>
    <w:pitch w:val="default"/>
    <w:sig w:usb0="00000000" w:usb1="00000000" w:usb2="00000010" w:usb3="00000000" w:csb0="00040000" w:csb1="00000000"/>
    <w:embedRegular r:id="rId5" w:fontKey="{403A7516-2625-45F0-9CB1-757F810B54DA}"/>
  </w:font>
  <w:font w:name="方正粗宋简体">
    <w:altName w:val="宋体"/>
    <w:panose1 w:val="00000000000000000000"/>
    <w:charset w:val="86"/>
    <w:family w:val="roman"/>
    <w:pitch w:val="default"/>
    <w:sig w:usb0="00000000" w:usb1="00000000" w:usb2="00000010" w:usb3="00000000" w:csb0="00040001" w:csb1="00000000"/>
    <w:embedRegular r:id="rId6" w:fontKey="{F22D1601-650A-43EE-9218-064680F0433C}"/>
  </w:font>
  <w:font w:name="仿宋">
    <w:panose1 w:val="02010609060101010101"/>
    <w:charset w:val="86"/>
    <w:family w:val="auto"/>
    <w:pitch w:val="default"/>
    <w:sig w:usb0="800002BF" w:usb1="38CF7CFA" w:usb2="00000016" w:usb3="00000000" w:csb0="00040001" w:csb1="00000000"/>
    <w:embedRegular r:id="rId7" w:fontKey="{204FE592-0470-49BA-A905-719DDF3B860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122</w:t>
                          </w:r>
                          <w:r>
                            <w:rPr>
                              <w:sz w:val="28"/>
                              <w:szCs w:val="28"/>
                            </w:rPr>
                            <w:fldChar w:fldCharType="end"/>
                          </w:r>
                          <w:r>
                            <w:rPr>
                              <w:sz w:val="28"/>
                              <w:szCs w:val="28"/>
                            </w:rPr>
                            <w:t xml:space="preserve"> —</w:t>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EtDmx3gEAAL4DAAAOAAAAAAAA&#10;AAEAIAAAAB4BAABkcnMvZTJvRG9jLnhtbFBLBQYAAAAABgAGAFkBAABuBQAAAAA=&#10;">
              <v:fill on="f" focussize="0,0"/>
              <v:stroke on="f"/>
              <v:imagedata o:title=""/>
              <o:lock v:ext="edit" aspectratio="f"/>
              <v:textbox inset="0mm,0mm,0mm,0mm" style="mso-fit-shape-to-text:t;">
                <w:txbxContent>
                  <w:p>
                    <w:pPr>
                      <w:pStyle w:val="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122</w:t>
                    </w:r>
                    <w:r>
                      <w:rPr>
                        <w:sz w:val="28"/>
                        <w:szCs w:val="28"/>
                      </w:rPr>
                      <w:fldChar w:fldCharType="end"/>
                    </w:r>
                    <w:r>
                      <w:rPr>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pStyle w:val="35"/>
      <w:isLgl/>
      <w:suff w:val="space"/>
      <w:lvlText w:val="%1.%2.%3"/>
      <w:lvlJc w:val="left"/>
      <w:pPr>
        <w:ind w:left="0" w:firstLine="0"/>
      </w:pPr>
      <w:rPr>
        <w:rFonts w:hint="eastAsia"/>
        <w:b w:val="0"/>
        <w:i w:val="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14EC789D"/>
    <w:multiLevelType w:val="singleLevel"/>
    <w:tmpl w:val="14EC789D"/>
    <w:lvl w:ilvl="0" w:tentative="0">
      <w:start w:val="1"/>
      <w:numFmt w:val="chineseCounting"/>
      <w:suff w:val="nothing"/>
      <w:lvlText w:val="%1、"/>
      <w:lvlJc w:val="left"/>
      <w:pPr>
        <w:ind w:left="63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TrueTypeFonts/>
  <w:saveSubsetFonts/>
  <w:bordersDoNotSurroundHeader w:val="0"/>
  <w:bordersDoNotSurroundFooter w:val="0"/>
  <w:documentProtection w:enforcement="0"/>
  <w:defaultTabStop w:val="420"/>
  <w:hyphenationZone w:val="360"/>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1OGQzOWNlZjExMDNmODMxMjc3ZGNjZDM3Zjc5NjAifQ=="/>
  </w:docVars>
  <w:rsids>
    <w:rsidRoot w:val="00000000"/>
    <w:rsid w:val="000C6F1B"/>
    <w:rsid w:val="009B1533"/>
    <w:rsid w:val="01A83F57"/>
    <w:rsid w:val="02161C56"/>
    <w:rsid w:val="021A7DFB"/>
    <w:rsid w:val="026370DF"/>
    <w:rsid w:val="026F792E"/>
    <w:rsid w:val="02C95F7F"/>
    <w:rsid w:val="039E54C9"/>
    <w:rsid w:val="03AF3191"/>
    <w:rsid w:val="04521CE8"/>
    <w:rsid w:val="04AF597E"/>
    <w:rsid w:val="04F80929"/>
    <w:rsid w:val="068F188A"/>
    <w:rsid w:val="0716272E"/>
    <w:rsid w:val="0784603A"/>
    <w:rsid w:val="07EB055C"/>
    <w:rsid w:val="086F16B0"/>
    <w:rsid w:val="08C125BF"/>
    <w:rsid w:val="09956274"/>
    <w:rsid w:val="0A346E89"/>
    <w:rsid w:val="0ADC2411"/>
    <w:rsid w:val="0AF01414"/>
    <w:rsid w:val="0B7A691A"/>
    <w:rsid w:val="0B935D2A"/>
    <w:rsid w:val="0BA80E28"/>
    <w:rsid w:val="0BB34E4E"/>
    <w:rsid w:val="0BD31C1D"/>
    <w:rsid w:val="0CCD3E11"/>
    <w:rsid w:val="0D0A5166"/>
    <w:rsid w:val="0D4C1C87"/>
    <w:rsid w:val="0DD72D8D"/>
    <w:rsid w:val="0DFB044B"/>
    <w:rsid w:val="0E34390E"/>
    <w:rsid w:val="0E486C7E"/>
    <w:rsid w:val="0EC06C9B"/>
    <w:rsid w:val="0ED753F1"/>
    <w:rsid w:val="0EE3661B"/>
    <w:rsid w:val="0F006D2C"/>
    <w:rsid w:val="0F3E6C13"/>
    <w:rsid w:val="0F4D2461"/>
    <w:rsid w:val="0F61153C"/>
    <w:rsid w:val="0F854AAD"/>
    <w:rsid w:val="10667A15"/>
    <w:rsid w:val="10D44EE0"/>
    <w:rsid w:val="11403DA3"/>
    <w:rsid w:val="1189197A"/>
    <w:rsid w:val="122F62F4"/>
    <w:rsid w:val="12385EEC"/>
    <w:rsid w:val="12682FF5"/>
    <w:rsid w:val="12861752"/>
    <w:rsid w:val="129567FB"/>
    <w:rsid w:val="12997637"/>
    <w:rsid w:val="12C81DAF"/>
    <w:rsid w:val="13206CF5"/>
    <w:rsid w:val="13357989"/>
    <w:rsid w:val="13BD3F71"/>
    <w:rsid w:val="14157276"/>
    <w:rsid w:val="145C6F16"/>
    <w:rsid w:val="147D6BCA"/>
    <w:rsid w:val="14983A03"/>
    <w:rsid w:val="152C0A43"/>
    <w:rsid w:val="158703DC"/>
    <w:rsid w:val="15924739"/>
    <w:rsid w:val="15945231"/>
    <w:rsid w:val="16204A90"/>
    <w:rsid w:val="164B351B"/>
    <w:rsid w:val="1689587A"/>
    <w:rsid w:val="169A7D41"/>
    <w:rsid w:val="16A576BF"/>
    <w:rsid w:val="1705474D"/>
    <w:rsid w:val="17183323"/>
    <w:rsid w:val="174F6258"/>
    <w:rsid w:val="175F6474"/>
    <w:rsid w:val="178D1819"/>
    <w:rsid w:val="17A7464C"/>
    <w:rsid w:val="17E71CF6"/>
    <w:rsid w:val="18A43C7A"/>
    <w:rsid w:val="18AF3EB7"/>
    <w:rsid w:val="190909A1"/>
    <w:rsid w:val="192B4E46"/>
    <w:rsid w:val="19341F4D"/>
    <w:rsid w:val="19B07E0F"/>
    <w:rsid w:val="1A18472B"/>
    <w:rsid w:val="1A1D6E85"/>
    <w:rsid w:val="1A306C68"/>
    <w:rsid w:val="1AAE5DCD"/>
    <w:rsid w:val="1B11730E"/>
    <w:rsid w:val="1B15609A"/>
    <w:rsid w:val="1B1967DB"/>
    <w:rsid w:val="1B7344D9"/>
    <w:rsid w:val="1B8D410D"/>
    <w:rsid w:val="1BBB6955"/>
    <w:rsid w:val="1C1C197E"/>
    <w:rsid w:val="1C354F18"/>
    <w:rsid w:val="1C8456AF"/>
    <w:rsid w:val="1C9B1AA4"/>
    <w:rsid w:val="1CBC2547"/>
    <w:rsid w:val="1CE53331"/>
    <w:rsid w:val="1D92184C"/>
    <w:rsid w:val="1D997947"/>
    <w:rsid w:val="1DF43A52"/>
    <w:rsid w:val="1E50731C"/>
    <w:rsid w:val="1E5D4093"/>
    <w:rsid w:val="1E880A41"/>
    <w:rsid w:val="1E9D3F16"/>
    <w:rsid w:val="1EA0654E"/>
    <w:rsid w:val="1EDC294D"/>
    <w:rsid w:val="1EF05632"/>
    <w:rsid w:val="1F2E74C5"/>
    <w:rsid w:val="1FF22678"/>
    <w:rsid w:val="201D655F"/>
    <w:rsid w:val="20280331"/>
    <w:rsid w:val="204D20DB"/>
    <w:rsid w:val="20516E92"/>
    <w:rsid w:val="206713C3"/>
    <w:rsid w:val="20A3138F"/>
    <w:rsid w:val="20D14264"/>
    <w:rsid w:val="20D4184B"/>
    <w:rsid w:val="21A40CF0"/>
    <w:rsid w:val="22106829"/>
    <w:rsid w:val="22E460B0"/>
    <w:rsid w:val="23024F7F"/>
    <w:rsid w:val="23494E45"/>
    <w:rsid w:val="23B17330"/>
    <w:rsid w:val="23E02642"/>
    <w:rsid w:val="24856BC6"/>
    <w:rsid w:val="24A02C63"/>
    <w:rsid w:val="25654459"/>
    <w:rsid w:val="25A96433"/>
    <w:rsid w:val="278644AA"/>
    <w:rsid w:val="28136EC5"/>
    <w:rsid w:val="284112F2"/>
    <w:rsid w:val="2889333E"/>
    <w:rsid w:val="28AE0181"/>
    <w:rsid w:val="28CA4D75"/>
    <w:rsid w:val="28E064F2"/>
    <w:rsid w:val="2900247C"/>
    <w:rsid w:val="2A4D30B0"/>
    <w:rsid w:val="2A7068CF"/>
    <w:rsid w:val="2AD93075"/>
    <w:rsid w:val="2CAE0FE9"/>
    <w:rsid w:val="2D091D6D"/>
    <w:rsid w:val="2D510EC7"/>
    <w:rsid w:val="2DD31939"/>
    <w:rsid w:val="2DDA2FA4"/>
    <w:rsid w:val="2E921785"/>
    <w:rsid w:val="2EDB4780"/>
    <w:rsid w:val="2F963F8A"/>
    <w:rsid w:val="2FE46BD8"/>
    <w:rsid w:val="2FF66367"/>
    <w:rsid w:val="304869CB"/>
    <w:rsid w:val="305538A7"/>
    <w:rsid w:val="30C00A92"/>
    <w:rsid w:val="31114858"/>
    <w:rsid w:val="31464ABB"/>
    <w:rsid w:val="318B0F97"/>
    <w:rsid w:val="319C4D4F"/>
    <w:rsid w:val="31E6600A"/>
    <w:rsid w:val="32893C9D"/>
    <w:rsid w:val="32B63E95"/>
    <w:rsid w:val="331D2B6A"/>
    <w:rsid w:val="337340EF"/>
    <w:rsid w:val="34403FA4"/>
    <w:rsid w:val="344D49F4"/>
    <w:rsid w:val="34A71933"/>
    <w:rsid w:val="35357892"/>
    <w:rsid w:val="355A1178"/>
    <w:rsid w:val="355A6D87"/>
    <w:rsid w:val="3570056F"/>
    <w:rsid w:val="35B17185"/>
    <w:rsid w:val="35DD34F0"/>
    <w:rsid w:val="35DE3923"/>
    <w:rsid w:val="367E103E"/>
    <w:rsid w:val="36924E86"/>
    <w:rsid w:val="36C2597A"/>
    <w:rsid w:val="36CE0F40"/>
    <w:rsid w:val="36DB77BD"/>
    <w:rsid w:val="36F9612C"/>
    <w:rsid w:val="380264FF"/>
    <w:rsid w:val="389E2860"/>
    <w:rsid w:val="38B235BF"/>
    <w:rsid w:val="38BC6989"/>
    <w:rsid w:val="38DF42C4"/>
    <w:rsid w:val="39235A69"/>
    <w:rsid w:val="394C3B9A"/>
    <w:rsid w:val="397F4F63"/>
    <w:rsid w:val="3994698E"/>
    <w:rsid w:val="399D1F62"/>
    <w:rsid w:val="39FF0D34"/>
    <w:rsid w:val="3A906CEC"/>
    <w:rsid w:val="3AAE64A9"/>
    <w:rsid w:val="3AB9508B"/>
    <w:rsid w:val="3B2C04A1"/>
    <w:rsid w:val="3C0B39F2"/>
    <w:rsid w:val="3C485C31"/>
    <w:rsid w:val="3D8C7B10"/>
    <w:rsid w:val="3E046E8C"/>
    <w:rsid w:val="3E300DF7"/>
    <w:rsid w:val="3EBE05AD"/>
    <w:rsid w:val="3F237ED8"/>
    <w:rsid w:val="3FCA5CAF"/>
    <w:rsid w:val="3FD05CD1"/>
    <w:rsid w:val="3FF71D5C"/>
    <w:rsid w:val="4084115C"/>
    <w:rsid w:val="409D5D7A"/>
    <w:rsid w:val="40AD2461"/>
    <w:rsid w:val="414521AB"/>
    <w:rsid w:val="41585922"/>
    <w:rsid w:val="4196092E"/>
    <w:rsid w:val="4214206C"/>
    <w:rsid w:val="42896009"/>
    <w:rsid w:val="435E2B19"/>
    <w:rsid w:val="43F428E9"/>
    <w:rsid w:val="43F765CE"/>
    <w:rsid w:val="440F2F79"/>
    <w:rsid w:val="44FB6FC2"/>
    <w:rsid w:val="453D539F"/>
    <w:rsid w:val="454809AA"/>
    <w:rsid w:val="45A1630C"/>
    <w:rsid w:val="45FD2486"/>
    <w:rsid w:val="460A6835"/>
    <w:rsid w:val="46146386"/>
    <w:rsid w:val="4638797B"/>
    <w:rsid w:val="47250A55"/>
    <w:rsid w:val="4890621B"/>
    <w:rsid w:val="490640C3"/>
    <w:rsid w:val="49645672"/>
    <w:rsid w:val="49C01B57"/>
    <w:rsid w:val="49F85F18"/>
    <w:rsid w:val="4A3530CB"/>
    <w:rsid w:val="4BA70EBB"/>
    <w:rsid w:val="4D8409ED"/>
    <w:rsid w:val="4DB05C82"/>
    <w:rsid w:val="4DC34F6B"/>
    <w:rsid w:val="4E5021C7"/>
    <w:rsid w:val="4E720B77"/>
    <w:rsid w:val="4E7F45D0"/>
    <w:rsid w:val="4EC137B1"/>
    <w:rsid w:val="4F155DA1"/>
    <w:rsid w:val="4F4D72F4"/>
    <w:rsid w:val="4FBB6024"/>
    <w:rsid w:val="4FD66911"/>
    <w:rsid w:val="4FE5697E"/>
    <w:rsid w:val="504D156B"/>
    <w:rsid w:val="505A72D6"/>
    <w:rsid w:val="50C335DB"/>
    <w:rsid w:val="50CE7799"/>
    <w:rsid w:val="50ED3FD0"/>
    <w:rsid w:val="51F70E24"/>
    <w:rsid w:val="52236431"/>
    <w:rsid w:val="522D217B"/>
    <w:rsid w:val="5235195D"/>
    <w:rsid w:val="52EA7793"/>
    <w:rsid w:val="52F16F1A"/>
    <w:rsid w:val="533A0B44"/>
    <w:rsid w:val="537F581C"/>
    <w:rsid w:val="54400A85"/>
    <w:rsid w:val="54487FD5"/>
    <w:rsid w:val="545F1DC6"/>
    <w:rsid w:val="54C72DC0"/>
    <w:rsid w:val="55700280"/>
    <w:rsid w:val="55B869EF"/>
    <w:rsid w:val="55E16950"/>
    <w:rsid w:val="56335DDA"/>
    <w:rsid w:val="572148DA"/>
    <w:rsid w:val="57925D1C"/>
    <w:rsid w:val="57C90193"/>
    <w:rsid w:val="5827714A"/>
    <w:rsid w:val="585B7EC4"/>
    <w:rsid w:val="58673011"/>
    <w:rsid w:val="588332DC"/>
    <w:rsid w:val="595C261A"/>
    <w:rsid w:val="5A137C25"/>
    <w:rsid w:val="5A527A19"/>
    <w:rsid w:val="5A6E6344"/>
    <w:rsid w:val="5ACE2F15"/>
    <w:rsid w:val="5B191395"/>
    <w:rsid w:val="5B80760D"/>
    <w:rsid w:val="5BC304C9"/>
    <w:rsid w:val="5BFF354A"/>
    <w:rsid w:val="5C506DD3"/>
    <w:rsid w:val="5C562953"/>
    <w:rsid w:val="5CD90001"/>
    <w:rsid w:val="5CF52D6E"/>
    <w:rsid w:val="5D1B16E2"/>
    <w:rsid w:val="5E296138"/>
    <w:rsid w:val="5E4E529B"/>
    <w:rsid w:val="5E7878E4"/>
    <w:rsid w:val="5F003E3A"/>
    <w:rsid w:val="5F4611B7"/>
    <w:rsid w:val="5F690122"/>
    <w:rsid w:val="5F8A750D"/>
    <w:rsid w:val="5F9E226B"/>
    <w:rsid w:val="5FDF3DFB"/>
    <w:rsid w:val="602F2A3B"/>
    <w:rsid w:val="602F47E9"/>
    <w:rsid w:val="604364E6"/>
    <w:rsid w:val="605657B3"/>
    <w:rsid w:val="607B7F75"/>
    <w:rsid w:val="609D0EB4"/>
    <w:rsid w:val="60E750C3"/>
    <w:rsid w:val="61840309"/>
    <w:rsid w:val="61907B22"/>
    <w:rsid w:val="620F4864"/>
    <w:rsid w:val="62BB2E7A"/>
    <w:rsid w:val="62CA6CC4"/>
    <w:rsid w:val="63554566"/>
    <w:rsid w:val="638B61DA"/>
    <w:rsid w:val="639728D0"/>
    <w:rsid w:val="63A56FD2"/>
    <w:rsid w:val="63C17094"/>
    <w:rsid w:val="641E0DFC"/>
    <w:rsid w:val="643C4B34"/>
    <w:rsid w:val="64473A11"/>
    <w:rsid w:val="64B933B1"/>
    <w:rsid w:val="650509E9"/>
    <w:rsid w:val="653E2FA0"/>
    <w:rsid w:val="662072AC"/>
    <w:rsid w:val="662A62F5"/>
    <w:rsid w:val="66654CE1"/>
    <w:rsid w:val="666E73AC"/>
    <w:rsid w:val="667E3DD4"/>
    <w:rsid w:val="66E1667C"/>
    <w:rsid w:val="66EE6F01"/>
    <w:rsid w:val="66F32F94"/>
    <w:rsid w:val="67650C86"/>
    <w:rsid w:val="678418BE"/>
    <w:rsid w:val="68AB35EE"/>
    <w:rsid w:val="68E67B57"/>
    <w:rsid w:val="6914583F"/>
    <w:rsid w:val="69430E23"/>
    <w:rsid w:val="695B07A1"/>
    <w:rsid w:val="6A303EF7"/>
    <w:rsid w:val="6A86300B"/>
    <w:rsid w:val="6ACD2E32"/>
    <w:rsid w:val="6ACF2DE9"/>
    <w:rsid w:val="6B355A05"/>
    <w:rsid w:val="6BE028E7"/>
    <w:rsid w:val="6CA021FC"/>
    <w:rsid w:val="6D8A3C84"/>
    <w:rsid w:val="6DDE15B4"/>
    <w:rsid w:val="6E0C0F5A"/>
    <w:rsid w:val="6E27489C"/>
    <w:rsid w:val="6E8126B3"/>
    <w:rsid w:val="6E8B09C4"/>
    <w:rsid w:val="6E94207F"/>
    <w:rsid w:val="6F17548F"/>
    <w:rsid w:val="6F1E058A"/>
    <w:rsid w:val="6F66752B"/>
    <w:rsid w:val="6F686A54"/>
    <w:rsid w:val="6F7F0B4B"/>
    <w:rsid w:val="70850025"/>
    <w:rsid w:val="70A61026"/>
    <w:rsid w:val="70E96D15"/>
    <w:rsid w:val="715C592C"/>
    <w:rsid w:val="72E247C9"/>
    <w:rsid w:val="72E71732"/>
    <w:rsid w:val="72F13AE8"/>
    <w:rsid w:val="73473F75"/>
    <w:rsid w:val="7361213C"/>
    <w:rsid w:val="73886FD1"/>
    <w:rsid w:val="73D23B8F"/>
    <w:rsid w:val="740B1499"/>
    <w:rsid w:val="740D6DC0"/>
    <w:rsid w:val="742814DF"/>
    <w:rsid w:val="750E2BF0"/>
    <w:rsid w:val="75A0469C"/>
    <w:rsid w:val="75BE243F"/>
    <w:rsid w:val="76100D47"/>
    <w:rsid w:val="76172FD7"/>
    <w:rsid w:val="76384849"/>
    <w:rsid w:val="763D4224"/>
    <w:rsid w:val="769D568B"/>
    <w:rsid w:val="76ED72C8"/>
    <w:rsid w:val="77337F12"/>
    <w:rsid w:val="773E1CAF"/>
    <w:rsid w:val="77637B42"/>
    <w:rsid w:val="77B81D59"/>
    <w:rsid w:val="77E952B6"/>
    <w:rsid w:val="781D635E"/>
    <w:rsid w:val="782A2C0F"/>
    <w:rsid w:val="785F19F0"/>
    <w:rsid w:val="78905EF8"/>
    <w:rsid w:val="789507ED"/>
    <w:rsid w:val="78A3616F"/>
    <w:rsid w:val="79350870"/>
    <w:rsid w:val="79536BAF"/>
    <w:rsid w:val="7977095E"/>
    <w:rsid w:val="799D461E"/>
    <w:rsid w:val="799F3B4A"/>
    <w:rsid w:val="79BE0A36"/>
    <w:rsid w:val="7A834FC5"/>
    <w:rsid w:val="7A9C7EA2"/>
    <w:rsid w:val="7B333662"/>
    <w:rsid w:val="7B5B210B"/>
    <w:rsid w:val="7BCA5347"/>
    <w:rsid w:val="7BFE6047"/>
    <w:rsid w:val="7C0A7FF9"/>
    <w:rsid w:val="7C3F6E1C"/>
    <w:rsid w:val="7C477968"/>
    <w:rsid w:val="7C83518B"/>
    <w:rsid w:val="7CF24DE2"/>
    <w:rsid w:val="7D300DCB"/>
    <w:rsid w:val="7D3E0805"/>
    <w:rsid w:val="7DCE7F11"/>
    <w:rsid w:val="7E2C47D4"/>
    <w:rsid w:val="7E570D2D"/>
    <w:rsid w:val="7EBF799F"/>
    <w:rsid w:val="7EC37400"/>
    <w:rsid w:val="7F25734C"/>
    <w:rsid w:val="7F7911F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before="100" w:beforeLines="0" w:beforeAutospacing="0" w:after="90" w:afterLines="0" w:afterAutospacing="0" w:line="576" w:lineRule="auto"/>
      <w:ind w:leftChars="100"/>
      <w:jc w:val="left"/>
      <w:outlineLvl w:val="0"/>
    </w:pPr>
    <w:rPr>
      <w:rFonts w:eastAsia="黑体"/>
      <w:b/>
      <w:kern w:val="44"/>
      <w:sz w:val="32"/>
    </w:rPr>
  </w:style>
  <w:style w:type="paragraph" w:styleId="4">
    <w:name w:val="heading 2"/>
    <w:basedOn w:val="1"/>
    <w:next w:val="1"/>
    <w:unhideWhenUsed/>
    <w:qFormat/>
    <w:uiPriority w:val="0"/>
    <w:pPr>
      <w:keepNext/>
      <w:keepLines/>
      <w:spacing w:before="20" w:beforeLines="0" w:beforeAutospacing="0" w:after="20" w:afterLines="0" w:afterAutospacing="0" w:line="413" w:lineRule="auto"/>
      <w:ind w:leftChars="100"/>
      <w:jc w:val="left"/>
      <w:outlineLvl w:val="1"/>
    </w:pPr>
    <w:rPr>
      <w:rFonts w:ascii="Arial" w:hAnsi="Arial"/>
      <w:b/>
      <w:sz w:val="32"/>
    </w:rPr>
  </w:style>
  <w:style w:type="paragraph" w:styleId="5">
    <w:name w:val="heading 3"/>
    <w:basedOn w:val="6"/>
    <w:next w:val="7"/>
    <w:unhideWhenUsed/>
    <w:qFormat/>
    <w:uiPriority w:val="0"/>
    <w:pPr>
      <w:keepNext/>
      <w:keepLines/>
      <w:spacing w:before="120" w:beforeLines="0" w:beforeAutospacing="0" w:after="120" w:afterLines="0" w:afterAutospacing="0" w:line="413" w:lineRule="auto"/>
      <w:ind w:leftChars="200"/>
      <w:jc w:val="left"/>
      <w:outlineLvl w:val="2"/>
    </w:pPr>
    <w:rPr>
      <w:rFonts w:ascii="Arial" w:hAnsi="Arial"/>
      <w:sz w:val="30"/>
    </w:rPr>
  </w:style>
  <w:style w:type="paragraph" w:styleId="8">
    <w:name w:val="heading 5"/>
    <w:basedOn w:val="1"/>
    <w:next w:val="1"/>
    <w:unhideWhenUsed/>
    <w:qFormat/>
    <w:uiPriority w:val="9"/>
    <w:pPr>
      <w:spacing w:line="440" w:lineRule="atLeast"/>
      <w:outlineLvl w:val="4"/>
    </w:pPr>
    <w:rPr>
      <w:rFonts w:ascii="Times New Roman" w:hAnsi="Times New Roman" w:eastAsia="黑体"/>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6">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7">
    <w:name w:val="Normal Indent"/>
    <w:basedOn w:val="1"/>
    <w:qFormat/>
    <w:uiPriority w:val="0"/>
    <w:pPr>
      <w:ind w:firstLine="420" w:firstLineChars="200"/>
    </w:pPr>
  </w:style>
  <w:style w:type="paragraph" w:styleId="9">
    <w:name w:val="annotation text"/>
    <w:basedOn w:val="1"/>
    <w:qFormat/>
    <w:uiPriority w:val="0"/>
    <w:pPr>
      <w:jc w:val="left"/>
    </w:pPr>
  </w:style>
  <w:style w:type="paragraph" w:styleId="10">
    <w:name w:val="HTML Address"/>
    <w:basedOn w:val="1"/>
    <w:qFormat/>
    <w:uiPriority w:val="0"/>
    <w:pPr>
      <w:widowControl/>
      <w:ind w:firstLine="0" w:firstLineChars="0"/>
      <w:jc w:val="left"/>
    </w:pPr>
    <w:rPr>
      <w:rFonts w:ascii="宋体" w:hAnsi="宋体"/>
      <w:i/>
      <w:color w:val="003399"/>
      <w:kern w:val="0"/>
      <w:sz w:val="24"/>
      <w:szCs w:val="20"/>
    </w:rPr>
  </w:style>
  <w:style w:type="paragraph" w:styleId="11">
    <w:name w:val="toc 3"/>
    <w:basedOn w:val="1"/>
    <w:next w:val="1"/>
    <w:qFormat/>
    <w:uiPriority w:val="0"/>
    <w:pPr>
      <w:ind w:left="840" w:leftChars="400"/>
    </w:pPr>
  </w:style>
  <w:style w:type="paragraph" w:styleId="12">
    <w:name w:val="Plain Text"/>
    <w:basedOn w:val="1"/>
    <w:qFormat/>
    <w:uiPriority w:val="0"/>
    <w:rPr>
      <w:rFonts w:ascii="宋体" w:hAnsi="Courier New" w:cs="Courier New"/>
      <w:szCs w:val="21"/>
    </w:rPr>
  </w:style>
  <w:style w:type="paragraph" w:styleId="13">
    <w:name w:val="endnote text"/>
    <w:basedOn w:val="1"/>
    <w:qFormat/>
    <w:uiPriority w:val="0"/>
    <w:pPr>
      <w:snapToGrid w:val="0"/>
      <w:jc w:val="left"/>
    </w:pPr>
  </w:style>
  <w:style w:type="paragraph" w:styleId="14">
    <w:name w:val="footer"/>
    <w:basedOn w:val="1"/>
    <w:qFormat/>
    <w:uiPriority w:val="0"/>
    <w:pPr>
      <w:tabs>
        <w:tab w:val="center" w:pos="4140"/>
        <w:tab w:val="right" w:pos="8300"/>
      </w:tabs>
      <w:snapToGrid w:val="0"/>
      <w:jc w:val="left"/>
    </w:pPr>
    <w:rPr>
      <w:sz w:val="18"/>
      <w:szCs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qFormat/>
    <w:uiPriority w:val="0"/>
  </w:style>
  <w:style w:type="paragraph" w:styleId="17">
    <w:name w:val="toc 2"/>
    <w:basedOn w:val="1"/>
    <w:next w:val="1"/>
    <w:qFormat/>
    <w:uiPriority w:val="0"/>
    <w:pPr>
      <w:ind w:left="420" w:leftChars="200"/>
    </w:pPr>
  </w:style>
  <w:style w:type="paragraph" w:styleId="18">
    <w:name w:val="Normal (Web)"/>
    <w:basedOn w:val="1"/>
    <w:qFormat/>
    <w:uiPriority w:val="0"/>
    <w:pPr>
      <w:spacing w:before="100" w:beforeAutospacing="1" w:after="100" w:afterAutospacing="1"/>
      <w:ind w:left="0" w:right="0"/>
      <w:jc w:val="left"/>
    </w:pPr>
    <w:rPr>
      <w:kern w:val="0"/>
      <w:sz w:val="24"/>
      <w:lang w:val="en-US" w:eastAsia="zh-CN" w:bidi="ar"/>
    </w:rPr>
  </w:style>
  <w:style w:type="table" w:styleId="20">
    <w:name w:val="Table Grid"/>
    <w:basedOn w:val="19"/>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endnote reference"/>
    <w:basedOn w:val="21"/>
    <w:qFormat/>
    <w:uiPriority w:val="0"/>
    <w:rPr>
      <w:vertAlign w:val="superscript"/>
    </w:rPr>
  </w:style>
  <w:style w:type="character" w:styleId="23">
    <w:name w:val="page number"/>
    <w:basedOn w:val="21"/>
    <w:qFormat/>
    <w:uiPriority w:val="0"/>
  </w:style>
  <w:style w:type="character" w:customStyle="1" w:styleId="24">
    <w:name w:val="font21"/>
    <w:basedOn w:val="21"/>
    <w:qFormat/>
    <w:uiPriority w:val="0"/>
    <w:rPr>
      <w:rFonts w:hint="eastAsia" w:ascii="宋体" w:hAnsi="宋体" w:eastAsia="宋体" w:cs="宋体"/>
      <w:color w:val="000000"/>
      <w:sz w:val="20"/>
      <w:szCs w:val="20"/>
      <w:u w:val="none"/>
    </w:rPr>
  </w:style>
  <w:style w:type="character" w:customStyle="1" w:styleId="25">
    <w:name w:val="NormalCharacter"/>
    <w:qFormat/>
    <w:uiPriority w:val="0"/>
    <w:rPr>
      <w:rFonts w:ascii="Calibri" w:hAnsi="Calibri" w:eastAsia="宋体" w:cs="Times New Roman"/>
      <w:kern w:val="2"/>
      <w:sz w:val="21"/>
      <w:szCs w:val="24"/>
      <w:lang w:val="en-US" w:eastAsia="zh-CN" w:bidi="ar-SA"/>
    </w:rPr>
  </w:style>
  <w:style w:type="character" w:customStyle="1" w:styleId="26">
    <w:name w:val="font81"/>
    <w:basedOn w:val="21"/>
    <w:qFormat/>
    <w:uiPriority w:val="0"/>
    <w:rPr>
      <w:rFonts w:hint="default" w:ascii="Times New Roman" w:hAnsi="Times New Roman" w:cs="Times New Roman"/>
      <w:color w:val="000000"/>
      <w:sz w:val="21"/>
      <w:szCs w:val="21"/>
      <w:u w:val="none"/>
    </w:rPr>
  </w:style>
  <w:style w:type="character" w:customStyle="1" w:styleId="27">
    <w:name w:val="font71"/>
    <w:basedOn w:val="21"/>
    <w:qFormat/>
    <w:uiPriority w:val="0"/>
    <w:rPr>
      <w:rFonts w:hint="eastAsia" w:ascii="宋体" w:hAnsi="宋体" w:eastAsia="宋体" w:cs="宋体"/>
      <w:b/>
      <w:bCs/>
      <w:color w:val="000000"/>
      <w:sz w:val="28"/>
      <w:szCs w:val="28"/>
      <w:u w:val="none"/>
    </w:rPr>
  </w:style>
  <w:style w:type="character" w:customStyle="1" w:styleId="28">
    <w:name w:val="font31"/>
    <w:basedOn w:val="21"/>
    <w:qFormat/>
    <w:uiPriority w:val="0"/>
    <w:rPr>
      <w:rFonts w:hint="eastAsia" w:ascii="宋体" w:hAnsi="宋体" w:eastAsia="宋体" w:cs="宋体"/>
      <w:color w:val="FF0000"/>
      <w:sz w:val="22"/>
      <w:szCs w:val="22"/>
      <w:u w:val="none"/>
    </w:rPr>
  </w:style>
  <w:style w:type="character" w:customStyle="1" w:styleId="29">
    <w:name w:val="font91"/>
    <w:basedOn w:val="21"/>
    <w:qFormat/>
    <w:uiPriority w:val="0"/>
    <w:rPr>
      <w:rFonts w:hint="eastAsia" w:ascii="宋体" w:hAnsi="宋体" w:eastAsia="宋体" w:cs="宋体"/>
      <w:b/>
      <w:bCs/>
      <w:color w:val="FF0000"/>
      <w:sz w:val="28"/>
      <w:szCs w:val="28"/>
      <w:u w:val="none"/>
    </w:rPr>
  </w:style>
  <w:style w:type="character" w:customStyle="1" w:styleId="30">
    <w:name w:val="font01"/>
    <w:basedOn w:val="21"/>
    <w:qFormat/>
    <w:uiPriority w:val="0"/>
    <w:rPr>
      <w:rFonts w:hint="eastAsia" w:ascii="宋体" w:hAnsi="宋体" w:eastAsia="宋体" w:cs="宋体"/>
      <w:b/>
      <w:color w:val="FF0000"/>
      <w:sz w:val="22"/>
      <w:szCs w:val="22"/>
      <w:u w:val="none"/>
    </w:rPr>
  </w:style>
  <w:style w:type="character" w:customStyle="1" w:styleId="31">
    <w:name w:val="font11"/>
    <w:basedOn w:val="21"/>
    <w:qFormat/>
    <w:uiPriority w:val="0"/>
    <w:rPr>
      <w:rFonts w:ascii="Arial" w:hAnsi="Arial" w:cs="Arial"/>
      <w:color w:val="000000"/>
      <w:sz w:val="20"/>
      <w:szCs w:val="20"/>
      <w:u w:val="none"/>
    </w:rPr>
  </w:style>
  <w:style w:type="paragraph" w:customStyle="1" w:styleId="32">
    <w:name w:val="p0"/>
    <w:basedOn w:val="1"/>
    <w:qFormat/>
    <w:uiPriority w:val="0"/>
    <w:pPr>
      <w:widowControl/>
    </w:pPr>
    <w:rPr>
      <w:kern w:val="0"/>
    </w:rPr>
  </w:style>
  <w:style w:type="paragraph" w:customStyle="1" w:styleId="3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4">
    <w:name w:val="List Paragraph"/>
    <w:basedOn w:val="1"/>
    <w:qFormat/>
    <w:uiPriority w:val="34"/>
    <w:pPr>
      <w:ind w:firstLine="420" w:firstLineChars="200"/>
    </w:pPr>
  </w:style>
  <w:style w:type="paragraph" w:customStyle="1" w:styleId="35">
    <w:name w:val="样式1"/>
    <w:basedOn w:val="1"/>
    <w:qFormat/>
    <w:uiPriority w:val="0"/>
    <w:pPr>
      <w:numPr>
        <w:ilvl w:val="2"/>
        <w:numId w:val="1"/>
      </w:numPr>
      <w:spacing w:line="360" w:lineRule="auto"/>
    </w:pPr>
    <w:rPr>
      <w:kern w:val="2"/>
    </w:rPr>
  </w:style>
  <w:style w:type="paragraph" w:customStyle="1" w:styleId="36">
    <w:name w:val="无间隔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7">
    <w:name w:val=" Char Char Char1 Char Char Char Char"/>
    <w:basedOn w:val="1"/>
    <w:semiHidden/>
    <w:qFormat/>
    <w:uiPriority w:val="0"/>
    <w:rPr>
      <w:szCs w:val="30"/>
    </w:rPr>
  </w:style>
  <w:style w:type="paragraph" w:customStyle="1" w:styleId="38">
    <w:name w:val="样式 正文缩进 + 首行缩进:  2 字符"/>
    <w:basedOn w:val="1"/>
    <w:qFormat/>
    <w:uiPriority w:val="0"/>
    <w:pPr>
      <w:widowControl/>
      <w:spacing w:line="360" w:lineRule="auto"/>
      <w:ind w:firstLine="200" w:firstLineChars="200"/>
    </w:pPr>
    <w:rPr>
      <w:rFonts w:ascii="Arial" w:hAnsi="Arial"/>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39686</Words>
  <Characters>44728</Characters>
  <Lines>0</Lines>
  <Paragraphs>0</Paragraphs>
  <TotalTime>0</TotalTime>
  <ScaleCrop>false</ScaleCrop>
  <LinksUpToDate>false</LinksUpToDate>
  <CharactersWithSpaces>44813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2021-12-01T07:23:00Z</dcterms:created>
  <dc:creator>Administrator</dc:creator>
  <cp:lastModifiedBy>李峰</cp:lastModifiedBy>
  <cp:lastPrinted>2025-04-07T08:35:00Z</cp:lastPrinted>
  <dcterms:modified xsi:type="dcterms:W3CDTF">2026-05-19T08:43:24Z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426EEC9C5F47443A9E7EFE08F89BB4C7</vt:lpwstr>
  </property>
</Properties>
</file>