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ind w:firstLine="2164" w:firstLineChars="490"/>
        <w:rPr>
          <w:rFonts w:hint="eastAsia" w:eastAsia="黑体"/>
          <w:b/>
          <w:sz w:val="44"/>
          <w:szCs w:val="44"/>
        </w:rPr>
      </w:pPr>
      <w:bookmarkStart w:id="0" w:name="SectionMark0"/>
    </w:p>
    <w:p>
      <w:pPr>
        <w:spacing w:before="624" w:beforeLines="200"/>
        <w:jc w:val="center"/>
        <w:rPr>
          <w:rFonts w:hint="eastAsia" w:eastAsia="黑体"/>
          <w:b/>
          <w:sz w:val="44"/>
          <w:szCs w:val="44"/>
        </w:rPr>
      </w:pPr>
    </w:p>
    <w:p>
      <w:pPr>
        <w:pStyle w:val="4"/>
        <w:numPr>
          <w:ilvl w:val="0"/>
          <w:numId w:val="0"/>
        </w:numPr>
        <w:spacing w:before="312"/>
        <w:jc w:val="center"/>
        <w:rPr>
          <w:rFonts w:hint="eastAsia" w:cs="宋体"/>
          <w:bCs/>
          <w:spacing w:val="-20"/>
          <w:sz w:val="44"/>
          <w:szCs w:val="44"/>
        </w:rPr>
      </w:pPr>
      <w:bookmarkStart w:id="1" w:name="_Toc20621"/>
      <w:r>
        <w:rPr>
          <w:rFonts w:hint="eastAsia" w:cs="宋体"/>
          <w:bCs/>
          <w:spacing w:val="-20"/>
          <w:sz w:val="44"/>
          <w:szCs w:val="44"/>
          <w:lang w:val="en-US" w:eastAsia="zh-CN"/>
        </w:rPr>
        <w:t>标3：</w:t>
      </w:r>
      <w:r>
        <w:rPr>
          <w:rFonts w:hint="eastAsia" w:cs="宋体"/>
          <w:bCs/>
          <w:spacing w:val="-20"/>
          <w:sz w:val="44"/>
          <w:szCs w:val="44"/>
        </w:rPr>
        <w:t>科技创新评价服务</w:t>
      </w:r>
      <w:bookmarkEnd w:id="1"/>
    </w:p>
    <w:p>
      <w:pPr>
        <w:pStyle w:val="4"/>
        <w:numPr>
          <w:ilvl w:val="0"/>
          <w:numId w:val="0"/>
        </w:numPr>
        <w:spacing w:before="312"/>
        <w:jc w:val="center"/>
        <w:rPr>
          <w:rFonts w:hint="default" w:cs="宋体"/>
          <w:bCs/>
          <w:spacing w:val="-20"/>
          <w:sz w:val="44"/>
          <w:szCs w:val="44"/>
          <w:lang w:val="en-US" w:eastAsia="zh-CN"/>
        </w:rPr>
      </w:pPr>
      <w:r>
        <w:rPr>
          <w:rFonts w:hint="eastAsia" w:cs="宋体"/>
          <w:bCs/>
          <w:spacing w:val="-20"/>
          <w:sz w:val="44"/>
          <w:szCs w:val="44"/>
          <w:lang w:val="en-US" w:eastAsia="zh-CN"/>
        </w:rPr>
        <w:t>技术规范书</w:t>
      </w:r>
    </w:p>
    <w:p>
      <w:pPr>
        <w:rPr>
          <w:rFonts w:hint="eastAsia"/>
        </w:rPr>
      </w:pPr>
    </w:p>
    <w:p>
      <w:pPr>
        <w:rPr>
          <w:rFonts w:hint="eastAsia" w:eastAsia="黑体"/>
          <w:b/>
          <w:sz w:val="44"/>
          <w:szCs w:val="44"/>
        </w:rPr>
      </w:pPr>
    </w:p>
    <w:p>
      <w:pPr>
        <w:pStyle w:val="2"/>
        <w:rPr>
          <w:rFonts w:hint="eastAsia" w:eastAsia="黑体"/>
          <w:b/>
          <w:sz w:val="44"/>
          <w:szCs w:val="44"/>
        </w:rPr>
      </w:pPr>
    </w:p>
    <w:p>
      <w:pPr>
        <w:pStyle w:val="3"/>
        <w:rPr>
          <w:rFonts w:hint="eastAsia"/>
        </w:rPr>
      </w:pPr>
    </w:p>
    <w:p>
      <w:pPr>
        <w:pStyle w:val="4"/>
        <w:numPr>
          <w:ilvl w:val="0"/>
          <w:numId w:val="0"/>
        </w:numPr>
        <w:spacing w:before="312"/>
        <w:rPr>
          <w:rFonts w:hint="eastAsia"/>
        </w:rPr>
      </w:pPr>
    </w:p>
    <w:p>
      <w:pPr>
        <w:spacing w:line="360" w:lineRule="auto"/>
        <w:jc w:val="center"/>
        <w:rPr>
          <w:rFonts w:hint="eastAsia" w:cs="宋体"/>
          <w:bCs/>
          <w:sz w:val="36"/>
          <w:szCs w:val="36"/>
        </w:rPr>
      </w:pPr>
    </w:p>
    <w:p>
      <w:pPr>
        <w:spacing w:line="360" w:lineRule="auto"/>
        <w:jc w:val="center"/>
        <w:rPr>
          <w:rFonts w:hint="eastAsia" w:cs="宋体"/>
          <w:bCs/>
          <w:sz w:val="36"/>
          <w:szCs w:val="36"/>
        </w:rPr>
      </w:pPr>
    </w:p>
    <w:p>
      <w:pPr>
        <w:spacing w:line="360" w:lineRule="auto"/>
        <w:jc w:val="center"/>
        <w:rPr>
          <w:rFonts w:hint="eastAsia" w:cs="宋体"/>
          <w:bCs/>
          <w:sz w:val="36"/>
          <w:szCs w:val="36"/>
        </w:rPr>
      </w:pPr>
    </w:p>
    <w:p>
      <w:pPr>
        <w:spacing w:line="360" w:lineRule="auto"/>
        <w:jc w:val="center"/>
        <w:rPr>
          <w:rFonts w:hint="eastAsia" w:cs="宋体"/>
          <w:bCs/>
          <w:sz w:val="36"/>
          <w:szCs w:val="36"/>
        </w:rPr>
      </w:pPr>
    </w:p>
    <w:p>
      <w:pPr>
        <w:spacing w:line="360" w:lineRule="auto"/>
        <w:jc w:val="center"/>
        <w:rPr>
          <w:rFonts w:hint="eastAsia" w:cs="宋体"/>
          <w:bCs/>
          <w:sz w:val="36"/>
          <w:szCs w:val="36"/>
        </w:rPr>
      </w:pPr>
      <w:r>
        <w:rPr>
          <w:rFonts w:hint="eastAsia" w:cs="宋体"/>
          <w:bCs/>
          <w:sz w:val="36"/>
          <w:szCs w:val="36"/>
        </w:rPr>
        <w:t>云南电网能源投资有限责任公司</w:t>
      </w:r>
    </w:p>
    <w:p>
      <w:pPr>
        <w:spacing w:line="360" w:lineRule="auto"/>
        <w:jc w:val="center"/>
        <w:rPr>
          <w:rFonts w:hint="eastAsia" w:cs="宋体"/>
          <w:bCs/>
          <w:sz w:val="36"/>
          <w:szCs w:val="36"/>
        </w:rPr>
        <w:sectPr>
          <w:pgSz w:w="11907" w:h="16839"/>
          <w:pgMar w:top="1701" w:right="1304" w:bottom="1418" w:left="1304" w:header="0" w:footer="0" w:gutter="0"/>
          <w:pgNumType w:start="0"/>
          <w:cols w:space="720" w:num="1"/>
          <w:titlePg/>
          <w:docGrid w:type="lines" w:linePitch="312" w:charSpace="0"/>
        </w:sectPr>
      </w:pPr>
      <w:r>
        <w:rPr>
          <w:rFonts w:hint="eastAsia" w:cs="宋体"/>
          <w:bCs/>
          <w:sz w:val="36"/>
          <w:szCs w:val="36"/>
        </w:rPr>
        <w:t>202</w:t>
      </w:r>
      <w:r>
        <w:rPr>
          <w:rFonts w:hint="eastAsia" w:cs="宋体"/>
          <w:bCs/>
          <w:sz w:val="36"/>
          <w:szCs w:val="36"/>
          <w:lang w:val="en-US" w:eastAsia="zh-CN"/>
        </w:rPr>
        <w:t>6</w:t>
      </w:r>
      <w:r>
        <w:rPr>
          <w:rFonts w:hint="eastAsia" w:cs="宋体"/>
          <w:bCs/>
          <w:sz w:val="36"/>
          <w:szCs w:val="36"/>
        </w:rPr>
        <w:t>年</w:t>
      </w:r>
      <w:r>
        <w:rPr>
          <w:rFonts w:hint="eastAsia" w:cs="宋体"/>
          <w:bCs/>
          <w:sz w:val="36"/>
          <w:szCs w:val="36"/>
          <w:lang w:val="en-US" w:eastAsia="zh-CN"/>
        </w:rPr>
        <w:t>3</w:t>
      </w:r>
      <w:r>
        <w:rPr>
          <w:rFonts w:hint="eastAsia" w:cs="宋体"/>
          <w:bCs/>
          <w:sz w:val="36"/>
          <w:szCs w:val="36"/>
        </w:rPr>
        <w:t>月</w:t>
      </w:r>
    </w:p>
    <w:bookmarkEnd w:id="0"/>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right="0" w:rightChars="0" w:firstLine="643" w:firstLineChars="200"/>
        <w:jc w:val="both"/>
        <w:textAlignment w:val="auto"/>
        <w:outlineLvl w:val="0"/>
        <w:rPr>
          <w:rFonts w:hint="eastAsia" w:ascii="黑体" w:hAnsi="黑体" w:eastAsia="黑体" w:cs="黑体"/>
          <w:sz w:val="32"/>
          <w:highlight w:val="none"/>
          <w:lang w:val="en-US" w:eastAsia="zh-CN"/>
        </w:rPr>
      </w:pPr>
      <w:bookmarkStart w:id="2" w:name="_Toc19012"/>
      <w:r>
        <w:rPr>
          <w:rFonts w:hint="eastAsia" w:ascii="黑体" w:hAnsi="黑体" w:eastAsia="黑体" w:cs="黑体"/>
          <w:b/>
          <w:bCs/>
          <w:sz w:val="32"/>
          <w:highlight w:val="none"/>
          <w:lang w:val="en-US" w:eastAsia="zh-CN"/>
        </w:rPr>
        <w:t>一、服务要求</w:t>
      </w:r>
      <w:bookmarkEnd w:id="2"/>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1"/>
        <w:rPr>
          <w:rFonts w:hint="eastAsia" w:ascii="楷体" w:hAnsi="楷体" w:eastAsia="楷体" w:cs="楷体"/>
          <w:b/>
          <w:bCs/>
          <w:sz w:val="32"/>
          <w:highlight w:val="none"/>
          <w:lang w:val="en-US" w:eastAsia="zh-CN"/>
        </w:rPr>
      </w:pPr>
      <w:bookmarkStart w:id="3" w:name="_Toc2008"/>
      <w:r>
        <w:rPr>
          <w:rFonts w:hint="eastAsia" w:ascii="楷体" w:hAnsi="楷体" w:eastAsia="楷体" w:cs="楷体"/>
          <w:b/>
          <w:bCs/>
          <w:sz w:val="32"/>
          <w:highlight w:val="none"/>
          <w:lang w:val="en-US" w:eastAsia="zh-CN"/>
        </w:rPr>
        <w:t>（一）服务目标</w:t>
      </w:r>
      <w:bookmarkEnd w:id="3"/>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right="0" w:rightChars="0" w:firstLine="640" w:firstLineChars="200"/>
        <w:jc w:val="both"/>
        <w:textAlignment w:val="auto"/>
        <w:outlineLvl w:val="1"/>
        <w:rPr>
          <w:rFonts w:hint="eastAsia" w:ascii="仿宋" w:hAnsi="仿宋" w:eastAsia="仿宋" w:cs="仿宋"/>
          <w:sz w:val="32"/>
          <w:highlight w:val="none"/>
          <w:lang w:val="en-US" w:eastAsia="zh-CN"/>
        </w:rPr>
      </w:pPr>
      <w:bookmarkStart w:id="4" w:name="_Toc19366"/>
      <w:r>
        <w:rPr>
          <w:rFonts w:hint="eastAsia" w:ascii="仿宋" w:hAnsi="仿宋" w:eastAsia="仿宋" w:cs="仿宋"/>
          <w:sz w:val="32"/>
          <w:highlight w:val="none"/>
          <w:lang w:val="en-US" w:eastAsia="zh-CN"/>
        </w:rPr>
        <w:t>为云南电网能源投资有限责任公司提供专业的科技成果、产品提供评价技术咨询服务，及时响应评价需求，助力提升科技转化项目管理水平，推动先进实用技术的供需对接和转移转化。</w:t>
      </w:r>
      <w:bookmarkEnd w:id="4"/>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1"/>
        <w:rPr>
          <w:rFonts w:hint="eastAsia" w:ascii="楷体" w:hAnsi="楷体" w:eastAsia="楷体" w:cs="楷体"/>
          <w:b/>
          <w:bCs/>
          <w:sz w:val="32"/>
          <w:highlight w:val="none"/>
          <w:lang w:val="en-US" w:eastAsia="zh-CN"/>
        </w:rPr>
      </w:pPr>
      <w:bookmarkStart w:id="5" w:name="_Toc21645"/>
      <w:r>
        <w:rPr>
          <w:rFonts w:hint="eastAsia" w:ascii="楷体" w:hAnsi="楷体" w:eastAsia="楷体" w:cs="楷体"/>
          <w:b/>
          <w:bCs/>
          <w:sz w:val="32"/>
          <w:highlight w:val="none"/>
          <w:lang w:val="en-US" w:eastAsia="zh-CN"/>
        </w:rPr>
        <w:t>（二）服务内容</w:t>
      </w:r>
      <w:bookmarkEnd w:id="5"/>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bookmarkStart w:id="6" w:name="_Toc19941"/>
      <w:r>
        <w:rPr>
          <w:rFonts w:hint="eastAsia" w:ascii="仿宋" w:hAnsi="仿宋" w:eastAsia="仿宋" w:cs="仿宋"/>
          <w:sz w:val="32"/>
          <w:highlight w:val="none"/>
          <w:lang w:val="en-US" w:eastAsia="zh-CN"/>
        </w:rPr>
        <w:t>1．科技成果、新产品（技术）评价（鉴定/评审）前期专业技术咨询</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r>
        <w:rPr>
          <w:rFonts w:hint="eastAsia" w:ascii="仿宋" w:hAnsi="仿宋" w:eastAsia="仿宋" w:cs="仿宋"/>
          <w:sz w:val="32"/>
          <w:highlight w:val="none"/>
          <w:lang w:val="en-US" w:eastAsia="zh-CN"/>
        </w:rPr>
        <w:t>（1）为云南电网能源投资有限责任公司科技成果、新产品（技术）评价（鉴定/评审）资料的编写提供指导、咨询，提供高质量的材料编写参考案例等；</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r>
        <w:rPr>
          <w:rFonts w:hint="eastAsia" w:ascii="仿宋" w:hAnsi="仿宋" w:eastAsia="仿宋" w:cs="仿宋"/>
          <w:sz w:val="32"/>
          <w:highlight w:val="none"/>
          <w:lang w:val="en-US" w:eastAsia="zh-CN"/>
        </w:rPr>
        <w:t>（2）完成科技成果、新产品（技术）评价（鉴定/评审）资料的审查，提出修改意见或建议，使其符合科技成果、新产品（技术）评价的形式要求。</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r>
        <w:rPr>
          <w:rFonts w:hint="eastAsia" w:ascii="仿宋" w:hAnsi="仿宋" w:eastAsia="仿宋" w:cs="仿宋"/>
          <w:sz w:val="32"/>
          <w:highlight w:val="none"/>
          <w:lang w:val="en-US" w:eastAsia="zh-CN"/>
        </w:rPr>
        <w:t>2．组织和主持评价（鉴定/评审）</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r>
        <w:rPr>
          <w:rFonts w:hint="eastAsia" w:ascii="仿宋" w:hAnsi="仿宋" w:eastAsia="仿宋" w:cs="仿宋"/>
          <w:sz w:val="32"/>
          <w:highlight w:val="none"/>
          <w:lang w:val="en-US" w:eastAsia="zh-CN"/>
        </w:rPr>
        <w:t>项目技术资料满足科技成果、新产品（技术）评价（鉴定/评审）条件后，</w:t>
      </w:r>
      <w:r>
        <w:rPr>
          <w:rFonts w:hint="eastAsia" w:ascii="仿宋" w:hAnsi="仿宋" w:eastAsia="仿宋" w:cs="仿宋"/>
          <w:color w:val="auto"/>
          <w:sz w:val="32"/>
          <w:highlight w:val="none"/>
          <w:lang w:val="en-US" w:eastAsia="zh-CN"/>
        </w:rPr>
        <w:t>依据成果所需的鉴定等级（国家/行业级、省部级）</w:t>
      </w:r>
      <w:r>
        <w:rPr>
          <w:rFonts w:hint="eastAsia" w:ascii="仿宋" w:hAnsi="仿宋" w:eastAsia="仿宋" w:cs="仿宋"/>
          <w:sz w:val="32"/>
          <w:highlight w:val="none"/>
          <w:lang w:val="en-US" w:eastAsia="zh-CN"/>
        </w:rPr>
        <w:t>组织电力行业、高校、科研机构等相关专业领域权威专家开展科技成果、新产品（技术）评价（鉴定/评审）工作，并主持评价。</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sz w:val="32"/>
          <w:highlight w:val="none"/>
          <w:lang w:val="en-US" w:eastAsia="zh-CN"/>
        </w:rPr>
      </w:pPr>
      <w:r>
        <w:rPr>
          <w:rFonts w:hint="eastAsia" w:ascii="仿宋" w:hAnsi="仿宋" w:eastAsia="仿宋" w:cs="仿宋"/>
          <w:sz w:val="32"/>
          <w:highlight w:val="none"/>
          <w:lang w:val="en-US" w:eastAsia="zh-CN"/>
        </w:rPr>
        <w:t>3．出具评价（鉴定/评审）报告</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0" w:firstLineChars="200"/>
        <w:textAlignment w:val="auto"/>
        <w:outlineLvl w:val="9"/>
        <w:rPr>
          <w:rFonts w:hint="eastAsia" w:ascii="仿宋" w:hAnsi="仿宋" w:eastAsia="仿宋" w:cs="仿宋"/>
          <w:color w:val="auto"/>
          <w:sz w:val="32"/>
          <w:highlight w:val="none"/>
          <w:lang w:val="en-US" w:eastAsia="zh-CN"/>
        </w:rPr>
      </w:pPr>
      <w:r>
        <w:rPr>
          <w:rFonts w:hint="eastAsia" w:ascii="仿宋" w:hAnsi="仿宋" w:eastAsia="仿宋" w:cs="仿宋"/>
          <w:sz w:val="32"/>
          <w:highlight w:val="none"/>
          <w:lang w:val="en-US" w:eastAsia="zh-CN"/>
        </w:rPr>
        <w:t>根据招标方科技成果、新产品（技术）评价（鉴定/评审）结果，</w:t>
      </w:r>
      <w:r>
        <w:rPr>
          <w:rFonts w:hint="eastAsia" w:ascii="仿宋" w:hAnsi="仿宋" w:eastAsia="仿宋" w:cs="仿宋"/>
          <w:color w:val="auto"/>
          <w:kern w:val="0"/>
          <w:sz w:val="32"/>
          <w:szCs w:val="32"/>
          <w:highlight w:val="none"/>
          <w:lang w:val="en-US" w:eastAsia="zh-CN"/>
        </w:rPr>
        <w:t>出具国家级、行业级或省部级评价（鉴定）机构的</w:t>
      </w:r>
      <w:r>
        <w:rPr>
          <w:rFonts w:hint="eastAsia" w:ascii="仿宋" w:hAnsi="仿宋" w:eastAsia="仿宋" w:cs="仿宋"/>
          <w:color w:val="auto"/>
          <w:sz w:val="32"/>
          <w:highlight w:val="none"/>
          <w:lang w:val="en-US" w:eastAsia="zh-CN"/>
        </w:rPr>
        <w:t>评价（鉴定/评审）报告（证书），经</w:t>
      </w:r>
      <w:r>
        <w:rPr>
          <w:rFonts w:hint="eastAsia" w:ascii="仿宋" w:hAnsi="仿宋" w:eastAsia="仿宋" w:cs="仿宋"/>
          <w:color w:val="auto"/>
          <w:kern w:val="0"/>
          <w:sz w:val="32"/>
          <w:szCs w:val="32"/>
          <w:highlight w:val="none"/>
          <w:lang w:val="en-US" w:eastAsia="zh-CN"/>
        </w:rPr>
        <w:t>招标方审核通过后按中标价进行结算。</w:t>
      </w:r>
    </w:p>
    <w:p>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line="560" w:lineRule="exact"/>
        <w:ind w:leftChars="0" w:firstLine="643" w:firstLineChars="200"/>
        <w:textAlignment w:val="auto"/>
        <w:outlineLvl w:val="9"/>
        <w:rPr>
          <w:rFonts w:hint="eastAsia" w:ascii="楷体" w:hAnsi="楷体" w:eastAsia="楷体" w:cs="楷体"/>
          <w:b w:val="0"/>
          <w:bCs w:val="0"/>
          <w:color w:val="FF0000"/>
          <w:sz w:val="30"/>
          <w:szCs w:val="30"/>
          <w:highlight w:val="none"/>
          <w:lang w:val="en-US" w:eastAsia="zh-CN"/>
        </w:rPr>
      </w:pPr>
      <w:r>
        <w:rPr>
          <w:rFonts w:hint="eastAsia" w:ascii="楷体" w:hAnsi="楷体" w:eastAsia="楷体" w:cs="楷体"/>
          <w:b/>
          <w:bCs/>
          <w:sz w:val="32"/>
          <w:highlight w:val="none"/>
          <w:lang w:val="en-US" w:eastAsia="zh-CN"/>
        </w:rPr>
        <w:t>（三）交付物及时间要求</w:t>
      </w:r>
      <w:bookmarkEnd w:id="6"/>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 w:hAnsi="仿宋" w:eastAsia="仿宋" w:cs="仿宋"/>
          <w:color w:val="auto"/>
          <w:sz w:val="32"/>
          <w:szCs w:val="32"/>
          <w:highlight w:val="none"/>
          <w:lang w:val="en-US" w:eastAsia="zh-CN"/>
        </w:rPr>
      </w:pPr>
      <w:bookmarkStart w:id="7" w:name="_Toc7951"/>
      <w:bookmarkStart w:id="8" w:name="_Toc21270"/>
      <w:r>
        <w:rPr>
          <w:rFonts w:hint="eastAsia" w:ascii="仿宋" w:hAnsi="仿宋" w:eastAsia="仿宋" w:cs="仿宋"/>
          <w:color w:val="auto"/>
          <w:sz w:val="32"/>
          <w:szCs w:val="32"/>
          <w:highlight w:val="none"/>
          <w:lang w:val="en-US" w:eastAsia="zh-CN"/>
        </w:rPr>
        <w:t>1.提交评价（鉴定/评审）资料后三十个工作日前，完成科技成果、新产品（技术）评价（鉴定/评审）前期专业技术咨询。交付物：技术资料审查意见。</w:t>
      </w:r>
      <w:bookmarkEnd w:id="7"/>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 w:hAnsi="仿宋" w:eastAsia="仿宋" w:cs="仿宋"/>
          <w:color w:val="auto"/>
          <w:sz w:val="32"/>
          <w:szCs w:val="32"/>
          <w:highlight w:val="none"/>
          <w:lang w:val="en-US" w:eastAsia="zh-CN"/>
        </w:rPr>
      </w:pPr>
      <w:bookmarkStart w:id="9" w:name="_Toc10579"/>
      <w:r>
        <w:rPr>
          <w:rFonts w:hint="eastAsia" w:ascii="仿宋" w:hAnsi="仿宋" w:eastAsia="仿宋" w:cs="仿宋"/>
          <w:color w:val="auto"/>
          <w:sz w:val="32"/>
          <w:szCs w:val="32"/>
          <w:highlight w:val="none"/>
          <w:lang w:val="en-US" w:eastAsia="zh-CN"/>
        </w:rPr>
        <w:t>2.评价（鉴定/评审）资料满足条件后十五个工作日前，完成组织和主持评价（鉴定/评审）工作。交付物：评价（鉴定/评审）全套资料（一般包括：通知、签到表、图文或视频、评价（鉴定/评审）意见等资料）。</w:t>
      </w:r>
      <w:bookmarkEnd w:id="9"/>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仿宋" w:hAnsi="仿宋" w:eastAsia="仿宋" w:cs="仿宋"/>
          <w:color w:val="auto"/>
          <w:sz w:val="32"/>
          <w:szCs w:val="32"/>
          <w:highlight w:val="none"/>
          <w:lang w:val="en-US" w:eastAsia="zh-CN"/>
        </w:rPr>
      </w:pPr>
      <w:bookmarkStart w:id="10" w:name="_Toc16603"/>
      <w:r>
        <w:rPr>
          <w:rFonts w:hint="eastAsia" w:ascii="仿宋" w:hAnsi="仿宋" w:eastAsia="仿宋" w:cs="仿宋"/>
          <w:color w:val="auto"/>
          <w:sz w:val="32"/>
          <w:szCs w:val="32"/>
          <w:highlight w:val="none"/>
          <w:lang w:val="en-US" w:eastAsia="zh-CN"/>
        </w:rPr>
        <w:t>3.评价（鉴定/评审）后十个工作日前，完成出具评价（鉴定/评审）报告工作。交付物：评价（鉴定/评审）报告（证书）。</w:t>
      </w:r>
      <w:bookmarkEnd w:id="10"/>
    </w:p>
    <w:p>
      <w:pPr>
        <w:keepNext w:val="0"/>
        <w:keepLines w:val="0"/>
        <w:pageBreakBefore w:val="0"/>
        <w:widowControl w:val="0"/>
        <w:kinsoku/>
        <w:wordWrap/>
        <w:overflowPunct/>
        <w:topLinePunct w:val="0"/>
        <w:autoSpaceDE/>
        <w:autoSpaceDN/>
        <w:bidi w:val="0"/>
        <w:adjustRightInd/>
        <w:snapToGrid/>
        <w:spacing w:after="156" w:afterLines="50" w:line="600" w:lineRule="exact"/>
        <w:ind w:firstLine="643" w:firstLineChars="200"/>
        <w:textAlignment w:val="auto"/>
        <w:outlineLvl w:val="1"/>
        <w:rPr>
          <w:rFonts w:hint="eastAsia" w:ascii="楷体" w:hAnsi="楷体" w:eastAsia="楷体" w:cs="楷体"/>
          <w:b/>
          <w:bCs/>
          <w:sz w:val="32"/>
          <w:highlight w:val="none"/>
          <w:lang w:val="en-US" w:eastAsia="zh-CN"/>
        </w:rPr>
      </w:pPr>
      <w:bookmarkStart w:id="11" w:name="_Toc15414"/>
      <w:r>
        <w:rPr>
          <w:rFonts w:hint="eastAsia" w:ascii="楷体" w:hAnsi="楷体" w:eastAsia="楷体" w:cs="楷体"/>
          <w:b/>
          <w:bCs/>
          <w:sz w:val="32"/>
          <w:highlight w:val="none"/>
          <w:lang w:val="en-US" w:eastAsia="zh-CN"/>
        </w:rPr>
        <w:t>（四）其它要求</w:t>
      </w:r>
      <w:bookmarkEnd w:id="8"/>
      <w:bookmarkEnd w:id="11"/>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仿宋" w:hAnsi="仿宋" w:eastAsia="仿宋" w:cs="仿宋"/>
          <w:kern w:val="0"/>
          <w:sz w:val="32"/>
          <w:szCs w:val="32"/>
          <w:highlight w:val="none"/>
          <w:lang w:val="en-US" w:eastAsia="zh-CN"/>
        </w:rPr>
      </w:pPr>
      <w:bookmarkStart w:id="12" w:name="_Toc5502"/>
      <w:bookmarkStart w:id="13" w:name="_Toc32075"/>
      <w:r>
        <w:rPr>
          <w:rFonts w:hint="eastAsia" w:ascii="仿宋" w:hAnsi="仿宋" w:eastAsia="仿宋" w:cs="仿宋"/>
          <w:kern w:val="0"/>
          <w:sz w:val="32"/>
          <w:szCs w:val="32"/>
          <w:highlight w:val="none"/>
          <w:lang w:val="en-US" w:eastAsia="zh-CN"/>
        </w:rPr>
        <w:t>投标人针对本章节提出的要求提供详细服务工作方案进行应答描述，方案中需包含（但不限于）以下章节：总体服务思路、服务目标及重点、详细服务内容、服务工作计划、预期成果及交付物。</w:t>
      </w:r>
      <w:bookmarkEnd w:id="12"/>
    </w:p>
    <w:p>
      <w:pPr>
        <w:spacing w:line="600" w:lineRule="exact"/>
        <w:ind w:firstLine="641"/>
        <w:rPr>
          <w:rFonts w:ascii="黑体" w:hAnsi="黑体" w:eastAsia="黑体" w:cs="黑体"/>
          <w:b/>
          <w:bCs/>
          <w:sz w:val="32"/>
        </w:rPr>
      </w:pPr>
      <w:bookmarkStart w:id="14" w:name="_Toc17068"/>
      <w:bookmarkStart w:id="15" w:name="_Toc3751"/>
      <w:bookmarkStart w:id="16" w:name="_Toc22850"/>
      <w:bookmarkStart w:id="17" w:name="_Toc12693"/>
      <w:bookmarkStart w:id="18" w:name="_Toc28835"/>
      <w:bookmarkStart w:id="19" w:name="_Toc29982"/>
      <w:bookmarkStart w:id="20" w:name="_Toc7463"/>
      <w:bookmarkStart w:id="21" w:name="_Toc27556"/>
      <w:bookmarkStart w:id="22" w:name="_Toc17589"/>
      <w:bookmarkStart w:id="23" w:name="_Toc20114"/>
      <w:bookmarkStart w:id="24" w:name="_Toc30634"/>
      <w:bookmarkStart w:id="25" w:name="_Toc7001"/>
      <w:bookmarkStart w:id="26" w:name="_Toc13312"/>
      <w:bookmarkStart w:id="27" w:name="_Toc22606"/>
      <w:bookmarkStart w:id="28" w:name="_Toc32449"/>
      <w:bookmarkStart w:id="29" w:name="_Toc25432"/>
      <w:bookmarkStart w:id="30" w:name="_Toc22227"/>
      <w:bookmarkStart w:id="31" w:name="_Toc17314"/>
      <w:bookmarkStart w:id="32" w:name="_Toc3895"/>
      <w:bookmarkStart w:id="33" w:name="_Toc27155"/>
      <w:bookmarkStart w:id="34" w:name="_Toc7979"/>
      <w:bookmarkStart w:id="35" w:name="_Toc25651"/>
      <w:bookmarkStart w:id="36" w:name="_Toc702"/>
      <w:bookmarkStart w:id="37" w:name="_Toc28539"/>
      <w:r>
        <w:rPr>
          <w:rFonts w:hint="eastAsia" w:ascii="黑体" w:hAnsi="黑体" w:eastAsia="黑体" w:cs="黑体"/>
          <w:b/>
          <w:bCs/>
          <w:sz w:val="32"/>
        </w:rPr>
        <w:t>二、核心服务内容★</w:t>
      </w:r>
    </w:p>
    <w:p>
      <w:pPr>
        <w:pStyle w:val="2"/>
        <w:ind w:firstLine="640" w:firstLineChars="200"/>
        <w:rPr>
          <w:rFonts w:hint="eastAsia" w:ascii="仿宋" w:hAnsi="仿宋" w:eastAsia="仿宋" w:cs="仿宋"/>
          <w:sz w:val="32"/>
        </w:rPr>
      </w:pPr>
      <w:r>
        <w:rPr>
          <w:rFonts w:hint="eastAsia" w:ascii="仿宋" w:hAnsi="仿宋" w:eastAsia="仿宋" w:cs="仿宋"/>
          <w:sz w:val="32"/>
        </w:rPr>
        <w:t>组织</w:t>
      </w:r>
      <w:r>
        <w:rPr>
          <w:rFonts w:hint="eastAsia" w:ascii="仿宋" w:hAnsi="仿宋" w:eastAsia="仿宋" w:cs="仿宋"/>
          <w:sz w:val="32"/>
          <w:lang w:val="en-US" w:eastAsia="zh-CN"/>
        </w:rPr>
        <w:t>和</w:t>
      </w:r>
      <w:r>
        <w:rPr>
          <w:rFonts w:hint="eastAsia" w:ascii="仿宋" w:hAnsi="仿宋" w:eastAsia="仿宋" w:cs="仿宋"/>
          <w:sz w:val="32"/>
        </w:rPr>
        <w:t>主持评价（鉴定/评审）</w:t>
      </w:r>
      <w:r>
        <w:rPr>
          <w:rFonts w:hint="eastAsia" w:ascii="仿宋" w:hAnsi="仿宋" w:eastAsia="仿宋" w:cs="仿宋"/>
          <w:sz w:val="32"/>
          <w:lang w:eastAsia="zh-CN"/>
        </w:rPr>
        <w:t>，</w:t>
      </w:r>
      <w:r>
        <w:rPr>
          <w:rFonts w:hint="eastAsia" w:ascii="仿宋" w:hAnsi="仿宋" w:eastAsia="仿宋" w:cs="仿宋"/>
          <w:sz w:val="32"/>
        </w:rPr>
        <w:t>项目技术资料满足科技成果、新产品（技术）评价（鉴定/评审）条件后，组织电力行业、</w:t>
      </w:r>
      <w:r>
        <w:rPr>
          <w:rFonts w:hint="eastAsia" w:ascii="仿宋" w:hAnsi="仿宋" w:eastAsia="仿宋" w:cs="仿宋"/>
          <w:sz w:val="32"/>
          <w:lang w:val="en-US" w:eastAsia="zh-CN"/>
        </w:rPr>
        <w:t>高校、科研机构</w:t>
      </w:r>
      <w:r>
        <w:rPr>
          <w:rFonts w:hint="eastAsia" w:ascii="仿宋" w:hAnsi="仿宋" w:eastAsia="仿宋" w:cs="仿宋"/>
          <w:sz w:val="32"/>
        </w:rPr>
        <w:t>等相关专业领域权威专家开展科技成果、新产品（技术）评价（鉴定/评审）工作，并主持</w:t>
      </w:r>
      <w:r>
        <w:rPr>
          <w:rFonts w:hint="eastAsia" w:ascii="仿宋" w:hAnsi="仿宋" w:eastAsia="仿宋" w:cs="仿宋"/>
          <w:sz w:val="32"/>
          <w:lang w:val="en-US" w:eastAsia="zh-CN"/>
        </w:rPr>
        <w:t>评价</w:t>
      </w:r>
      <w:r>
        <w:rPr>
          <w:rFonts w:hint="eastAsia" w:ascii="仿宋" w:hAnsi="仿宋" w:eastAsia="仿宋" w:cs="仿宋"/>
          <w:sz w:val="32"/>
        </w:rPr>
        <w:t>。</w:t>
      </w:r>
      <w:bookmarkStart w:id="73" w:name="_GoBack"/>
      <w:bookmarkEnd w:id="73"/>
    </w:p>
    <w:p>
      <w:pPr>
        <w:pStyle w:val="2"/>
        <w:ind w:firstLine="640" w:firstLineChars="200"/>
        <w:rPr>
          <w:rFonts w:ascii="仿宋" w:hAnsi="仿宋" w:eastAsia="仿宋" w:cs="仿宋"/>
          <w:sz w:val="32"/>
        </w:rPr>
      </w:pPr>
      <w:r>
        <w:rPr>
          <w:rFonts w:hint="eastAsia" w:ascii="仿宋" w:hAnsi="仿宋" w:eastAsia="仿宋" w:cs="仿宋"/>
          <w:color w:val="auto"/>
          <w:kern w:val="0"/>
          <w:sz w:val="32"/>
          <w:szCs w:val="32"/>
          <w:highlight w:val="none"/>
          <w:lang w:val="en-US" w:eastAsia="zh-CN" w:bidi="ar-SA"/>
        </w:rPr>
        <w:t>鉴定内容须涵盖产品设计定型、制造能力评估、质量控制体系等维度，明确鉴定证书中的完成单位具备产品化能力。</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38" w:name="_Toc13326"/>
      <w:r>
        <w:rPr>
          <w:rFonts w:hint="eastAsia" w:ascii="黑体" w:hAnsi="黑体" w:eastAsia="黑体" w:cs="黑体"/>
          <w:b/>
          <w:bCs/>
          <w:sz w:val="32"/>
          <w:highlight w:val="none"/>
          <w:lang w:val="en-US" w:eastAsia="zh-CN"/>
        </w:rPr>
        <w:t>三、项目实施保证</w:t>
      </w:r>
      <w:bookmarkEnd w:id="13"/>
      <w:bookmarkEnd w:id="38"/>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仿宋" w:hAnsi="仿宋" w:eastAsia="仿宋" w:cs="仿宋"/>
          <w:sz w:val="32"/>
          <w:szCs w:val="32"/>
          <w:lang w:eastAsia="zh-Hans"/>
        </w:rPr>
      </w:pPr>
      <w:bookmarkStart w:id="39" w:name="_Toc29657"/>
      <w:bookmarkStart w:id="40" w:name="_Toc3915"/>
      <w:r>
        <w:rPr>
          <w:rFonts w:hint="eastAsia" w:ascii="仿宋" w:hAnsi="仿宋" w:eastAsia="仿宋" w:cs="仿宋"/>
          <w:sz w:val="32"/>
          <w:szCs w:val="32"/>
          <w:lang w:eastAsia="zh-Hans"/>
        </w:rPr>
        <w:t>投标人应具备项目管理及会议组织能力，能够协调组织各类会议的开展及实施，并提供电力行业专家信息登记表。</w:t>
      </w:r>
      <w:bookmarkEnd w:id="39"/>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仿宋" w:hAnsi="仿宋" w:eastAsia="仿宋" w:cs="仿宋"/>
          <w:sz w:val="32"/>
          <w:szCs w:val="32"/>
          <w:lang w:eastAsia="zh-Hans"/>
        </w:rPr>
      </w:pPr>
      <w:bookmarkStart w:id="41" w:name="_Toc20980"/>
      <w:r>
        <w:rPr>
          <w:rFonts w:hint="eastAsia" w:ascii="仿宋" w:hAnsi="仿宋" w:eastAsia="仿宋" w:cs="仿宋"/>
          <w:sz w:val="32"/>
          <w:szCs w:val="32"/>
          <w:lang w:eastAsia="zh-Hans"/>
        </w:rPr>
        <w:t>投标人针对本项目提供实施方案，方案明确组织、安全、能力保证措施。</w:t>
      </w:r>
      <w:bookmarkEnd w:id="41"/>
    </w:p>
    <w:p>
      <w:pPr>
        <w:spacing w:line="600" w:lineRule="exact"/>
        <w:ind w:firstLine="641"/>
        <w:rPr>
          <w:rFonts w:ascii="黑体" w:hAnsi="黑体" w:eastAsia="黑体" w:cs="黑体"/>
          <w:b/>
          <w:bCs/>
          <w:sz w:val="32"/>
        </w:rPr>
      </w:pPr>
      <w:r>
        <w:rPr>
          <w:rFonts w:hint="eastAsia" w:ascii="黑体" w:hAnsi="黑体" w:eastAsia="黑体" w:cs="黑体"/>
          <w:b/>
          <w:bCs/>
          <w:sz w:val="32"/>
        </w:rPr>
        <w:t>四、类似项目业绩要求</w:t>
      </w:r>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仿宋" w:hAnsi="仿宋" w:eastAsia="仿宋" w:cs="仿宋"/>
          <w:sz w:val="32"/>
          <w:szCs w:val="32"/>
        </w:rPr>
      </w:pPr>
      <w:bookmarkStart w:id="42" w:name="_Toc20313"/>
      <w:r>
        <w:rPr>
          <w:rFonts w:hint="eastAsia" w:ascii="仿宋" w:hAnsi="仿宋" w:eastAsia="仿宋" w:cs="仿宋"/>
          <w:sz w:val="32"/>
          <w:szCs w:val="32"/>
        </w:rPr>
        <w:t>投标人须提供202</w:t>
      </w:r>
      <w:r>
        <w:rPr>
          <w:rFonts w:hint="eastAsia" w:ascii="仿宋" w:hAnsi="仿宋" w:eastAsia="仿宋" w:cs="仿宋"/>
          <w:sz w:val="32"/>
          <w:szCs w:val="32"/>
          <w:lang w:val="en-US" w:eastAsia="zh-CN"/>
        </w:rPr>
        <w:t>3</w:t>
      </w:r>
      <w:r>
        <w:rPr>
          <w:rFonts w:hint="eastAsia" w:ascii="仿宋" w:hAnsi="仿宋" w:eastAsia="仿宋" w:cs="仿宋"/>
          <w:sz w:val="32"/>
          <w:szCs w:val="32"/>
        </w:rPr>
        <w:t>年至今的相关类似项目业绩（合同关键扫描页：合同名称、甲乙方单位信息、合同金额、签订日期、发票等）及对应证明材料，证明材料必须包含查新报告、鉴定（评价）报告部分内容。</w:t>
      </w:r>
      <w:bookmarkEnd w:id="42"/>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43" w:name="_Toc32636"/>
      <w:r>
        <w:rPr>
          <w:rFonts w:hint="eastAsia" w:ascii="黑体" w:hAnsi="黑体" w:eastAsia="黑体" w:cs="黑体"/>
          <w:b/>
          <w:bCs/>
          <w:sz w:val="32"/>
          <w:highlight w:val="none"/>
          <w:lang w:val="en-US" w:eastAsia="zh-CN"/>
        </w:rPr>
        <w:t>五、团队能力</w:t>
      </w:r>
      <w:bookmarkEnd w:id="40"/>
      <w:bookmarkEnd w:id="43"/>
    </w:p>
    <w:p>
      <w:pPr>
        <w:pStyle w:val="2"/>
        <w:spacing w:line="360" w:lineRule="auto"/>
        <w:ind w:firstLine="640" w:firstLineChars="200"/>
        <w:rPr>
          <w:rFonts w:hint="eastAsia" w:ascii="仿宋" w:hAnsi="仿宋" w:eastAsia="仿宋" w:cs="仿宋"/>
          <w:color w:val="auto"/>
          <w:sz w:val="32"/>
          <w:szCs w:val="32"/>
          <w:highlight w:val="none"/>
          <w:lang w:val="en-US" w:eastAsia="zh-CN"/>
        </w:rPr>
      </w:pPr>
      <w:bookmarkStart w:id="44" w:name="_Toc24999"/>
      <w:bookmarkStart w:id="45" w:name="_Toc18805"/>
      <w:bookmarkStart w:id="46" w:name="_Toc8448"/>
      <w:bookmarkStart w:id="47" w:name="_Toc30636"/>
      <w:bookmarkStart w:id="48" w:name="_Toc3153"/>
      <w:bookmarkStart w:id="49" w:name="_Toc23431"/>
      <w:bookmarkStart w:id="50" w:name="_Toc23548"/>
      <w:bookmarkStart w:id="51" w:name="_Toc25069"/>
      <w:bookmarkStart w:id="52" w:name="_Toc24963"/>
      <w:bookmarkStart w:id="53" w:name="_Toc21021"/>
      <w:bookmarkStart w:id="54" w:name="_Toc3284"/>
      <w:bookmarkStart w:id="55" w:name="_Toc855"/>
      <w:bookmarkStart w:id="56" w:name="_Toc31619"/>
      <w:bookmarkStart w:id="57" w:name="_Toc345"/>
      <w:bookmarkStart w:id="58" w:name="_Toc31371"/>
      <w:bookmarkStart w:id="59" w:name="_Toc22735"/>
      <w:bookmarkStart w:id="60" w:name="_Toc1532"/>
      <w:bookmarkStart w:id="61" w:name="_Toc28300"/>
      <w:bookmarkStart w:id="62" w:name="_Toc849"/>
      <w:bookmarkStart w:id="63" w:name="_Toc26616"/>
      <w:bookmarkStart w:id="64" w:name="_Toc17795"/>
      <w:bookmarkStart w:id="65" w:name="_Toc22182"/>
      <w:bookmarkStart w:id="66" w:name="_Toc26243"/>
      <w:bookmarkStart w:id="67" w:name="_Toc30300"/>
      <w:r>
        <w:rPr>
          <w:rFonts w:hint="eastAsia" w:ascii="仿宋" w:hAnsi="仿宋" w:eastAsia="仿宋" w:cs="仿宋"/>
          <w:color w:val="auto"/>
          <w:sz w:val="32"/>
          <w:szCs w:val="32"/>
          <w:highlight w:val="none"/>
          <w:lang w:val="en-US" w:eastAsia="zh-CN"/>
        </w:rPr>
        <w:t>项目团队组成、负责人及项目组成员具体要求如下，投标人应提供本单位项目团队所有人员有关介绍及证明材料，证明材料包括但不限于人员的身份证明、教育背景相关证明材料、参与项目履历及职业资质等：</w:t>
      </w:r>
    </w:p>
    <w:tbl>
      <w:tblPr>
        <w:tblStyle w:val="10"/>
        <w:tblW w:w="833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467"/>
        <w:gridCol w:w="680"/>
        <w:gridCol w:w="612"/>
        <w:gridCol w:w="1629"/>
        <w:gridCol w:w="1704"/>
        <w:gridCol w:w="1661"/>
        <w:gridCol w:w="15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4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序号</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团队角色</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人数</w:t>
            </w:r>
          </w:p>
        </w:tc>
        <w:tc>
          <w:tcPr>
            <w:tcW w:w="16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教育背景</w:t>
            </w:r>
          </w:p>
        </w:tc>
        <w:tc>
          <w:tcPr>
            <w:tcW w:w="1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经验要求</w:t>
            </w:r>
          </w:p>
        </w:tc>
        <w:tc>
          <w:tcPr>
            <w:tcW w:w="16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职称（职业资格）要求</w:t>
            </w:r>
          </w:p>
        </w:tc>
        <w:tc>
          <w:tcPr>
            <w:tcW w:w="15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4"/>
                <w:szCs w:val="24"/>
                <w:highlight w:val="none"/>
                <w:u w:val="none"/>
                <w:lang w:val="en-US" w:eastAsia="zh-CN" w:bidi="ar"/>
              </w:rPr>
            </w:pPr>
            <w:r>
              <w:rPr>
                <w:rFonts w:hint="eastAsia" w:ascii="仿宋" w:hAnsi="仿宋" w:eastAsia="仿宋" w:cs="仿宋"/>
                <w:b/>
                <w:i w:val="0"/>
                <w:color w:val="auto"/>
                <w:kern w:val="0"/>
                <w:sz w:val="24"/>
                <w:szCs w:val="24"/>
                <w:highlight w:val="none"/>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55" w:hRule="atLeast"/>
        </w:trPr>
        <w:tc>
          <w:tcPr>
            <w:tcW w:w="4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1</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项目负责人</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1人</w:t>
            </w:r>
          </w:p>
        </w:tc>
        <w:tc>
          <w:tcPr>
            <w:tcW w:w="16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不低于大学本科</w:t>
            </w:r>
          </w:p>
        </w:tc>
        <w:tc>
          <w:tcPr>
            <w:tcW w:w="1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5年内，在科技创新评价服务领域具有至少3项项目经验。</w:t>
            </w:r>
          </w:p>
        </w:tc>
        <w:tc>
          <w:tcPr>
            <w:tcW w:w="16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具备中级职称</w:t>
            </w:r>
          </w:p>
        </w:tc>
        <w:tc>
          <w:tcPr>
            <w:tcW w:w="15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具备项目管理、活动及会议组织能力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37" w:hRule="atLeast"/>
        </w:trPr>
        <w:tc>
          <w:tcPr>
            <w:tcW w:w="4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kern w:val="0"/>
                <w:sz w:val="24"/>
                <w:szCs w:val="24"/>
                <w:highlight w:val="none"/>
                <w:u w:val="none"/>
                <w:lang w:val="en-US" w:eastAsia="zh-CN" w:bidi="ar"/>
              </w:rPr>
            </w:pPr>
            <w:r>
              <w:rPr>
                <w:rFonts w:hint="eastAsia" w:ascii="仿宋" w:hAnsi="仿宋" w:eastAsia="仿宋" w:cs="仿宋"/>
                <w:i w:val="0"/>
                <w:color w:val="auto"/>
                <w:kern w:val="0"/>
                <w:sz w:val="24"/>
                <w:szCs w:val="24"/>
                <w:highlight w:val="none"/>
                <w:u w:val="none"/>
                <w:lang w:val="en-US" w:eastAsia="zh-CN" w:bidi="ar"/>
              </w:rPr>
              <w:t>2</w:t>
            </w:r>
          </w:p>
        </w:tc>
        <w:tc>
          <w:tcPr>
            <w:tcW w:w="6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项目组成员</w:t>
            </w:r>
          </w:p>
        </w:tc>
        <w:tc>
          <w:tcPr>
            <w:tcW w:w="6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不少于2人</w:t>
            </w:r>
          </w:p>
        </w:tc>
        <w:tc>
          <w:tcPr>
            <w:tcW w:w="16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不低于大学专科</w:t>
            </w:r>
          </w:p>
        </w:tc>
        <w:tc>
          <w:tcPr>
            <w:tcW w:w="1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rPr>
              <w:t>2年内，在科技创新评价服务领域具有至少1项项目经验。</w:t>
            </w:r>
          </w:p>
        </w:tc>
        <w:tc>
          <w:tcPr>
            <w:tcW w:w="166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w:t>
            </w:r>
          </w:p>
        </w:tc>
        <w:tc>
          <w:tcPr>
            <w:tcW w:w="157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w:t>
            </w:r>
          </w:p>
        </w:tc>
      </w:tr>
    </w:tbl>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68" w:name="_Toc26577"/>
      <w:r>
        <w:rPr>
          <w:rFonts w:hint="eastAsia" w:ascii="黑体" w:hAnsi="黑体" w:eastAsia="黑体" w:cs="黑体"/>
          <w:b/>
          <w:bCs/>
          <w:sz w:val="32"/>
          <w:highlight w:val="none"/>
          <w:lang w:val="en-US" w:eastAsia="zh-CN"/>
        </w:rPr>
        <w:t>六、项目质量保证</w:t>
      </w:r>
      <w:bookmarkEnd w:id="68"/>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仿宋" w:hAnsi="仿宋" w:eastAsia="仿宋" w:cs="仿宋"/>
          <w:color w:val="auto"/>
          <w:kern w:val="0"/>
          <w:sz w:val="32"/>
          <w:szCs w:val="32"/>
          <w:highlight w:val="none"/>
          <w:lang w:val="en-US" w:eastAsia="zh-CN" w:bidi="ar-SA"/>
        </w:rPr>
      </w:pPr>
      <w:bookmarkStart w:id="69" w:name="_Toc12166"/>
      <w:r>
        <w:rPr>
          <w:rFonts w:hint="eastAsia" w:ascii="仿宋" w:hAnsi="仿宋" w:eastAsia="仿宋" w:cs="仿宋"/>
          <w:color w:val="auto"/>
          <w:kern w:val="0"/>
          <w:sz w:val="32"/>
          <w:szCs w:val="32"/>
          <w:highlight w:val="none"/>
          <w:lang w:val="en-US" w:eastAsia="zh-CN" w:bidi="ar-SA"/>
        </w:rPr>
        <w:t>项目过程中有明确的实施方案、项目进度计划及保密承诺。在要求服务周期内，完成合同约定的工作任务，至少选派1名专业人员开展现场驻点服务，提交满足本技术约定的工作成果。</w:t>
      </w:r>
      <w:bookmarkEnd w:id="69"/>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60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70" w:name="_Toc21878"/>
      <w:r>
        <w:rPr>
          <w:rFonts w:hint="eastAsia" w:ascii="黑体" w:hAnsi="黑体" w:eastAsia="黑体" w:cs="黑体"/>
          <w:b/>
          <w:bCs/>
          <w:sz w:val="32"/>
          <w:highlight w:val="none"/>
          <w:lang w:val="en-US" w:eastAsia="zh-CN"/>
        </w:rPr>
        <w:t>七、项目服务保证</w:t>
      </w:r>
      <w:bookmarkEnd w:id="70"/>
    </w:p>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60" w:lineRule="exact"/>
        <w:ind w:left="0" w:leftChars="0" w:right="0" w:rightChars="0" w:firstLine="641" w:firstLineChars="0"/>
        <w:jc w:val="both"/>
        <w:textAlignment w:val="auto"/>
        <w:outlineLvl w:val="0"/>
        <w:rPr>
          <w:rFonts w:hint="eastAsia" w:ascii="仿宋" w:hAnsi="仿宋" w:eastAsia="仿宋"/>
          <w:color w:val="000000"/>
          <w:sz w:val="32"/>
          <w:szCs w:val="22"/>
          <w:lang w:val="zh-CN"/>
        </w:rPr>
      </w:pPr>
      <w:bookmarkStart w:id="71" w:name="_Toc12014"/>
      <w:r>
        <w:rPr>
          <w:rFonts w:hint="eastAsia" w:ascii="仿宋" w:hAnsi="仿宋" w:eastAsia="仿宋"/>
          <w:color w:val="000000"/>
          <w:sz w:val="32"/>
          <w:szCs w:val="22"/>
          <w:lang w:val="zh-CN"/>
        </w:rPr>
        <w:t>项目过程中有明确的实施方案、项目进度计划及保密承诺。在要求服务周期内，完成合同约定的工作任务，至少选派1名专业人员开展现场驻点服务，提交满足本技术约定的工作成果。</w:t>
      </w:r>
      <w:bookmarkEnd w:id="71"/>
    </w:p>
    <w:p>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60" w:lineRule="exact"/>
        <w:ind w:left="0" w:leftChars="0" w:right="0" w:rightChars="0" w:firstLine="641" w:firstLineChars="0"/>
        <w:jc w:val="both"/>
        <w:textAlignment w:val="auto"/>
        <w:outlineLvl w:val="0"/>
        <w:rPr>
          <w:rFonts w:hint="eastAsia" w:ascii="黑体" w:hAnsi="黑体" w:eastAsia="黑体" w:cs="黑体"/>
          <w:b/>
          <w:bCs/>
          <w:sz w:val="32"/>
          <w:highlight w:val="none"/>
          <w:lang w:val="en-US" w:eastAsia="zh-CN"/>
        </w:rPr>
      </w:pPr>
      <w:bookmarkStart w:id="72" w:name="_Toc14690"/>
      <w:r>
        <w:rPr>
          <w:rFonts w:hint="eastAsia" w:ascii="黑体" w:hAnsi="黑体" w:eastAsia="黑体" w:cs="黑体"/>
          <w:b/>
          <w:bCs/>
          <w:sz w:val="32"/>
          <w:highlight w:val="none"/>
          <w:lang w:val="en-US" w:eastAsia="zh-CN"/>
        </w:rPr>
        <w:t>八、网络安全及数据安全要求</w:t>
      </w:r>
      <w:bookmarkEnd w:id="72"/>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1．</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应对其人员进行网络安全培训，提高风险管理意识，确保网络安全管控措施在服务过程中有效落实。</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人员应遵守采购人场地管理、设备使用等方面的制度和规定。</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承诺保障采购人信息的安全性。因</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原因造成采购人信息不安全时，采购人有权随时终止本谈判并要求</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赔偿因此给采购人造成的全部损失。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２．</w:t>
      </w:r>
      <w:r>
        <w:rPr>
          <w:rFonts w:hint="eastAsia" w:ascii="仿宋" w:hAnsi="仿宋" w:eastAsia="仿宋" w:cs="仿宋"/>
          <w:kern w:val="0"/>
          <w:sz w:val="32"/>
          <w:szCs w:val="32"/>
        </w:rPr>
        <w:t>采购人有权对</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与本项目工作有关的工作履行情况及网络安全和控制情况进行监控、检查和评价。</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应按照采购人安排定期或不定期对</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在服务过程中的不合规行为（如：终端私藏敏感信息或者非授权连接采购人网络）进行自查并向采购人报告情况。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３．</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应有相应的网络安全保障能力及管控措施，并有应对突发网络安全事件的能力。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４．</w:t>
      </w:r>
      <w:r>
        <w:rPr>
          <w:rFonts w:hint="eastAsia" w:ascii="仿宋" w:hAnsi="仿宋" w:eastAsia="仿宋" w:cs="仿宋"/>
          <w:kern w:val="0"/>
          <w:sz w:val="32"/>
          <w:szCs w:val="32"/>
          <w:lang w:eastAsia="zh-CN"/>
        </w:rPr>
        <w:t>投标人</w:t>
      </w:r>
      <w:r>
        <w:rPr>
          <w:rFonts w:hint="eastAsia" w:ascii="仿宋" w:hAnsi="仿宋" w:eastAsia="仿宋" w:cs="仿宋"/>
          <w:kern w:val="0"/>
          <w:sz w:val="32"/>
          <w:szCs w:val="32"/>
        </w:rPr>
        <w:t>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５．</w:t>
      </w:r>
      <w:r>
        <w:rPr>
          <w:rFonts w:hint="eastAsia" w:ascii="仿宋" w:hAnsi="仿宋" w:eastAsia="仿宋" w:cs="仿宋"/>
          <w:kern w:val="0"/>
          <w:sz w:val="32"/>
          <w:szCs w:val="32"/>
        </w:rPr>
        <w:t>采购人与成交人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采购人书面同意，不得将科技项目研发过程中的相关数据用于任何学术交流、教育培训、技术交流等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６．</w:t>
      </w:r>
      <w:r>
        <w:rPr>
          <w:rFonts w:hint="eastAsia" w:ascii="仿宋" w:hAnsi="仿宋" w:eastAsia="仿宋" w:cs="仿宋"/>
          <w:kern w:val="0"/>
          <w:sz w:val="32"/>
          <w:szCs w:val="32"/>
        </w:rPr>
        <w:t>成交人不得在互联网上私搭乱建未经授权的包含采购人信息数据（包括但不限于南方电网及云南电网名称和logo等）的测试环境，不得擅自将未经测试通过的系统放在互联网测试环境中。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 w:hAnsi="仿宋" w:eastAsia="仿宋" w:cs="仿宋"/>
          <w:kern w:val="0"/>
          <w:sz w:val="32"/>
          <w:szCs w:val="32"/>
        </w:rPr>
      </w:pPr>
      <w:r>
        <w:rPr>
          <w:rFonts w:hint="eastAsia" w:ascii="仿宋" w:hAnsi="仿宋" w:eastAsia="仿宋" w:cs="仿宋"/>
          <w:sz w:val="32"/>
        </w:rPr>
        <w:t>７．</w:t>
      </w:r>
      <w:r>
        <w:rPr>
          <w:rFonts w:hint="eastAsia" w:ascii="仿宋" w:hAnsi="仿宋" w:eastAsia="仿宋" w:cs="仿宋"/>
          <w:kern w:val="0"/>
          <w:sz w:val="32"/>
          <w:szCs w:val="32"/>
        </w:rPr>
        <w:t>成交人应对其人员进行网络安全意识培训，签订网络安全责任书，敦促其清理在个人终端或发布在互联网上的同类系统源代码、网络拓扑、系统账号等敏感信息。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kern w:val="0"/>
          <w:sz w:val="32"/>
          <w:szCs w:val="32"/>
          <w:lang w:val="en-US" w:eastAsia="zh-CN"/>
        </w:rPr>
      </w:pPr>
      <w:r>
        <w:rPr>
          <w:rFonts w:hint="eastAsia" w:ascii="仿宋" w:hAnsi="仿宋" w:eastAsia="仿宋" w:cs="仿宋"/>
          <w:sz w:val="32"/>
        </w:rPr>
        <w:t>８．</w:t>
      </w:r>
      <w:r>
        <w:rPr>
          <w:rFonts w:hint="eastAsia" w:ascii="仿宋" w:hAnsi="仿宋" w:eastAsia="仿宋" w:cs="仿宋"/>
          <w:kern w:val="0"/>
          <w:sz w:val="32"/>
          <w:szCs w:val="32"/>
        </w:rPr>
        <w:t>成交人应遵循“谁经手，谁使用，谁管理，谁负责”的原则，确保在项目期间获取的数据不被非法访问、复制、使用、泄露或破坏。</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5NGE5MzUzODA2NmVhOGVmZTMzYWIzYzk3ZTgyYTMifQ=="/>
  </w:docVars>
  <w:rsids>
    <w:rsidRoot w:val="00000000"/>
    <w:rsid w:val="00207642"/>
    <w:rsid w:val="0062265E"/>
    <w:rsid w:val="009340FE"/>
    <w:rsid w:val="00F41947"/>
    <w:rsid w:val="00F97326"/>
    <w:rsid w:val="011B6BE9"/>
    <w:rsid w:val="019F3C7B"/>
    <w:rsid w:val="01EA0416"/>
    <w:rsid w:val="023163A7"/>
    <w:rsid w:val="027130A5"/>
    <w:rsid w:val="03635148"/>
    <w:rsid w:val="03BD1133"/>
    <w:rsid w:val="03EC4758"/>
    <w:rsid w:val="04F31679"/>
    <w:rsid w:val="05751733"/>
    <w:rsid w:val="05854D9A"/>
    <w:rsid w:val="05CE65D2"/>
    <w:rsid w:val="05FC6AF8"/>
    <w:rsid w:val="062043B6"/>
    <w:rsid w:val="063603A1"/>
    <w:rsid w:val="068B45FD"/>
    <w:rsid w:val="06960DEB"/>
    <w:rsid w:val="072C6ABF"/>
    <w:rsid w:val="07752148"/>
    <w:rsid w:val="07BB3B53"/>
    <w:rsid w:val="07C360A0"/>
    <w:rsid w:val="092E301A"/>
    <w:rsid w:val="09C32C91"/>
    <w:rsid w:val="0A274068"/>
    <w:rsid w:val="0AEC39F9"/>
    <w:rsid w:val="0AEE6EFC"/>
    <w:rsid w:val="0AF947F1"/>
    <w:rsid w:val="0B5D0834"/>
    <w:rsid w:val="0BD76E79"/>
    <w:rsid w:val="0C454FCC"/>
    <w:rsid w:val="0D2B4DA9"/>
    <w:rsid w:val="0D573EE2"/>
    <w:rsid w:val="0D5B4EBE"/>
    <w:rsid w:val="0D8F1A4E"/>
    <w:rsid w:val="0DF107ED"/>
    <w:rsid w:val="0E0306BC"/>
    <w:rsid w:val="0E3B40E5"/>
    <w:rsid w:val="0E9E6388"/>
    <w:rsid w:val="0ED0130B"/>
    <w:rsid w:val="0EEB20F5"/>
    <w:rsid w:val="0F4942A2"/>
    <w:rsid w:val="0F5735B8"/>
    <w:rsid w:val="0F6B2258"/>
    <w:rsid w:val="0FC72972"/>
    <w:rsid w:val="0FFD1E1F"/>
    <w:rsid w:val="10154C70"/>
    <w:rsid w:val="10284A85"/>
    <w:rsid w:val="119219E2"/>
    <w:rsid w:val="11B04AE7"/>
    <w:rsid w:val="11D70154"/>
    <w:rsid w:val="11EE40B7"/>
    <w:rsid w:val="121A40C0"/>
    <w:rsid w:val="12705343"/>
    <w:rsid w:val="12FB6EA5"/>
    <w:rsid w:val="13AC3411"/>
    <w:rsid w:val="14D10E8D"/>
    <w:rsid w:val="152D1B5C"/>
    <w:rsid w:val="15445871"/>
    <w:rsid w:val="157079BA"/>
    <w:rsid w:val="15BD1CB8"/>
    <w:rsid w:val="168911F6"/>
    <w:rsid w:val="16922F95"/>
    <w:rsid w:val="16963F8B"/>
    <w:rsid w:val="16AF0347"/>
    <w:rsid w:val="16BB4159"/>
    <w:rsid w:val="17243803"/>
    <w:rsid w:val="172B680D"/>
    <w:rsid w:val="1773582D"/>
    <w:rsid w:val="17B07EE9"/>
    <w:rsid w:val="17FD63B2"/>
    <w:rsid w:val="18181E97"/>
    <w:rsid w:val="195F2621"/>
    <w:rsid w:val="1968723B"/>
    <w:rsid w:val="1AAD7ABF"/>
    <w:rsid w:val="1B590214"/>
    <w:rsid w:val="1C801D6A"/>
    <w:rsid w:val="1D593F04"/>
    <w:rsid w:val="1E054E5F"/>
    <w:rsid w:val="1E4A7D3D"/>
    <w:rsid w:val="1F006E33"/>
    <w:rsid w:val="1F067C3C"/>
    <w:rsid w:val="1F4662D2"/>
    <w:rsid w:val="1F466CDC"/>
    <w:rsid w:val="1FA94802"/>
    <w:rsid w:val="1FB1638B"/>
    <w:rsid w:val="1FCA6F35"/>
    <w:rsid w:val="201247B4"/>
    <w:rsid w:val="203B3D71"/>
    <w:rsid w:val="20910E8A"/>
    <w:rsid w:val="20DF29CF"/>
    <w:rsid w:val="215E4812"/>
    <w:rsid w:val="2225407E"/>
    <w:rsid w:val="226247E8"/>
    <w:rsid w:val="22F741D0"/>
    <w:rsid w:val="23294643"/>
    <w:rsid w:val="2385122E"/>
    <w:rsid w:val="23A27905"/>
    <w:rsid w:val="23CC41E5"/>
    <w:rsid w:val="23DE3EE7"/>
    <w:rsid w:val="243548F6"/>
    <w:rsid w:val="25826A90"/>
    <w:rsid w:val="25AF017F"/>
    <w:rsid w:val="25B85CB3"/>
    <w:rsid w:val="25D9331C"/>
    <w:rsid w:val="25FF1417"/>
    <w:rsid w:val="26097CF4"/>
    <w:rsid w:val="26164E0B"/>
    <w:rsid w:val="262D6C2F"/>
    <w:rsid w:val="26FE7307"/>
    <w:rsid w:val="2701028C"/>
    <w:rsid w:val="274003FD"/>
    <w:rsid w:val="27A04912"/>
    <w:rsid w:val="27C97CD5"/>
    <w:rsid w:val="27E3087F"/>
    <w:rsid w:val="280142AF"/>
    <w:rsid w:val="282B0C73"/>
    <w:rsid w:val="28CA404F"/>
    <w:rsid w:val="28CB2D7B"/>
    <w:rsid w:val="28FE27FC"/>
    <w:rsid w:val="295D00EB"/>
    <w:rsid w:val="29924D42"/>
    <w:rsid w:val="29CE439D"/>
    <w:rsid w:val="29D8791A"/>
    <w:rsid w:val="29EB2B63"/>
    <w:rsid w:val="2A333847"/>
    <w:rsid w:val="2A42682A"/>
    <w:rsid w:val="2AEA2D75"/>
    <w:rsid w:val="2B305A68"/>
    <w:rsid w:val="2B470F10"/>
    <w:rsid w:val="2C1508A3"/>
    <w:rsid w:val="2CCB328B"/>
    <w:rsid w:val="2D136F02"/>
    <w:rsid w:val="2D323AEA"/>
    <w:rsid w:val="2D6F3D99"/>
    <w:rsid w:val="2D8F684C"/>
    <w:rsid w:val="2E0D711A"/>
    <w:rsid w:val="2E5F36A1"/>
    <w:rsid w:val="2E855ADF"/>
    <w:rsid w:val="2E876B6B"/>
    <w:rsid w:val="2EE361EA"/>
    <w:rsid w:val="2F0E3A4F"/>
    <w:rsid w:val="2F351B7A"/>
    <w:rsid w:val="2F4D5D42"/>
    <w:rsid w:val="30121DEE"/>
    <w:rsid w:val="308D3CB6"/>
    <w:rsid w:val="30A4073C"/>
    <w:rsid w:val="31622A14"/>
    <w:rsid w:val="31647844"/>
    <w:rsid w:val="31F36A80"/>
    <w:rsid w:val="326A58CB"/>
    <w:rsid w:val="32767059"/>
    <w:rsid w:val="333447AF"/>
    <w:rsid w:val="34017520"/>
    <w:rsid w:val="343A3288"/>
    <w:rsid w:val="34535FBC"/>
    <w:rsid w:val="346E1392"/>
    <w:rsid w:val="34A61EB8"/>
    <w:rsid w:val="356E011F"/>
    <w:rsid w:val="35740C40"/>
    <w:rsid w:val="35904FA3"/>
    <w:rsid w:val="35C41CC4"/>
    <w:rsid w:val="35E518B5"/>
    <w:rsid w:val="35EB640E"/>
    <w:rsid w:val="36EE26AB"/>
    <w:rsid w:val="37047539"/>
    <w:rsid w:val="37FC029E"/>
    <w:rsid w:val="38434688"/>
    <w:rsid w:val="38913E9C"/>
    <w:rsid w:val="390206CF"/>
    <w:rsid w:val="391C5F3C"/>
    <w:rsid w:val="39CE39CB"/>
    <w:rsid w:val="3A7E52C6"/>
    <w:rsid w:val="3AA54D45"/>
    <w:rsid w:val="3B02765D"/>
    <w:rsid w:val="3B882DB9"/>
    <w:rsid w:val="3BB62604"/>
    <w:rsid w:val="3BF072E6"/>
    <w:rsid w:val="3BF47FC4"/>
    <w:rsid w:val="3C7517FA"/>
    <w:rsid w:val="3D1620B8"/>
    <w:rsid w:val="3D2E6223"/>
    <w:rsid w:val="3D786213"/>
    <w:rsid w:val="3D884DDA"/>
    <w:rsid w:val="3DD51DB9"/>
    <w:rsid w:val="3EEC59CA"/>
    <w:rsid w:val="3EFB01E2"/>
    <w:rsid w:val="3F147E9D"/>
    <w:rsid w:val="3FF403FA"/>
    <w:rsid w:val="40225EA1"/>
    <w:rsid w:val="405055BA"/>
    <w:rsid w:val="408B1BF3"/>
    <w:rsid w:val="409D6EDF"/>
    <w:rsid w:val="40B03382"/>
    <w:rsid w:val="4125656E"/>
    <w:rsid w:val="41C52874"/>
    <w:rsid w:val="425659E6"/>
    <w:rsid w:val="42585666"/>
    <w:rsid w:val="425B65EB"/>
    <w:rsid w:val="43652320"/>
    <w:rsid w:val="439D5CFD"/>
    <w:rsid w:val="43A7080B"/>
    <w:rsid w:val="43CC2FC9"/>
    <w:rsid w:val="445709AF"/>
    <w:rsid w:val="44AE35BC"/>
    <w:rsid w:val="44D8697E"/>
    <w:rsid w:val="45794B1E"/>
    <w:rsid w:val="45C37881"/>
    <w:rsid w:val="45D3591D"/>
    <w:rsid w:val="46E92F23"/>
    <w:rsid w:val="472F5BD9"/>
    <w:rsid w:val="47C10E65"/>
    <w:rsid w:val="483B1F04"/>
    <w:rsid w:val="48CE6D90"/>
    <w:rsid w:val="491B3009"/>
    <w:rsid w:val="49EF4A50"/>
    <w:rsid w:val="4A244F71"/>
    <w:rsid w:val="4A283338"/>
    <w:rsid w:val="4A555101"/>
    <w:rsid w:val="4A6E5C81"/>
    <w:rsid w:val="4A7D7F75"/>
    <w:rsid w:val="4AB64CD2"/>
    <w:rsid w:val="4ACD18C8"/>
    <w:rsid w:val="4AF8018E"/>
    <w:rsid w:val="4B1B7449"/>
    <w:rsid w:val="4B4D5699"/>
    <w:rsid w:val="4B583122"/>
    <w:rsid w:val="4B6607C1"/>
    <w:rsid w:val="4BE1010B"/>
    <w:rsid w:val="4C1A533E"/>
    <w:rsid w:val="4CBD335A"/>
    <w:rsid w:val="4D406653"/>
    <w:rsid w:val="4D7C3730"/>
    <w:rsid w:val="4D7C592E"/>
    <w:rsid w:val="4E0730E1"/>
    <w:rsid w:val="4EDF1CF2"/>
    <w:rsid w:val="4FDC6ED7"/>
    <w:rsid w:val="507D3D1D"/>
    <w:rsid w:val="50E15FBF"/>
    <w:rsid w:val="513C2E56"/>
    <w:rsid w:val="517D5107"/>
    <w:rsid w:val="52F26CA4"/>
    <w:rsid w:val="535769C9"/>
    <w:rsid w:val="5389049C"/>
    <w:rsid w:val="53EB4CBE"/>
    <w:rsid w:val="53F25B78"/>
    <w:rsid w:val="5427381E"/>
    <w:rsid w:val="561B647D"/>
    <w:rsid w:val="562E6171"/>
    <w:rsid w:val="56486D1B"/>
    <w:rsid w:val="57F80C60"/>
    <w:rsid w:val="58661DFE"/>
    <w:rsid w:val="5874229D"/>
    <w:rsid w:val="58813143"/>
    <w:rsid w:val="59155BB5"/>
    <w:rsid w:val="594977F1"/>
    <w:rsid w:val="59831685"/>
    <w:rsid w:val="59990758"/>
    <w:rsid w:val="59F95A03"/>
    <w:rsid w:val="5A1B5462"/>
    <w:rsid w:val="5A1D0965"/>
    <w:rsid w:val="5A275ABC"/>
    <w:rsid w:val="5A780D03"/>
    <w:rsid w:val="5AA550D4"/>
    <w:rsid w:val="5B2A5F77"/>
    <w:rsid w:val="5B6F4A8F"/>
    <w:rsid w:val="5B933CF2"/>
    <w:rsid w:val="5C147BB2"/>
    <w:rsid w:val="5CAD799A"/>
    <w:rsid w:val="5CB36776"/>
    <w:rsid w:val="5CEF3C87"/>
    <w:rsid w:val="5D1510A6"/>
    <w:rsid w:val="5D475273"/>
    <w:rsid w:val="5D653419"/>
    <w:rsid w:val="5D8A1907"/>
    <w:rsid w:val="5D8B6A8A"/>
    <w:rsid w:val="5DB15A9B"/>
    <w:rsid w:val="5F0F1702"/>
    <w:rsid w:val="5F3C12CD"/>
    <w:rsid w:val="5F7C602D"/>
    <w:rsid w:val="5FA87B52"/>
    <w:rsid w:val="600B289F"/>
    <w:rsid w:val="60E31AA4"/>
    <w:rsid w:val="617D727E"/>
    <w:rsid w:val="61B433CE"/>
    <w:rsid w:val="61D14789"/>
    <w:rsid w:val="61E978B2"/>
    <w:rsid w:val="6219297F"/>
    <w:rsid w:val="6240283F"/>
    <w:rsid w:val="6271714B"/>
    <w:rsid w:val="62FE11C6"/>
    <w:rsid w:val="632927BC"/>
    <w:rsid w:val="63E63383"/>
    <w:rsid w:val="63E97635"/>
    <w:rsid w:val="644D291F"/>
    <w:rsid w:val="645F60D6"/>
    <w:rsid w:val="6480516E"/>
    <w:rsid w:val="64E32E12"/>
    <w:rsid w:val="6570177D"/>
    <w:rsid w:val="658039B4"/>
    <w:rsid w:val="658D7A28"/>
    <w:rsid w:val="65A30EB9"/>
    <w:rsid w:val="65EB4755"/>
    <w:rsid w:val="66862210"/>
    <w:rsid w:val="66FB559E"/>
    <w:rsid w:val="672429F3"/>
    <w:rsid w:val="67274D7C"/>
    <w:rsid w:val="6762412B"/>
    <w:rsid w:val="677F2228"/>
    <w:rsid w:val="67F56F1D"/>
    <w:rsid w:val="68812C43"/>
    <w:rsid w:val="68A67612"/>
    <w:rsid w:val="68C83514"/>
    <w:rsid w:val="690010E8"/>
    <w:rsid w:val="69070370"/>
    <w:rsid w:val="69DA0037"/>
    <w:rsid w:val="6A6C4E86"/>
    <w:rsid w:val="6A713A2E"/>
    <w:rsid w:val="6AC33838"/>
    <w:rsid w:val="6B92174A"/>
    <w:rsid w:val="6C7C2B89"/>
    <w:rsid w:val="6D0801EF"/>
    <w:rsid w:val="6D41164D"/>
    <w:rsid w:val="6DA04EEA"/>
    <w:rsid w:val="6DA6338C"/>
    <w:rsid w:val="6E7561C7"/>
    <w:rsid w:val="6E7977B4"/>
    <w:rsid w:val="6E8158A8"/>
    <w:rsid w:val="6F311FE1"/>
    <w:rsid w:val="6F6F47AC"/>
    <w:rsid w:val="6F7442C6"/>
    <w:rsid w:val="6FC871A1"/>
    <w:rsid w:val="6FCB6AF9"/>
    <w:rsid w:val="6FE86762"/>
    <w:rsid w:val="70F3671D"/>
    <w:rsid w:val="70F95EE6"/>
    <w:rsid w:val="71045D9A"/>
    <w:rsid w:val="71276EFB"/>
    <w:rsid w:val="71E074B6"/>
    <w:rsid w:val="72453285"/>
    <w:rsid w:val="72717CD1"/>
    <w:rsid w:val="73631061"/>
    <w:rsid w:val="73D13110"/>
    <w:rsid w:val="73E51DB1"/>
    <w:rsid w:val="744824D2"/>
    <w:rsid w:val="74844984"/>
    <w:rsid w:val="74D42813"/>
    <w:rsid w:val="75D9123E"/>
    <w:rsid w:val="76BC1837"/>
    <w:rsid w:val="76ED179B"/>
    <w:rsid w:val="778E76B4"/>
    <w:rsid w:val="77C16C09"/>
    <w:rsid w:val="77E138BA"/>
    <w:rsid w:val="7801636E"/>
    <w:rsid w:val="78235898"/>
    <w:rsid w:val="78661915"/>
    <w:rsid w:val="78BF551E"/>
    <w:rsid w:val="78F970F3"/>
    <w:rsid w:val="79840511"/>
    <w:rsid w:val="79F74888"/>
    <w:rsid w:val="7A3944D4"/>
    <w:rsid w:val="7A450B26"/>
    <w:rsid w:val="7A4B21AB"/>
    <w:rsid w:val="7A5E6ED0"/>
    <w:rsid w:val="7A672360"/>
    <w:rsid w:val="7A7C3F7D"/>
    <w:rsid w:val="7A8D479E"/>
    <w:rsid w:val="7AEF353D"/>
    <w:rsid w:val="7B5E7074"/>
    <w:rsid w:val="7BC6579F"/>
    <w:rsid w:val="7BDB7E1C"/>
    <w:rsid w:val="7C377670"/>
    <w:rsid w:val="7CEB1D25"/>
    <w:rsid w:val="7E0A24D6"/>
    <w:rsid w:val="7E2B50E7"/>
    <w:rsid w:val="7E2B6E02"/>
    <w:rsid w:val="7E327E17"/>
    <w:rsid w:val="7EF32454"/>
    <w:rsid w:val="7EFD07E5"/>
    <w:rsid w:val="7F664991"/>
    <w:rsid w:val="7F7D45B6"/>
    <w:rsid w:val="7FCF00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rFonts w:ascii="宋体" w:hAnsi="宋体"/>
      <w:color w:val="000000"/>
      <w:kern w:val="0"/>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6">
    <w:name w:val="footer"/>
    <w:basedOn w:val="1"/>
    <w:qFormat/>
    <w:uiPriority w:val="0"/>
    <w:pPr>
      <w:tabs>
        <w:tab w:val="center" w:pos="4153"/>
        <w:tab w:val="right" w:pos="8306"/>
      </w:tabs>
      <w:snapToGrid w:val="0"/>
      <w:spacing w:line="240" w:lineRule="atLeast"/>
      <w:jc w:val="left"/>
    </w:pPr>
    <w:rPr>
      <w:sz w:val="18"/>
    </w:rPr>
  </w:style>
  <w:style w:type="paragraph" w:styleId="7">
    <w:name w:val="header"/>
    <w:basedOn w:val="1"/>
    <w:qFormat/>
    <w:uiPriority w:val="0"/>
    <w:pPr>
      <w:pBdr>
        <w:bottom w:val="single" w:color="auto" w:sz="6" w:space="1"/>
      </w:pBdr>
      <w:tabs>
        <w:tab w:val="center" w:pos="4153"/>
        <w:tab w:val="right" w:pos="8306"/>
      </w:tabs>
      <w:snapToGrid w:val="0"/>
      <w:spacing w:line="240" w:lineRule="atLeast"/>
      <w:jc w:val="center"/>
    </w:pPr>
    <w:rPr>
      <w:sz w:val="18"/>
    </w:rPr>
  </w:style>
  <w:style w:type="paragraph" w:styleId="8">
    <w:name w:val="toc 1"/>
    <w:basedOn w:val="1"/>
    <w:next w:val="1"/>
    <w:qFormat/>
    <w:uiPriority w:val="39"/>
  </w:style>
  <w:style w:type="paragraph" w:styleId="9">
    <w:name w:val="toc 2"/>
    <w:basedOn w:val="1"/>
    <w:next w:val="1"/>
    <w:qFormat/>
    <w:uiPriority w:val="0"/>
    <w:pPr>
      <w:ind w:left="420" w:leftChars="200"/>
    </w:pPr>
  </w:style>
  <w:style w:type="paragraph" w:customStyle="1" w:styleId="12">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3">
    <w:name w:val="封面标题"/>
    <w:basedOn w:val="1"/>
    <w:qFormat/>
    <w:uiPriority w:val="0"/>
    <w:pPr>
      <w:jc w:val="center"/>
    </w:pPr>
    <w:rPr>
      <w:rFonts w:eastAsia="黑体"/>
      <w:sz w:val="48"/>
      <w:szCs w:val="20"/>
    </w:rPr>
  </w:style>
  <w:style w:type="character" w:customStyle="1" w:styleId="14">
    <w:name w:val="正文文本 + 非粗体"/>
    <w:basedOn w:val="15"/>
    <w:qFormat/>
    <w:uiPriority w:val="0"/>
    <w:rPr>
      <w:rFonts w:ascii="MingLiU" w:hAnsi="MingLiU" w:eastAsia="MingLiU" w:cs="MingLiU"/>
      <w:color w:val="000000"/>
      <w:spacing w:val="0"/>
      <w:w w:val="100"/>
      <w:position w:val="0"/>
      <w:sz w:val="20"/>
      <w:szCs w:val="20"/>
      <w:u w:val="none"/>
      <w:lang w:val="zh-TW"/>
    </w:rPr>
  </w:style>
  <w:style w:type="character" w:customStyle="1" w:styleId="15">
    <w:name w:val="正文文本_"/>
    <w:basedOn w:val="11"/>
    <w:link w:val="16"/>
    <w:qFormat/>
    <w:uiPriority w:val="0"/>
    <w:rPr>
      <w:rFonts w:ascii="MingLiU" w:hAnsi="MingLiU" w:eastAsia="MingLiU" w:cs="MingLiU"/>
      <w:b/>
      <w:bCs/>
      <w:sz w:val="20"/>
      <w:szCs w:val="20"/>
    </w:rPr>
  </w:style>
  <w:style w:type="paragraph" w:customStyle="1" w:styleId="16">
    <w:name w:val="正文文本1"/>
    <w:basedOn w:val="1"/>
    <w:link w:val="15"/>
    <w:qFormat/>
    <w:uiPriority w:val="0"/>
    <w:pPr>
      <w:shd w:val="clear" w:color="auto" w:fill="FFFFFF"/>
      <w:spacing w:before="780" w:line="0" w:lineRule="atLeast"/>
    </w:pPr>
    <w:rPr>
      <w:rFonts w:ascii="MingLiU" w:hAnsi="MingLiU" w:eastAsia="MingLiU" w:cs="MingLiU"/>
      <w:b/>
      <w:bCs/>
      <w:sz w:val="20"/>
      <w:szCs w:val="20"/>
    </w:rPr>
  </w:style>
  <w:style w:type="paragraph" w:styleId="17">
    <w:name w:val="List Paragraph"/>
    <w:basedOn w:val="1"/>
    <w:qFormat/>
    <w:uiPriority w:val="99"/>
    <w:pPr>
      <w:ind w:firstLine="420" w:firstLineChars="200"/>
    </w:pPr>
  </w:style>
  <w:style w:type="paragraph" w:customStyle="1" w:styleId="18">
    <w:name w:val="列表段落1"/>
    <w:semiHidden/>
    <w:qFormat/>
    <w:uiPriority w:val="0"/>
    <w:pPr>
      <w:widowControl w:val="0"/>
      <w:ind w:firstLine="420" w:firstLineChars="200"/>
      <w:jc w:val="both"/>
    </w:pPr>
    <w:rPr>
      <w:rFonts w:asciiTheme="minorHAnsi" w:hAnsiTheme="minorHAnsi" w:eastAsiaTheme="minorEastAsia" w:cstheme="minorBidi"/>
      <w:kern w:val="2"/>
      <w:sz w:val="21"/>
      <w:szCs w:val="24"/>
      <w:lang w:val="en-US" w:eastAsia="zh-CN" w:bidi="ar-SA"/>
    </w:rPr>
  </w:style>
  <w:style w:type="paragraph" w:customStyle="1" w:styleId="19">
    <w:name w:val="宋体小四正文"/>
    <w:basedOn w:val="1"/>
    <w:qFormat/>
    <w:uiPriority w:val="0"/>
    <w:pPr>
      <w:snapToGrid w:val="0"/>
      <w:spacing w:line="360" w:lineRule="auto"/>
      <w:ind w:firstLine="480" w:firstLineChars="200"/>
    </w:pPr>
    <w:rPr>
      <w:sz w:val="24"/>
      <w:szCs w:val="24"/>
    </w:rPr>
  </w:style>
  <w:style w:type="paragraph" w:customStyle="1" w:styleId="20">
    <w:name w:val="封面正文"/>
    <w:qFormat/>
    <w:uiPriority w:val="0"/>
    <w:pPr>
      <w:jc w:val="both"/>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2321</Words>
  <Characters>2458</Characters>
  <Lines>0</Lines>
  <Paragraphs>0</Paragraphs>
  <TotalTime>1</TotalTime>
  <ScaleCrop>false</ScaleCrop>
  <LinksUpToDate>false</LinksUpToDate>
  <CharactersWithSpaces>2546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喻立</cp:lastModifiedBy>
  <dcterms:modified xsi:type="dcterms:W3CDTF">2026-05-19T11:08:31Z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4329DE6771FE40A1AFE5219E773D1E90</vt:lpwstr>
  </property>
  <property fmtid="{D5CDD505-2E9C-101B-9397-08002B2CF9AE}" pid="4" name="WondersoftTag">
    <vt:lpwstr>C04B1B7B-EAA9-4DA0-8DFE-47F7FDC00700#2#C69FA997-152249D8-872C2C1A-B1BE23CE##0</vt:lpwstr>
  </property>
</Properties>
</file>