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52"/>
          <w:szCs w:val="52"/>
        </w:rPr>
      </w:pPr>
      <w:r>
        <w:rPr>
          <w:rFonts w:ascii="仿宋_GB2312" w:eastAsia="仿宋_GB231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137795</wp:posOffset>
                </wp:positionV>
                <wp:extent cx="5407660" cy="765175"/>
                <wp:effectExtent l="0" t="0" r="2540" b="15875"/>
                <wp:wrapNone/>
                <wp:docPr id="2" name="文本框 2"/>
                <wp:cNvGraphicFramePr/>
                <a:graphic xmlns:a="http://schemas.openxmlformats.org/drawingml/2006/main">
                  <a:graphicData uri="http://schemas.microsoft.com/office/word/2010/wordprocessingShape">
                    <wps:wsp>
                      <wps:cNvSpPr txBox="1"/>
                      <wps:spPr>
                        <a:xfrm>
                          <a:off x="0" y="0"/>
                          <a:ext cx="5407660" cy="765175"/>
                        </a:xfrm>
                        <a:prstGeom prst="rect">
                          <a:avLst/>
                        </a:prstGeom>
                        <a:solidFill>
                          <a:srgbClr val="FFFFFF"/>
                        </a:solidFill>
                        <a:ln>
                          <a:noFill/>
                        </a:ln>
                      </wps:spPr>
                      <wps:txbx>
                        <w:txbxContent>
                          <w:p>
                            <w:pPr>
                              <w:rPr>
                                <w:sz w:val="21"/>
                              </w:rPr>
                            </w:pPr>
                          </w:p>
                          <w:p/>
                        </w:txbxContent>
                      </wps:txbx>
                      <wps:bodyPr upright="1"/>
                    </wps:wsp>
                  </a:graphicData>
                </a:graphic>
              </wp:anchor>
            </w:drawing>
          </mc:Choice>
          <mc:Fallback>
            <w:pict>
              <v:shape id="_x0000_s1026" o:spid="_x0000_s1026" o:spt="202" type="#_x0000_t202" style="position:absolute;left:0pt;margin-left:0pt;margin-top:10.85pt;height:60.25pt;width:425.8pt;z-index:251659264;mso-width-relative:page;mso-height-relative:page;" fillcolor="#FFFFFF" filled="t" stroked="f" coordsize="21600,21600" o:gfxdata="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i2nKfVAAAABwEAAA8AAAAAAAAAAQAgAAAAIgAAAGRycy9kb3ducmV2LnhtbFBL&#10;AQIUABQAAAAIAIdO4kCYmgYOwAEAAHcDAAAOAAAAAAAAAAEAIAAAACQBAABkcnMvZTJvRG9jLnht&#10;bFBLBQYAAAAABgAGAFkBAABWBQAAAAA=&#10;">
                <v:fill on="t" focussize="0,0"/>
                <v:stroke on="f"/>
                <v:imagedata o:title=""/>
                <o:lock v:ext="edit" aspectratio="f"/>
                <v:textbox>
                  <w:txbxContent>
                    <w:p>
                      <w:pPr>
                        <w:rPr>
                          <w:sz w:val="21"/>
                        </w:rPr>
                      </w:pPr>
                    </w:p>
                    <w:p/>
                  </w:txbxContent>
                </v:textbox>
              </v:shape>
            </w:pict>
          </mc:Fallback>
        </mc:AlternateContent>
      </w:r>
    </w:p>
    <w:p>
      <w:pPr>
        <w:pStyle w:val="13"/>
        <w:numPr>
          <w:numId w:val="0"/>
        </w:numPr>
        <w:spacing w:line="360" w:lineRule="auto"/>
        <w:ind w:leftChars="0"/>
        <w:rPr>
          <w:rFonts w:ascii="Arial" w:hAnsi="Arial"/>
          <w:szCs w:val="24"/>
        </w:rPr>
      </w:pPr>
    </w:p>
    <w:p>
      <w:pPr>
        <w:spacing w:line="300" w:lineRule="exact"/>
        <w:rPr>
          <w:rFonts w:ascii="仿宋_GB2312" w:hAnsi="宋体" w:eastAsia="仿宋_GB2312"/>
          <w:b/>
          <w:sz w:val="28"/>
        </w:rPr>
      </w:pPr>
    </w:p>
    <w:p>
      <w:pPr>
        <w:spacing w:line="360" w:lineRule="auto"/>
        <w:rPr>
          <w:rFonts w:ascii="宋体" w:hAnsi="宋体" w:cs="宋体"/>
          <w:b/>
          <w:sz w:val="28"/>
          <w:szCs w:val="28"/>
        </w:rPr>
      </w:pPr>
      <w:r>
        <w:rPr>
          <w:rFonts w:hint="eastAsia" w:ascii="宋体" w:hAnsi="宋体" w:cs="宋体"/>
          <w:b/>
          <w:sz w:val="28"/>
          <w:szCs w:val="28"/>
        </w:rPr>
        <w:t>半包服务模式：</w:t>
      </w:r>
      <w:bookmarkStart w:id="0" w:name="_GoBack"/>
      <w:bookmarkEnd w:id="0"/>
    </w:p>
    <w:p>
      <w:pPr>
        <w:spacing w:line="640" w:lineRule="exact"/>
        <w:ind w:firstLine="560"/>
        <w:rPr>
          <w:rFonts w:ascii="宋体" w:hAnsi="宋体" w:cs="宋体"/>
          <w:sz w:val="28"/>
          <w:szCs w:val="28"/>
        </w:rPr>
      </w:pPr>
      <w:r>
        <w:rPr>
          <w:rFonts w:hint="eastAsia" w:ascii="宋体" w:hAnsi="宋体" w:cs="宋体"/>
          <w:sz w:val="28"/>
          <w:szCs w:val="28"/>
        </w:rPr>
        <w:t>负责有关车库用户的培训、维护保养、检修、针对性维修、技术咨询服务、维保过程中发生的辅料，针对半包服务模式：以上服务费包含技术服务费、设备日常维护及故障维修处理及承担150元以下车库运行过程中因零部件自然损耗或者损坏引起的更换、超过150元以上零配件需要甲方承担费购置配件的费用、不含人为损坏、外墙承插板、顶棚、钢架、外观油漆、载车台板完全损坏更换、人为因素造成（维保单位因素造成的除外）的设备损坏、车库内消防设施及甲方对本车库升级改造甲方负责。如设备需特种设备检验中心检测取得停车设备合格证，检测中心收取费用甲方负责。</w:t>
      </w:r>
    </w:p>
    <w:p>
      <w:pPr>
        <w:spacing w:line="640" w:lineRule="exact"/>
        <w:ind w:firstLine="560"/>
        <w:rPr>
          <w:rFonts w:ascii="宋体" w:hAnsi="宋体" w:cs="宋体"/>
          <w:sz w:val="28"/>
          <w:szCs w:val="28"/>
        </w:rPr>
      </w:pPr>
    </w:p>
    <w:p>
      <w:pPr>
        <w:spacing w:line="360" w:lineRule="auto"/>
        <w:rPr>
          <w:rFonts w:ascii="宋体" w:hAnsi="宋体" w:cs="宋体"/>
          <w:b/>
          <w:sz w:val="28"/>
          <w:szCs w:val="28"/>
        </w:rPr>
      </w:pPr>
      <w:r>
        <w:rPr>
          <w:rFonts w:hint="eastAsia" w:ascii="宋体" w:hAnsi="宋体" w:cs="宋体"/>
          <w:b/>
          <w:sz w:val="28"/>
          <w:szCs w:val="28"/>
        </w:rPr>
        <w:t>日常维护保养时间与内容：</w:t>
      </w:r>
    </w:p>
    <w:p>
      <w:pPr>
        <w:spacing w:line="480" w:lineRule="exact"/>
        <w:ind w:firstLine="560" w:firstLineChars="200"/>
        <w:rPr>
          <w:rFonts w:ascii="宋体" w:hAnsi="宋体" w:cs="宋体"/>
          <w:sz w:val="28"/>
          <w:szCs w:val="28"/>
        </w:rPr>
      </w:pPr>
      <w:r>
        <w:rPr>
          <w:rFonts w:hint="eastAsia" w:ascii="宋体" w:hAnsi="宋体" w:cs="宋体"/>
          <w:sz w:val="28"/>
          <w:szCs w:val="28"/>
        </w:rPr>
        <w:t>以下所有的检查、保养和维修均由</w:t>
      </w:r>
      <w:r>
        <w:rPr>
          <w:rFonts w:hint="eastAsia" w:ascii="宋体" w:hAnsi="宋体" w:cs="宋体"/>
          <w:sz w:val="28"/>
          <w:szCs w:val="28"/>
          <w:lang w:val="en-US" w:eastAsia="zh-CN"/>
        </w:rPr>
        <w:t>维保单位</w:t>
      </w:r>
      <w:r>
        <w:rPr>
          <w:rFonts w:hint="eastAsia" w:ascii="宋体" w:hAnsi="宋体" w:cs="宋体"/>
          <w:sz w:val="28"/>
          <w:szCs w:val="28"/>
        </w:rPr>
        <w:t>的专业维护人员负责：</w:t>
      </w:r>
    </w:p>
    <w:p>
      <w:pPr>
        <w:spacing w:line="480" w:lineRule="exact"/>
        <w:ind w:firstLine="560" w:firstLineChars="200"/>
        <w:rPr>
          <w:rFonts w:ascii="宋体" w:hAnsi="宋体" w:cs="宋体"/>
          <w:sz w:val="28"/>
          <w:szCs w:val="28"/>
        </w:rPr>
      </w:pPr>
      <w:r>
        <w:rPr>
          <w:rFonts w:hint="eastAsia" w:ascii="宋体" w:hAnsi="宋体" w:cs="宋体"/>
          <w:sz w:val="28"/>
          <w:szCs w:val="28"/>
        </w:rPr>
        <w:t>1、月检查保养：</w:t>
      </w:r>
    </w:p>
    <w:p>
      <w:pPr>
        <w:spacing w:line="480" w:lineRule="exact"/>
        <w:ind w:firstLine="560" w:firstLineChars="200"/>
        <w:rPr>
          <w:rFonts w:ascii="宋体" w:hAnsi="宋体" w:cs="宋体"/>
          <w:sz w:val="28"/>
          <w:szCs w:val="28"/>
        </w:rPr>
      </w:pPr>
      <w:r>
        <w:rPr>
          <w:rFonts w:hint="eastAsia" w:ascii="宋体" w:hAnsi="宋体" w:cs="宋体"/>
          <w:sz w:val="28"/>
          <w:szCs w:val="28"/>
        </w:rPr>
        <w:t>车库及其安全设施间隔半个月内，应进行一次清洁、润滑、调整和检查。尤其应对车库的主要安全装置的工作状况及电气控制系统的工作状态，作一次仔细的观察，发现问题及时处理。对各润滑部位进行一次检查，视需补油。</w:t>
      </w:r>
    </w:p>
    <w:p>
      <w:pPr>
        <w:spacing w:line="480" w:lineRule="exact"/>
        <w:ind w:firstLine="560" w:firstLineChars="200"/>
        <w:rPr>
          <w:rFonts w:ascii="宋体" w:hAnsi="宋体" w:cs="宋体"/>
          <w:sz w:val="28"/>
          <w:szCs w:val="28"/>
        </w:rPr>
      </w:pPr>
      <w:r>
        <w:rPr>
          <w:rFonts w:hint="eastAsia" w:ascii="宋体" w:hAnsi="宋体" w:cs="宋体"/>
          <w:sz w:val="28"/>
          <w:szCs w:val="28"/>
        </w:rPr>
        <w:t>2、季度检查保养：</w:t>
      </w:r>
    </w:p>
    <w:p>
      <w:pPr>
        <w:spacing w:line="480" w:lineRule="exact"/>
        <w:ind w:firstLine="560" w:firstLineChars="200"/>
        <w:rPr>
          <w:rFonts w:ascii="宋体" w:hAnsi="宋体" w:cs="宋体"/>
          <w:sz w:val="24"/>
          <w:szCs w:val="24"/>
        </w:rPr>
      </w:pPr>
      <w:r>
        <w:rPr>
          <w:rFonts w:hint="eastAsia" w:ascii="宋体" w:hAnsi="宋体" w:cs="宋体"/>
          <w:sz w:val="28"/>
          <w:szCs w:val="28"/>
        </w:rPr>
        <w:t>应对车库各传动部分（牵引机、平移链条、定位锁、平移滑板、导向轮、导引轨等）进行全面检查，并进行必要的调整与维修。对各安全装置进行必要的调整。对电气控制系统进行工作情况。</w:t>
      </w:r>
    </w:p>
    <w:p>
      <w:pPr>
        <w:spacing w:line="480" w:lineRule="exact"/>
        <w:ind w:firstLine="560" w:firstLineChars="200"/>
        <w:rPr>
          <w:rFonts w:ascii="宋体" w:hAnsi="宋体" w:cs="宋体"/>
          <w:sz w:val="28"/>
          <w:szCs w:val="28"/>
        </w:rPr>
      </w:pPr>
      <w:r>
        <w:rPr>
          <w:rFonts w:hint="eastAsia" w:ascii="宋体" w:hAnsi="宋体" w:cs="宋体"/>
          <w:sz w:val="28"/>
          <w:szCs w:val="28"/>
        </w:rPr>
        <w:t>3、年度检查保养：</w:t>
      </w:r>
    </w:p>
    <w:p>
      <w:pPr>
        <w:spacing w:line="480" w:lineRule="exact"/>
        <w:ind w:firstLine="560" w:firstLineChars="200"/>
        <w:rPr>
          <w:rFonts w:ascii="宋体" w:hAnsi="宋体" w:cs="宋体"/>
          <w:sz w:val="28"/>
          <w:szCs w:val="28"/>
        </w:rPr>
      </w:pPr>
      <w:r>
        <w:rPr>
          <w:rFonts w:hint="eastAsia" w:ascii="宋体" w:hAnsi="宋体" w:cs="宋体"/>
          <w:sz w:val="28"/>
          <w:szCs w:val="28"/>
        </w:rPr>
        <w:t>每年应对维修保养的车库进行一次检测。年度检测由维修保养企业的安全员实施并签署检测报告，应作一次全面性的技术检查（包括接地及电器耐压等），并对车库的工作状态做出评价，制订年保养计划。修理及更换磨损的主要部件。</w:t>
      </w:r>
    </w:p>
    <w:p>
      <w:pPr>
        <w:spacing w:line="480" w:lineRule="exact"/>
        <w:ind w:firstLine="560" w:firstLineChars="200"/>
        <w:rPr>
          <w:rFonts w:ascii="宋体" w:hAnsi="宋体" w:cs="宋体"/>
          <w:sz w:val="28"/>
          <w:szCs w:val="28"/>
        </w:rPr>
      </w:pPr>
      <w:r>
        <w:rPr>
          <w:rFonts w:hint="eastAsia" w:ascii="宋体" w:hAnsi="宋体" w:cs="宋体"/>
          <w:sz w:val="28"/>
          <w:szCs w:val="28"/>
        </w:rPr>
        <w:t>4、临时检查保养：</w:t>
      </w:r>
    </w:p>
    <w:p>
      <w:pPr>
        <w:spacing w:line="480" w:lineRule="exact"/>
        <w:ind w:firstLine="560" w:firstLineChars="200"/>
        <w:rPr>
          <w:rFonts w:ascii="宋体" w:hAnsi="宋体" w:cs="宋体"/>
          <w:sz w:val="28"/>
          <w:szCs w:val="28"/>
        </w:rPr>
      </w:pPr>
      <w:r>
        <w:rPr>
          <w:rFonts w:hint="eastAsia" w:ascii="宋体" w:hAnsi="宋体" w:cs="宋体"/>
          <w:sz w:val="28"/>
          <w:szCs w:val="28"/>
        </w:rPr>
        <w:t>在车库停用较长时间及地震、火灾后，需进行全面性的详细检查才能投入使用。</w:t>
      </w:r>
    </w:p>
    <w:p>
      <w:pPr>
        <w:spacing w:line="480" w:lineRule="exact"/>
        <w:ind w:firstLine="560" w:firstLineChars="200"/>
        <w:rPr>
          <w:rFonts w:ascii="仿宋_GB2312" w:hAnsi="宋体" w:eastAsia="仿宋_GB2312"/>
          <w:sz w:val="28"/>
          <w:szCs w:val="28"/>
        </w:rPr>
      </w:pPr>
      <w:r>
        <w:rPr>
          <w:rFonts w:hint="eastAsia" w:ascii="宋体" w:hAnsi="宋体" w:cs="宋体"/>
          <w:sz w:val="28"/>
          <w:szCs w:val="28"/>
        </w:rPr>
        <w:t>车库每隔五年必须进行一次负荷校试验，负荷校调试验由安全员实施并签署试验报告</w:t>
      </w:r>
      <w:r>
        <w:rPr>
          <w:rFonts w:hint="eastAsia" w:ascii="仿宋_GB2312" w:hAnsi="宋体" w:eastAsia="仿宋_GB2312"/>
          <w:sz w:val="28"/>
          <w:szCs w:val="28"/>
        </w:rPr>
        <w:t>。</w:t>
      </w:r>
    </w:p>
    <w:p>
      <w:pPr>
        <w:jc w:val="center"/>
        <w:rPr>
          <w:rFonts w:ascii="黑体" w:hAnsi="黑体" w:eastAsia="黑体"/>
          <w:b/>
          <w:bCs/>
          <w:snapToGrid w:val="0"/>
          <w:kern w:val="0"/>
          <w:sz w:val="36"/>
          <w:szCs w:val="36"/>
        </w:rPr>
      </w:pPr>
    </w:p>
    <w:p>
      <w:pPr>
        <w:ind w:firstLine="1807" w:firstLineChars="500"/>
        <w:jc w:val="both"/>
        <w:rPr>
          <w:rFonts w:ascii="黑体" w:hAnsi="黑体" w:eastAsia="黑体"/>
          <w:b/>
          <w:bCs/>
          <w:snapToGrid w:val="0"/>
          <w:kern w:val="0"/>
          <w:sz w:val="36"/>
          <w:szCs w:val="36"/>
        </w:rPr>
      </w:pPr>
      <w:r>
        <w:rPr>
          <w:rFonts w:hint="eastAsia" w:ascii="黑体" w:hAnsi="黑体" w:eastAsia="黑体"/>
          <w:b/>
          <w:bCs/>
          <w:snapToGrid w:val="0"/>
          <w:kern w:val="0"/>
          <w:sz w:val="36"/>
          <w:szCs w:val="36"/>
        </w:rPr>
        <w:t>升降横移机械式停车设备保养工作单</w:t>
      </w:r>
    </w:p>
    <w:tbl>
      <w:tblPr>
        <w:tblStyle w:val="7"/>
        <w:tblW w:w="95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5443"/>
        <w:gridCol w:w="706"/>
        <w:gridCol w:w="846"/>
        <w:gridCol w:w="706"/>
        <w:gridCol w:w="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6625" w:type="dxa"/>
            <w:gridSpan w:val="2"/>
            <w:vMerge w:val="restart"/>
            <w:vAlign w:val="center"/>
          </w:tcPr>
          <w:p>
            <w:pPr>
              <w:jc w:val="center"/>
              <w:rPr>
                <w:rFonts w:ascii="宋体" w:hAnsi="宋体"/>
                <w:b/>
                <w:szCs w:val="21"/>
              </w:rPr>
            </w:pPr>
            <w:r>
              <w:rPr>
                <w:rFonts w:hint="eastAsia" w:ascii="宋体" w:hAnsi="宋体"/>
                <w:b/>
                <w:szCs w:val="21"/>
              </w:rPr>
              <w:t>保养项目</w:t>
            </w:r>
          </w:p>
        </w:tc>
        <w:tc>
          <w:tcPr>
            <w:tcW w:w="2964" w:type="dxa"/>
            <w:gridSpan w:val="4"/>
            <w:vAlign w:val="center"/>
          </w:tcPr>
          <w:p>
            <w:pPr>
              <w:jc w:val="center"/>
              <w:rPr>
                <w:rFonts w:ascii="宋体" w:hAnsi="宋体"/>
                <w:szCs w:val="21"/>
              </w:rPr>
            </w:pPr>
            <w:r>
              <w:rPr>
                <w:rFonts w:hint="eastAsia" w:ascii="宋体" w:hAnsi="宋体"/>
                <w:b/>
                <w:szCs w:val="21"/>
              </w:rPr>
              <w:t>保养内容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6625" w:type="dxa"/>
            <w:gridSpan w:val="2"/>
            <w:vMerge w:val="continue"/>
          </w:tcPr>
          <w:p>
            <w:pPr>
              <w:rPr>
                <w:rFonts w:ascii="宋体" w:hAnsi="宋体"/>
                <w:szCs w:val="21"/>
              </w:rPr>
            </w:pPr>
          </w:p>
        </w:tc>
        <w:tc>
          <w:tcPr>
            <w:tcW w:w="706" w:type="dxa"/>
            <w:vAlign w:val="center"/>
          </w:tcPr>
          <w:p>
            <w:pPr>
              <w:jc w:val="center"/>
              <w:rPr>
                <w:rFonts w:ascii="宋体" w:hAnsi="宋体"/>
                <w:szCs w:val="21"/>
              </w:rPr>
            </w:pPr>
            <w:r>
              <w:rPr>
                <w:rFonts w:hint="eastAsia" w:ascii="宋体" w:hAnsi="宋体"/>
                <w:szCs w:val="21"/>
              </w:rPr>
              <w:t>检查时间</w:t>
            </w:r>
          </w:p>
        </w:tc>
        <w:tc>
          <w:tcPr>
            <w:tcW w:w="846" w:type="dxa"/>
            <w:tcBorders>
              <w:bottom w:val="single" w:color="auto" w:sz="4" w:space="0"/>
            </w:tcBorders>
            <w:vAlign w:val="center"/>
          </w:tcPr>
          <w:p>
            <w:pPr>
              <w:jc w:val="center"/>
              <w:rPr>
                <w:rFonts w:ascii="宋体" w:hAnsi="宋体"/>
                <w:szCs w:val="21"/>
              </w:rPr>
            </w:pPr>
            <w:r>
              <w:rPr>
                <w:rFonts w:hint="eastAsia" w:ascii="宋体" w:hAnsi="宋体"/>
                <w:b/>
                <w:szCs w:val="21"/>
              </w:rPr>
              <w:t>★</w:t>
            </w:r>
          </w:p>
        </w:tc>
        <w:tc>
          <w:tcPr>
            <w:tcW w:w="706" w:type="dxa"/>
            <w:tcBorders>
              <w:bottom w:val="single" w:color="auto" w:sz="4" w:space="0"/>
            </w:tcBorders>
            <w:vAlign w:val="center"/>
          </w:tcPr>
          <w:p>
            <w:pPr>
              <w:jc w:val="center"/>
              <w:rPr>
                <w:rFonts w:ascii="宋体" w:hAnsi="宋体"/>
                <w:szCs w:val="21"/>
              </w:rPr>
            </w:pPr>
            <w:r>
              <w:rPr>
                <w:rFonts w:hint="eastAsia" w:ascii="宋体" w:hAnsi="宋体"/>
                <w:b/>
                <w:szCs w:val="21"/>
              </w:rPr>
              <w:t>●</w:t>
            </w:r>
          </w:p>
        </w:tc>
        <w:tc>
          <w:tcPr>
            <w:tcW w:w="706" w:type="dxa"/>
            <w:tcBorders>
              <w:bottom w:val="single" w:color="auto" w:sz="4" w:space="0"/>
            </w:tcBorders>
            <w:vAlign w:val="center"/>
          </w:tcPr>
          <w:p>
            <w:pPr>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7" w:hRule="atLeast"/>
        </w:trPr>
        <w:tc>
          <w:tcPr>
            <w:tcW w:w="1182" w:type="dxa"/>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光电开关</w:t>
            </w:r>
          </w:p>
        </w:tc>
        <w:tc>
          <w:tcPr>
            <w:tcW w:w="5443" w:type="dxa"/>
            <w:shd w:val="clear" w:color="auto" w:fill="auto"/>
          </w:tcPr>
          <w:p>
            <w:pPr>
              <w:ind w:right="-223" w:rightChars="-106" w:firstLine="210" w:firstLineChars="100"/>
              <w:rPr>
                <w:rFonts w:ascii="楷体_GB2312" w:hAnsi="宋体" w:eastAsia="楷体_GB2312"/>
                <w:szCs w:val="21"/>
              </w:rPr>
            </w:pPr>
            <w:r>
              <w:rPr>
                <w:rFonts w:hint="eastAsia" w:ascii="楷体_GB2312" w:hAnsi="宋体" w:eastAsia="楷体_GB2312"/>
                <w:szCs w:val="21"/>
              </w:rPr>
              <w:t>检测光电开关是否定位可靠、无松动，阻光测试是否正常</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color w:val="FFFFFF"/>
                <w:szCs w:val="21"/>
                <w:bdr w:val="single" w:color="auto" w:sz="4" w:space="0"/>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安全挂钩</w:t>
            </w: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1、检查挂钩打开与吊环距离（闭合后钩合量≥20mm，张开后安全间隙≥10-15mm）</w:t>
            </w:r>
          </w:p>
        </w:tc>
        <w:tc>
          <w:tcPr>
            <w:tcW w:w="706" w:type="dxa"/>
            <w:tcBorders>
              <w:bottom w:val="single" w:color="auto" w:sz="4" w:space="0"/>
            </w:tcBorders>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2、检查传动连杆机构的动作（应动作灵活,应无卡滞现象，无锈蚀）</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3、检查传动机构的紧固件（应紧固,无松动现象）</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4、检查挂钩运转情况（应运转自如）</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5、检查各回转件的润滑（加适量润滑油润滑）</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6、检查机械（电磁铁）安全挂钩(应动作灵敏，可靠）</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电动机</w:t>
            </w: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1、检查电机运转情况（运转应无异常响声，轴向有无窜动）</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2、检查电机固定螺栓（应紧固，无松动现象）</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减速机</w:t>
            </w: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1、检查减速箱运转情况（运转无异常声）</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2、检查减速箱外部情节情况（减速箱外部应清洁）</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3、检查减速箱油位（是否正常）</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升降系统</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1、链条(钢丝绳)检查（外观正常，无失效情况，润滑正常）</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tcPr>
          <w:p>
            <w:pPr>
              <w:pStyle w:val="6"/>
              <w:pBdr>
                <w:bottom w:val="none" w:color="auto" w:sz="0" w:space="0"/>
              </w:pBdr>
              <w:tabs>
                <w:tab w:val="clear" w:pos="4153"/>
                <w:tab w:val="clear" w:pos="8306"/>
              </w:tabs>
              <w:snapToGrid/>
              <w:rPr>
                <w:rFonts w:ascii="宋体" w:hAnsi="宋体"/>
                <w:sz w:val="21"/>
                <w:szCs w:val="21"/>
              </w:rPr>
            </w:pPr>
          </w:p>
        </w:tc>
        <w:tc>
          <w:tcPr>
            <w:tcW w:w="706" w:type="dxa"/>
            <w:shd w:val="clear" w:color="auto" w:fill="FFFFFF"/>
          </w:tcPr>
          <w:p>
            <w:pPr>
              <w:pStyle w:val="6"/>
              <w:pBdr>
                <w:bottom w:val="none" w:color="auto" w:sz="0" w:space="0"/>
              </w:pBdr>
              <w:tabs>
                <w:tab w:val="clear" w:pos="4153"/>
                <w:tab w:val="clear" w:pos="8306"/>
              </w:tabs>
              <w:snapToGrid/>
              <w:rPr>
                <w:rFonts w:ascii="宋体" w:hAnsi="宋体"/>
                <w:sz w:val="21"/>
                <w:szCs w:val="21"/>
              </w:rPr>
            </w:pPr>
          </w:p>
        </w:tc>
        <w:tc>
          <w:tcPr>
            <w:tcW w:w="706" w:type="dxa"/>
            <w:shd w:val="clear" w:color="auto" w:fill="FFFFFF"/>
            <w:vAlign w:val="center"/>
          </w:tcPr>
          <w:p>
            <w:pPr>
              <w:pStyle w:val="6"/>
              <w:jc w:val="both"/>
              <w:rPr>
                <w:rFonts w:ascii="宋体" w:hAnsi="宋体"/>
                <w:sz w:val="21"/>
                <w:szCs w:val="21"/>
                <w:u w:val="single" w:color="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2、链条(钢丝绳)两连接端连接检查（连接可靠，无松动）</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tcPr>
          <w:p>
            <w:pPr>
              <w:jc w:val="center"/>
              <w:rPr>
                <w:rFonts w:ascii="宋体" w:hAnsi="宋体"/>
                <w:szCs w:val="21"/>
              </w:rPr>
            </w:pPr>
          </w:p>
        </w:tc>
        <w:tc>
          <w:tcPr>
            <w:tcW w:w="706" w:type="dxa"/>
            <w:shd w:val="clear" w:color="auto" w:fill="FFFFFF"/>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3、链轮检查（固定可靠，转动灵活，转动时无异常声音）</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tcPr>
          <w:p>
            <w:pPr>
              <w:jc w:val="center"/>
              <w:rPr>
                <w:rFonts w:ascii="宋体" w:hAnsi="宋体"/>
                <w:szCs w:val="21"/>
              </w:rPr>
            </w:pPr>
          </w:p>
        </w:tc>
        <w:tc>
          <w:tcPr>
            <w:tcW w:w="706" w:type="dxa"/>
            <w:shd w:val="clear" w:color="auto" w:fill="FFFFFF"/>
          </w:tcPr>
          <w:p>
            <w:pPr>
              <w:jc w:val="center"/>
              <w:rPr>
                <w:rFonts w:ascii="宋体" w:hAnsi="宋体"/>
                <w:szCs w:val="21"/>
              </w:rPr>
            </w:pPr>
          </w:p>
        </w:tc>
        <w:tc>
          <w:tcPr>
            <w:tcW w:w="706" w:type="dxa"/>
            <w:tcBorders>
              <w:top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4、平衡链检查（链条表面无锈蚀，两端固定牢固，升降时无明显抖动及异常声音）</w:t>
            </w:r>
          </w:p>
        </w:tc>
        <w:tc>
          <w:tcPr>
            <w:tcW w:w="706" w:type="dxa"/>
            <w:tcBorders>
              <w:bottom w:val="single" w:color="auto" w:sz="4" w:space="0"/>
            </w:tcBorders>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5、传动轴承检查（固定牢固，无裂纹，润滑正常）</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6、检查链条(钢丝绳)，清除油泥，涂刷润滑油</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7、传动轴带座轴承检查，加注润滑油（脂）</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8、检查尼龙托辊转动，磨损情况（尼龙托辊转动灵活，磨损深度≥2mm）</w:t>
            </w:r>
          </w:p>
        </w:tc>
        <w:tc>
          <w:tcPr>
            <w:tcW w:w="706" w:type="dxa"/>
            <w:shd w:val="clear" w:color="auto" w:fill="FFFFFF"/>
            <w:vAlign w:val="center"/>
          </w:tcPr>
          <w:p>
            <w:pPr>
              <w:jc w:val="center"/>
              <w:rPr>
                <w:rFonts w:ascii="宋体" w:hAnsi="宋体"/>
                <w:color w:val="FFFFFF"/>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9、查检升降载车板各连接紧固件（应紧固，无松动现象）</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jc w:val="center"/>
              <w:rPr>
                <w:rFonts w:ascii="楷体_GB2312" w:hAnsi="宋体" w:eastAsia="楷体_GB2312"/>
                <w:b/>
                <w:szCs w:val="21"/>
              </w:rPr>
            </w:pPr>
            <w:r>
              <w:rPr>
                <w:rFonts w:hint="eastAsia" w:ascii="楷体_GB2312" w:hAnsi="宋体" w:eastAsia="楷体_GB2312"/>
                <w:b/>
                <w:bCs/>
                <w:szCs w:val="21"/>
              </w:rPr>
              <w:t>横移</w:t>
            </w:r>
            <w:r>
              <w:rPr>
                <w:rFonts w:hint="eastAsia" w:ascii="楷体_GB2312" w:hAnsi="宋体" w:eastAsia="楷体_GB2312"/>
                <w:b/>
                <w:szCs w:val="21"/>
              </w:rPr>
              <w:t>系统</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1、移动检查、调整横移行程开关碰块</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2、检查横移电机制动力，并做相应调整</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3、检查横移电机，清理多余油泥，加注润滑油（脂），调整齿轮啮合间隙</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4、移动检查、调整横移行程开关碰块，横移行走轮加注润滑油，同时检查轴承工作情况，发现有异常声音时应分解检查</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5、检查调整限位支架</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6、查检横移载车板各连接紧固件（应紧固，无松动现象）</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导轨</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1、检查导轨紧固件（各紧固螺栓应锁紧）</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2、检查保养导轨面（导轨面应无磨损，凹坑，无绣迹）</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restart"/>
            <w:shd w:val="clear" w:color="auto" w:fill="auto"/>
            <w:vAlign w:val="center"/>
          </w:tcPr>
          <w:p>
            <w:pPr>
              <w:snapToGrid w:val="0"/>
              <w:ind w:firstLine="105" w:firstLineChars="50"/>
              <w:jc w:val="center"/>
              <w:rPr>
                <w:rFonts w:ascii="楷体_GB2312" w:hAnsi="宋体" w:eastAsia="楷体_GB2312"/>
                <w:b/>
                <w:szCs w:val="21"/>
              </w:rPr>
            </w:pPr>
            <w:r>
              <w:rPr>
                <w:rFonts w:hint="eastAsia" w:ascii="楷体_GB2312" w:hAnsi="宋体" w:eastAsia="楷体_GB2312"/>
                <w:b/>
                <w:szCs w:val="21"/>
              </w:rPr>
              <w:t>钢结构</w:t>
            </w: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1、钢结构外观检查（无污损、无明显变形及涂层脱落、无焊缝开裂，涂层脱落及锈蚀部位进行维修）</w:t>
            </w:r>
          </w:p>
        </w:tc>
        <w:tc>
          <w:tcPr>
            <w:tcW w:w="706" w:type="dxa"/>
            <w:tcBorders>
              <w:bottom w:val="single" w:color="auto" w:sz="4" w:space="0"/>
            </w:tcBorders>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2、地脚检查（紧固，无松动）</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3、清理钢结构表面油污</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b/>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4、每组车库抽查2-3个间口，测量后柱柱间距及垂直度</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182" w:type="dxa"/>
            <w:vMerge w:val="restart"/>
            <w:shd w:val="clear" w:color="auto" w:fill="auto"/>
            <w:vAlign w:val="center"/>
          </w:tcPr>
          <w:p>
            <w:pPr>
              <w:snapToGrid w:val="0"/>
              <w:jc w:val="center"/>
              <w:rPr>
                <w:rFonts w:ascii="楷体_GB2312" w:hAnsi="宋体" w:eastAsia="楷体_GB2312"/>
                <w:b/>
                <w:szCs w:val="21"/>
              </w:rPr>
            </w:pPr>
            <w:r>
              <w:rPr>
                <w:rFonts w:hint="eastAsia" w:ascii="楷体_GB2312" w:hAnsi="宋体" w:eastAsia="楷体_GB2312"/>
                <w:b/>
                <w:szCs w:val="21"/>
              </w:rPr>
              <w:t>电气系统</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1、清扫电控柜，操作面板等各电气部件（各电气表面应无灰尘）</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2、紧固各端子板的压线螺栓（螺栓应紧固，无松动）</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3、检查接触器继电器的动作（应灵敏可靠无异常响声）</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tcBorders>
              <w:bottom w:val="single" w:color="auto" w:sz="4" w:space="0"/>
            </w:tcBorders>
            <w:shd w:val="clear" w:color="auto" w:fill="FFFFFF"/>
            <w:vAlign w:val="center"/>
          </w:tcPr>
          <w:p>
            <w:pPr>
              <w:jc w:val="center"/>
              <w:rPr>
                <w:rFonts w:ascii="宋体" w:hAnsi="宋体"/>
                <w:szCs w:val="21"/>
              </w:rPr>
            </w:pPr>
          </w:p>
        </w:tc>
        <w:tc>
          <w:tcPr>
            <w:tcW w:w="706" w:type="dxa"/>
            <w:tcBorders>
              <w:bottom w:val="single" w:color="auto" w:sz="4" w:space="0"/>
            </w:tcBorders>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4、检查接触器继电器的接点（应无打火，积炭，熔焊现象）</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5、检查熔断器，熔断体的情况（各熔断器，熔断体应无发热老化的痕迹）</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6、检查各电气元件和指示器（应正常，无不灵敏和损坏的）</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7、检查相序保护器（动作应灵敏，可靠）</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8、检查极限开关（动作应灵敏，可靠）</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9、检查上、下限位开关（动作应灵敏，可靠）</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10、检查横移台板平移限位开关（动作应灵敏，可靠）</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11、检查各电线，电缆的外表面（有无老化，无损伤）</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rPr>
                <w:rFonts w:ascii="楷体_GB2312" w:hAnsi="宋体" w:eastAsia="楷体_GB2312"/>
                <w:szCs w:val="21"/>
              </w:rPr>
            </w:pPr>
            <w:r>
              <w:rPr>
                <w:rFonts w:hint="eastAsia" w:ascii="楷体_GB2312" w:hAnsi="宋体" w:eastAsia="楷体_GB2312"/>
                <w:szCs w:val="21"/>
              </w:rPr>
              <w:t>12、检查各行程开关的触头触块的位置及紧固情况（各触头触块应紧固，触发行程开关动作应灵敏可靠）</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 w:hRule="atLeast"/>
        </w:trPr>
        <w:tc>
          <w:tcPr>
            <w:tcW w:w="1182" w:type="dxa"/>
            <w:vMerge w:val="restart"/>
            <w:shd w:val="clear" w:color="auto" w:fill="auto"/>
            <w:vAlign w:val="center"/>
          </w:tcPr>
          <w:p>
            <w:pPr>
              <w:snapToGrid w:val="0"/>
              <w:ind w:firstLine="105" w:firstLineChars="50"/>
              <w:jc w:val="center"/>
              <w:rPr>
                <w:rFonts w:ascii="楷体_GB2312" w:hAnsi="宋体" w:eastAsia="楷体_GB2312"/>
                <w:b/>
                <w:szCs w:val="21"/>
              </w:rPr>
            </w:pPr>
            <w:r>
              <w:rPr>
                <w:rFonts w:hint="eastAsia" w:ascii="楷体_GB2312" w:hAnsi="宋体" w:eastAsia="楷体_GB2312"/>
                <w:b/>
                <w:szCs w:val="21"/>
              </w:rPr>
              <w:t>加油调整</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1、连续运行一年以上的车库，所有钢丝绳、链条应清理油污，重新涂刷一次润滑油</w:t>
            </w:r>
          </w:p>
        </w:tc>
        <w:tc>
          <w:tcPr>
            <w:tcW w:w="706" w:type="dxa"/>
            <w:shd w:val="clear" w:color="auto" w:fill="FFFFFF"/>
            <w:vAlign w:val="center"/>
          </w:tcPr>
          <w:p>
            <w:pPr>
              <w:jc w:val="center"/>
              <w:rPr>
                <w:rFonts w:ascii="宋体" w:hAnsi="宋体"/>
                <w:szCs w:val="21"/>
              </w:rPr>
            </w:pPr>
            <w:r>
              <w:rPr>
                <w:rFonts w:hint="eastAsia" w:ascii="宋体" w:hAnsi="宋体"/>
                <w:szCs w:val="21"/>
              </w:rPr>
              <w:t>年检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2、拉力传感器滑动部位每年清理一次油泥，并加注新润滑油（脂）</w:t>
            </w:r>
          </w:p>
        </w:tc>
        <w:tc>
          <w:tcPr>
            <w:tcW w:w="706" w:type="dxa"/>
            <w:shd w:val="clear" w:color="auto" w:fill="FFFFFF"/>
            <w:vAlign w:val="center"/>
          </w:tcPr>
          <w:p>
            <w:pPr>
              <w:jc w:val="center"/>
              <w:rPr>
                <w:rFonts w:ascii="宋体" w:hAnsi="宋体"/>
                <w:szCs w:val="21"/>
              </w:rPr>
            </w:pPr>
            <w:r>
              <w:rPr>
                <w:rFonts w:hint="eastAsia" w:ascii="宋体" w:hAnsi="宋体"/>
                <w:szCs w:val="21"/>
              </w:rPr>
              <w:t>年检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3、拉力传感器每年重新标校一次</w:t>
            </w:r>
          </w:p>
        </w:tc>
        <w:tc>
          <w:tcPr>
            <w:tcW w:w="706" w:type="dxa"/>
            <w:shd w:val="clear" w:color="auto" w:fill="FFFFFF"/>
            <w:vAlign w:val="center"/>
          </w:tcPr>
          <w:p>
            <w:pPr>
              <w:jc w:val="center"/>
              <w:rPr>
                <w:rFonts w:ascii="宋体" w:hAnsi="宋体"/>
                <w:szCs w:val="21"/>
              </w:rPr>
            </w:pPr>
            <w:r>
              <w:rPr>
                <w:rFonts w:hint="eastAsia" w:ascii="宋体" w:hAnsi="宋体"/>
                <w:szCs w:val="21"/>
              </w:rPr>
              <w:t>年检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vMerge w:val="continue"/>
            <w:shd w:val="clear" w:color="auto" w:fill="auto"/>
            <w:vAlign w:val="center"/>
          </w:tcPr>
          <w:p>
            <w:pPr>
              <w:jc w:val="center"/>
              <w:rPr>
                <w:rFonts w:ascii="楷体_GB2312" w:hAnsi="宋体" w:eastAsia="楷体_GB2312"/>
                <w:szCs w:val="21"/>
              </w:rPr>
            </w:pP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4、钢结构每年校对主要安装尺寸</w:t>
            </w:r>
          </w:p>
        </w:tc>
        <w:tc>
          <w:tcPr>
            <w:tcW w:w="706" w:type="dxa"/>
            <w:shd w:val="clear" w:color="auto" w:fill="FFFFFF"/>
            <w:vAlign w:val="center"/>
          </w:tcPr>
          <w:p>
            <w:pPr>
              <w:jc w:val="center"/>
              <w:rPr>
                <w:rFonts w:ascii="宋体" w:hAnsi="宋体"/>
                <w:szCs w:val="21"/>
              </w:rPr>
            </w:pPr>
            <w:r>
              <w:rPr>
                <w:rFonts w:hint="eastAsia" w:ascii="宋体" w:hAnsi="宋体"/>
                <w:szCs w:val="21"/>
              </w:rPr>
              <w:t>年检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油漆表面</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检查各油漆表面的质量，发现缺点或起层涂补同色油漆（各油漆表面应完整，无擦碰伤痕，无锈迹）</w:t>
            </w:r>
          </w:p>
        </w:tc>
        <w:tc>
          <w:tcPr>
            <w:tcW w:w="706" w:type="dxa"/>
            <w:shd w:val="clear" w:color="auto" w:fill="FFFFFF"/>
            <w:vAlign w:val="center"/>
          </w:tcPr>
          <w:p>
            <w:pPr>
              <w:jc w:val="center"/>
              <w:rPr>
                <w:rFonts w:ascii="宋体" w:hAnsi="宋体"/>
                <w:szCs w:val="21"/>
              </w:rPr>
            </w:pPr>
            <w:r>
              <w:rPr>
                <w:rFonts w:hint="eastAsia" w:ascii="宋体" w:hAnsi="宋体"/>
                <w:szCs w:val="21"/>
              </w:rPr>
              <w:t>季检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shd w:val="clear" w:color="auto" w:fill="auto"/>
            <w:vAlign w:val="center"/>
          </w:tcPr>
          <w:p>
            <w:pPr>
              <w:jc w:val="center"/>
              <w:rPr>
                <w:rFonts w:ascii="楷体_GB2312" w:hAnsi="宋体" w:eastAsia="楷体_GB2312"/>
                <w:b/>
                <w:szCs w:val="21"/>
              </w:rPr>
            </w:pPr>
            <w:r>
              <w:rPr>
                <w:rFonts w:hint="eastAsia" w:ascii="楷体_GB2312" w:hAnsi="宋体" w:eastAsia="楷体_GB2312"/>
                <w:b/>
                <w:szCs w:val="21"/>
              </w:rPr>
              <w:t>清除杂物</w:t>
            </w:r>
          </w:p>
        </w:tc>
        <w:tc>
          <w:tcPr>
            <w:tcW w:w="5443" w:type="dxa"/>
            <w:shd w:val="clear" w:color="auto" w:fill="auto"/>
          </w:tcPr>
          <w:p>
            <w:pPr>
              <w:snapToGrid w:val="0"/>
              <w:rPr>
                <w:rFonts w:ascii="楷体_GB2312" w:hAnsi="宋体" w:eastAsia="楷体_GB2312"/>
                <w:szCs w:val="21"/>
              </w:rPr>
            </w:pPr>
            <w:r>
              <w:rPr>
                <w:rFonts w:hint="eastAsia" w:ascii="楷体_GB2312" w:hAnsi="宋体" w:eastAsia="楷体_GB2312"/>
                <w:szCs w:val="21"/>
              </w:rPr>
              <w:t>清扫车库内（应清洁，无污染）</w:t>
            </w:r>
          </w:p>
        </w:tc>
        <w:tc>
          <w:tcPr>
            <w:tcW w:w="706" w:type="dxa"/>
            <w:shd w:val="clear" w:color="auto" w:fill="FFFFFF"/>
            <w:vAlign w:val="center"/>
          </w:tcPr>
          <w:p>
            <w:pPr>
              <w:jc w:val="center"/>
              <w:rPr>
                <w:rFonts w:ascii="宋体" w:hAnsi="宋体"/>
                <w:szCs w:val="21"/>
              </w:rPr>
            </w:pPr>
            <w:r>
              <w:rPr>
                <w:rFonts w:hint="eastAsia" w:ascii="宋体" w:hAnsi="宋体"/>
                <w:szCs w:val="21"/>
              </w:rPr>
              <w:t>月检</w:t>
            </w: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shd w:val="clear" w:color="auto" w:fill="auto"/>
            <w:vAlign w:val="center"/>
          </w:tcPr>
          <w:p>
            <w:pPr>
              <w:jc w:val="center"/>
              <w:rPr>
                <w:rFonts w:ascii="宋体" w:hAnsi="宋体"/>
                <w:b/>
                <w:szCs w:val="21"/>
              </w:rPr>
            </w:pPr>
          </w:p>
        </w:tc>
        <w:tc>
          <w:tcPr>
            <w:tcW w:w="5443" w:type="dxa"/>
            <w:shd w:val="clear" w:color="auto" w:fill="auto"/>
          </w:tcPr>
          <w:p>
            <w:pPr>
              <w:snapToGrid w:val="0"/>
              <w:rPr>
                <w:rFonts w:ascii="楷体_GB2312" w:hAnsi="宋体" w:eastAsia="楷体_GB2312"/>
                <w:szCs w:val="21"/>
              </w:rPr>
            </w:pPr>
          </w:p>
        </w:tc>
        <w:tc>
          <w:tcPr>
            <w:tcW w:w="706" w:type="dxa"/>
            <w:shd w:val="clear" w:color="auto" w:fill="FFFFFF"/>
            <w:vAlign w:val="center"/>
          </w:tcPr>
          <w:p>
            <w:pPr>
              <w:jc w:val="center"/>
              <w:rPr>
                <w:rFonts w:ascii="宋体" w:hAnsi="宋体"/>
                <w:szCs w:val="21"/>
              </w:rPr>
            </w:pP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shd w:val="clear" w:color="auto" w:fill="auto"/>
            <w:vAlign w:val="center"/>
          </w:tcPr>
          <w:p>
            <w:pPr>
              <w:jc w:val="center"/>
              <w:rPr>
                <w:rFonts w:ascii="宋体" w:hAnsi="宋体"/>
                <w:b/>
                <w:szCs w:val="21"/>
              </w:rPr>
            </w:pPr>
          </w:p>
        </w:tc>
        <w:tc>
          <w:tcPr>
            <w:tcW w:w="5443" w:type="dxa"/>
            <w:shd w:val="clear" w:color="auto" w:fill="auto"/>
          </w:tcPr>
          <w:p>
            <w:pPr>
              <w:snapToGrid w:val="0"/>
              <w:rPr>
                <w:rFonts w:ascii="楷体_GB2312" w:hAnsi="宋体" w:eastAsia="楷体_GB2312"/>
                <w:szCs w:val="21"/>
              </w:rPr>
            </w:pPr>
          </w:p>
        </w:tc>
        <w:tc>
          <w:tcPr>
            <w:tcW w:w="706" w:type="dxa"/>
            <w:shd w:val="clear" w:color="auto" w:fill="FFFFFF"/>
            <w:vAlign w:val="center"/>
          </w:tcPr>
          <w:p>
            <w:pPr>
              <w:jc w:val="center"/>
              <w:rPr>
                <w:rFonts w:ascii="宋体" w:hAnsi="宋体"/>
                <w:szCs w:val="21"/>
              </w:rPr>
            </w:pP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182" w:type="dxa"/>
            <w:shd w:val="clear" w:color="auto" w:fill="auto"/>
            <w:vAlign w:val="center"/>
          </w:tcPr>
          <w:p>
            <w:pPr>
              <w:jc w:val="center"/>
              <w:rPr>
                <w:rFonts w:ascii="宋体" w:hAnsi="宋体"/>
                <w:b/>
                <w:szCs w:val="21"/>
              </w:rPr>
            </w:pPr>
          </w:p>
        </w:tc>
        <w:tc>
          <w:tcPr>
            <w:tcW w:w="5443" w:type="dxa"/>
            <w:shd w:val="clear" w:color="auto" w:fill="auto"/>
          </w:tcPr>
          <w:p>
            <w:pPr>
              <w:snapToGrid w:val="0"/>
              <w:rPr>
                <w:rFonts w:ascii="楷体_GB2312" w:hAnsi="宋体" w:eastAsia="楷体_GB2312"/>
                <w:szCs w:val="21"/>
              </w:rPr>
            </w:pPr>
          </w:p>
        </w:tc>
        <w:tc>
          <w:tcPr>
            <w:tcW w:w="706" w:type="dxa"/>
            <w:shd w:val="clear" w:color="auto" w:fill="FFFFFF"/>
            <w:vAlign w:val="center"/>
          </w:tcPr>
          <w:p>
            <w:pPr>
              <w:jc w:val="center"/>
              <w:rPr>
                <w:rFonts w:ascii="宋体" w:hAnsi="宋体"/>
                <w:szCs w:val="21"/>
              </w:rPr>
            </w:pPr>
          </w:p>
        </w:tc>
        <w:tc>
          <w:tcPr>
            <w:tcW w:w="84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c>
          <w:tcPr>
            <w:tcW w:w="706" w:type="dxa"/>
            <w:shd w:val="clear" w:color="auto" w:fill="FFFFFF"/>
            <w:vAlign w:val="center"/>
          </w:tcPr>
          <w:p>
            <w:pPr>
              <w:jc w:val="center"/>
              <w:rPr>
                <w:rFonts w:ascii="宋体" w:hAnsi="宋体"/>
                <w:szCs w:val="21"/>
              </w:rPr>
            </w:pPr>
          </w:p>
        </w:tc>
      </w:tr>
    </w:tbl>
    <w:p>
      <w:pPr>
        <w:ind w:firstLine="540" w:firstLineChars="299"/>
        <w:rPr>
          <w:rFonts w:ascii="宋体" w:hAnsi="宋体"/>
          <w:spacing w:val="-6"/>
          <w:sz w:val="18"/>
        </w:rPr>
      </w:pPr>
      <w:r>
        <w:rPr>
          <w:rFonts w:hint="eastAsia" w:ascii="宋体" w:hAnsi="宋体"/>
          <w:b/>
          <w:sz w:val="18"/>
        </w:rPr>
        <w:t>符号说明:  ★</w:t>
      </w:r>
      <w:r>
        <w:rPr>
          <w:rFonts w:hint="eastAsia" w:ascii="宋体" w:hAnsi="宋体"/>
          <w:sz w:val="18"/>
        </w:rPr>
        <w:t xml:space="preserve">月检   </w:t>
      </w:r>
      <w:r>
        <w:rPr>
          <w:rFonts w:hint="eastAsia" w:ascii="宋体" w:hAnsi="宋体"/>
          <w:b/>
          <w:sz w:val="18"/>
        </w:rPr>
        <w:t>●</w:t>
      </w:r>
      <w:r>
        <w:rPr>
          <w:rFonts w:hint="eastAsia" w:ascii="宋体" w:hAnsi="宋体"/>
          <w:sz w:val="18"/>
        </w:rPr>
        <w:t>季检　■年检</w:t>
      </w:r>
      <w:r>
        <w:rPr>
          <w:rFonts w:hint="eastAsia" w:ascii="宋体" w:hAnsi="宋体"/>
          <w:spacing w:val="-6"/>
          <w:sz w:val="18"/>
        </w:rPr>
        <w:t>√已更换、修复、调整、润滑或清洁且设备正常   /本次保养无此项</w:t>
      </w:r>
    </w:p>
    <w:p>
      <w:pPr>
        <w:jc w:val="center"/>
        <w:rPr>
          <w:b/>
          <w:sz w:val="52"/>
          <w:szCs w:val="52"/>
        </w:rPr>
      </w:pPr>
    </w:p>
    <w:p>
      <w:pPr>
        <w:ind w:firstLine="1566" w:firstLineChars="300"/>
        <w:jc w:val="both"/>
        <w:rPr>
          <w:b/>
          <w:sz w:val="52"/>
          <w:szCs w:val="52"/>
        </w:rPr>
      </w:pPr>
      <w:r>
        <w:rPr>
          <w:rFonts w:hint="eastAsia"/>
          <w:b/>
          <w:sz w:val="52"/>
          <w:szCs w:val="52"/>
        </w:rPr>
        <w:t>升降横移常用配件单价一览表</w:t>
      </w:r>
    </w:p>
    <w:tbl>
      <w:tblPr>
        <w:tblStyle w:val="7"/>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3"/>
        <w:gridCol w:w="2693"/>
        <w:gridCol w:w="1134"/>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jc w:val="center"/>
              <w:rPr>
                <w:sz w:val="24"/>
              </w:rPr>
            </w:pPr>
            <w:r>
              <w:rPr>
                <w:rFonts w:hint="eastAsia"/>
                <w:sz w:val="24"/>
              </w:rPr>
              <w:t>名    称</w:t>
            </w:r>
          </w:p>
        </w:tc>
        <w:tc>
          <w:tcPr>
            <w:tcW w:w="2693" w:type="dxa"/>
            <w:vAlign w:val="center"/>
          </w:tcPr>
          <w:p>
            <w:pPr>
              <w:jc w:val="center"/>
              <w:rPr>
                <w:sz w:val="24"/>
              </w:rPr>
            </w:pPr>
            <w:r>
              <w:rPr>
                <w:rFonts w:hint="eastAsia"/>
                <w:sz w:val="24"/>
              </w:rPr>
              <w:t>规格型号</w:t>
            </w:r>
          </w:p>
        </w:tc>
        <w:tc>
          <w:tcPr>
            <w:tcW w:w="1134" w:type="dxa"/>
            <w:vAlign w:val="center"/>
          </w:tcPr>
          <w:p>
            <w:pPr>
              <w:rPr>
                <w:sz w:val="24"/>
              </w:rPr>
            </w:pPr>
            <w:r>
              <w:rPr>
                <w:rFonts w:hint="eastAsia"/>
                <w:sz w:val="24"/>
              </w:rPr>
              <w:t>单位</w:t>
            </w:r>
          </w:p>
        </w:tc>
        <w:tc>
          <w:tcPr>
            <w:tcW w:w="2127" w:type="dxa"/>
            <w:vAlign w:val="center"/>
          </w:tcPr>
          <w:p>
            <w:pPr>
              <w:rPr>
                <w:sz w:val="24"/>
              </w:rPr>
            </w:pPr>
            <w:r>
              <w:rPr>
                <w:rFonts w:hint="eastAsia"/>
                <w:sz w:val="24"/>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施耐德交流接触器</w:t>
            </w:r>
          </w:p>
        </w:tc>
        <w:tc>
          <w:tcPr>
            <w:tcW w:w="2693" w:type="dxa"/>
            <w:vAlign w:val="center"/>
          </w:tcPr>
          <w:p>
            <w:pPr>
              <w:rPr>
                <w:sz w:val="24"/>
              </w:rPr>
            </w:pPr>
            <w:r>
              <w:rPr>
                <w:rFonts w:hint="eastAsia"/>
                <w:sz w:val="24"/>
              </w:rPr>
              <w:t>LC1-E0601M5N</w:t>
            </w:r>
          </w:p>
        </w:tc>
        <w:tc>
          <w:tcPr>
            <w:tcW w:w="1134" w:type="dxa"/>
            <w:vAlign w:val="center"/>
          </w:tcPr>
          <w:p>
            <w:pPr>
              <w:rPr>
                <w:rFonts w:ascii="宋体" w:hAnsi="宋体"/>
                <w:sz w:val="24"/>
              </w:rPr>
            </w:pPr>
            <w:r>
              <w:rPr>
                <w:rFonts w:hint="eastAsia"/>
                <w:sz w:val="24"/>
              </w:rPr>
              <w:t>个</w:t>
            </w:r>
          </w:p>
        </w:tc>
        <w:tc>
          <w:tcPr>
            <w:tcW w:w="2127" w:type="dxa"/>
            <w:vAlign w:val="center"/>
          </w:tcPr>
          <w:p>
            <w:pPr>
              <w:rPr>
                <w:sz w:val="24"/>
              </w:rPr>
            </w:pPr>
            <w:r>
              <w:rPr>
                <w:rFonts w:hint="eastAsia"/>
                <w:sz w:val="24"/>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施耐德急停按钮</w:t>
            </w:r>
          </w:p>
        </w:tc>
        <w:tc>
          <w:tcPr>
            <w:tcW w:w="2693" w:type="dxa"/>
            <w:vAlign w:val="center"/>
          </w:tcPr>
          <w:p>
            <w:pPr>
              <w:rPr>
                <w:sz w:val="24"/>
              </w:rPr>
            </w:pPr>
            <w:r>
              <w:rPr>
                <w:rFonts w:hint="eastAsia"/>
                <w:sz w:val="24"/>
              </w:rPr>
              <w:t>XB5-AS542C</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钥匙开关</w:t>
            </w:r>
          </w:p>
        </w:tc>
        <w:tc>
          <w:tcPr>
            <w:tcW w:w="2693" w:type="dxa"/>
            <w:vAlign w:val="center"/>
          </w:tcPr>
          <w:p>
            <w:pPr>
              <w:rPr>
                <w:sz w:val="24"/>
              </w:rPr>
            </w:pP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施耐德指示灯</w:t>
            </w:r>
          </w:p>
        </w:tc>
        <w:tc>
          <w:tcPr>
            <w:tcW w:w="2693" w:type="dxa"/>
            <w:vAlign w:val="center"/>
          </w:tcPr>
          <w:p>
            <w:pPr>
              <w:rPr>
                <w:sz w:val="24"/>
              </w:rPr>
            </w:pP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中间继电器</w:t>
            </w:r>
          </w:p>
        </w:tc>
        <w:tc>
          <w:tcPr>
            <w:tcW w:w="2693" w:type="dxa"/>
            <w:vAlign w:val="center"/>
          </w:tcPr>
          <w:p>
            <w:pPr>
              <w:rPr>
                <w:sz w:val="24"/>
              </w:rPr>
            </w:pP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施耐德PLC</w:t>
            </w:r>
          </w:p>
        </w:tc>
        <w:tc>
          <w:tcPr>
            <w:tcW w:w="2693" w:type="dxa"/>
            <w:vAlign w:val="center"/>
          </w:tcPr>
          <w:p>
            <w:pPr>
              <w:rPr>
                <w:sz w:val="24"/>
              </w:rPr>
            </w:pPr>
            <w:r>
              <w:rPr>
                <w:rFonts w:hint="eastAsia"/>
                <w:sz w:val="24"/>
              </w:rPr>
              <w:t>TWDLCAA24DRF</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￥1884.00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施耐德PLC</w:t>
            </w:r>
          </w:p>
        </w:tc>
        <w:tc>
          <w:tcPr>
            <w:tcW w:w="2693" w:type="dxa"/>
            <w:vAlign w:val="center"/>
          </w:tcPr>
          <w:p>
            <w:pPr>
              <w:rPr>
                <w:sz w:val="24"/>
              </w:rPr>
            </w:pPr>
            <w:r>
              <w:rPr>
                <w:rFonts w:hint="eastAsia"/>
                <w:sz w:val="24"/>
              </w:rPr>
              <w:t>TWDLCAA40DRF</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￥2856.00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施耐德PLC</w:t>
            </w:r>
          </w:p>
        </w:tc>
        <w:tc>
          <w:tcPr>
            <w:tcW w:w="2693" w:type="dxa"/>
            <w:vAlign w:val="center"/>
          </w:tcPr>
          <w:p>
            <w:pPr>
              <w:rPr>
                <w:sz w:val="24"/>
              </w:rPr>
            </w:pPr>
            <w:r>
              <w:rPr>
                <w:rFonts w:hint="eastAsia"/>
                <w:sz w:val="24"/>
              </w:rPr>
              <w:t>TWDLCAA460DRF</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￥3856.00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施耐德热继电器</w:t>
            </w:r>
          </w:p>
        </w:tc>
        <w:tc>
          <w:tcPr>
            <w:tcW w:w="2693" w:type="dxa"/>
            <w:vAlign w:val="center"/>
          </w:tcPr>
          <w:p>
            <w:pPr>
              <w:rPr>
                <w:sz w:val="24"/>
              </w:rPr>
            </w:pPr>
            <w:r>
              <w:rPr>
                <w:rFonts w:hint="eastAsia"/>
                <w:sz w:val="24"/>
              </w:rPr>
              <w:t>LRE06N</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到位行程开关</w:t>
            </w:r>
          </w:p>
        </w:tc>
        <w:tc>
          <w:tcPr>
            <w:tcW w:w="2693" w:type="dxa"/>
            <w:vAlign w:val="center"/>
          </w:tcPr>
          <w:p>
            <w:pPr>
              <w:rPr>
                <w:sz w:val="24"/>
              </w:rPr>
            </w:pPr>
            <w:r>
              <w:rPr>
                <w:rFonts w:hint="eastAsia"/>
                <w:sz w:val="24"/>
              </w:rPr>
              <w:t>山电</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山武光电开关</w:t>
            </w:r>
          </w:p>
        </w:tc>
        <w:tc>
          <w:tcPr>
            <w:tcW w:w="2693" w:type="dxa"/>
            <w:vAlign w:val="center"/>
          </w:tcPr>
          <w:p>
            <w:pPr>
              <w:rPr>
                <w:sz w:val="24"/>
              </w:rPr>
            </w:pPr>
            <w:r>
              <w:rPr>
                <w:rFonts w:hint="eastAsia"/>
                <w:sz w:val="24"/>
              </w:rPr>
              <w:t>HP100（10M）</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山武光电开关</w:t>
            </w:r>
          </w:p>
        </w:tc>
        <w:tc>
          <w:tcPr>
            <w:tcW w:w="2693" w:type="dxa"/>
            <w:vAlign w:val="center"/>
          </w:tcPr>
          <w:p>
            <w:pPr>
              <w:rPr>
                <w:sz w:val="24"/>
              </w:rPr>
            </w:pPr>
            <w:r>
              <w:rPr>
                <w:rFonts w:hint="eastAsia"/>
                <w:sz w:val="24"/>
              </w:rPr>
              <w:t>HP100（30M）</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￥950.00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升降电机</w:t>
            </w:r>
          </w:p>
        </w:tc>
        <w:tc>
          <w:tcPr>
            <w:tcW w:w="2693" w:type="dxa"/>
            <w:vAlign w:val="center"/>
          </w:tcPr>
          <w:p>
            <w:pPr>
              <w:rPr>
                <w:sz w:val="24"/>
              </w:rPr>
            </w:pPr>
            <w:r>
              <w:rPr>
                <w:rFonts w:hint="eastAsia"/>
                <w:sz w:val="24"/>
              </w:rPr>
              <w:t>2.2KW</w:t>
            </w:r>
          </w:p>
        </w:tc>
        <w:tc>
          <w:tcPr>
            <w:tcW w:w="1134" w:type="dxa"/>
            <w:vAlign w:val="center"/>
          </w:tcPr>
          <w:p>
            <w:pPr>
              <w:rPr>
                <w:sz w:val="24"/>
              </w:rPr>
            </w:pPr>
            <w:r>
              <w:rPr>
                <w:rFonts w:hint="eastAsia"/>
                <w:sz w:val="24"/>
              </w:rPr>
              <w:t>台</w:t>
            </w:r>
          </w:p>
        </w:tc>
        <w:tc>
          <w:tcPr>
            <w:tcW w:w="2127" w:type="dxa"/>
            <w:vAlign w:val="center"/>
          </w:tcPr>
          <w:p>
            <w:pPr>
              <w:rPr>
                <w:sz w:val="24"/>
              </w:rPr>
            </w:pPr>
            <w:r>
              <w:rPr>
                <w:rFonts w:hint="eastAsia"/>
                <w:sz w:val="24"/>
              </w:rPr>
              <w:t>￥3600.00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横移电机</w:t>
            </w:r>
          </w:p>
        </w:tc>
        <w:tc>
          <w:tcPr>
            <w:tcW w:w="2693" w:type="dxa"/>
            <w:vAlign w:val="center"/>
          </w:tcPr>
          <w:p>
            <w:pPr>
              <w:rPr>
                <w:sz w:val="24"/>
              </w:rPr>
            </w:pPr>
            <w:r>
              <w:rPr>
                <w:rFonts w:hint="eastAsia"/>
                <w:sz w:val="24"/>
              </w:rPr>
              <w:t>0.2KW</w:t>
            </w:r>
          </w:p>
        </w:tc>
        <w:tc>
          <w:tcPr>
            <w:tcW w:w="1134" w:type="dxa"/>
            <w:vAlign w:val="center"/>
          </w:tcPr>
          <w:p>
            <w:pPr>
              <w:rPr>
                <w:sz w:val="24"/>
              </w:rPr>
            </w:pPr>
            <w:r>
              <w:rPr>
                <w:rFonts w:hint="eastAsia"/>
                <w:sz w:val="24"/>
              </w:rPr>
              <w:t>台</w:t>
            </w:r>
          </w:p>
        </w:tc>
        <w:tc>
          <w:tcPr>
            <w:tcW w:w="2127" w:type="dxa"/>
            <w:vAlign w:val="center"/>
          </w:tcPr>
          <w:p>
            <w:pPr>
              <w:rPr>
                <w:sz w:val="24"/>
              </w:rPr>
            </w:pPr>
            <w:r>
              <w:rPr>
                <w:rFonts w:hint="eastAsia"/>
                <w:sz w:val="24"/>
              </w:rPr>
              <w:t>￥1800.00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电磁铁</w:t>
            </w:r>
          </w:p>
        </w:tc>
        <w:tc>
          <w:tcPr>
            <w:tcW w:w="2693" w:type="dxa"/>
            <w:vAlign w:val="center"/>
          </w:tcPr>
          <w:p>
            <w:pPr>
              <w:rPr>
                <w:sz w:val="24"/>
              </w:rPr>
            </w:pPr>
            <w:r>
              <w:rPr>
                <w:rFonts w:hint="eastAsia"/>
                <w:sz w:val="24"/>
              </w:rPr>
              <w:t>MQB1-40/25</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￥36</w:t>
            </w:r>
            <w:r>
              <w:rPr>
                <w:sz w:val="24"/>
              </w:rPr>
              <w:t>0</w:t>
            </w:r>
            <w:r>
              <w:rPr>
                <w:rFonts w:hint="eastAsia"/>
                <w:sz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防坠装置</w:t>
            </w:r>
          </w:p>
        </w:tc>
        <w:tc>
          <w:tcPr>
            <w:tcW w:w="2693" w:type="dxa"/>
            <w:vAlign w:val="center"/>
          </w:tcPr>
          <w:p>
            <w:pPr>
              <w:rPr>
                <w:sz w:val="24"/>
              </w:rPr>
            </w:pPr>
            <w:r>
              <w:rPr>
                <w:rFonts w:hint="eastAsia"/>
                <w:sz w:val="24"/>
              </w:rPr>
              <w:t>伟创</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￥35</w:t>
            </w:r>
            <w:r>
              <w:rPr>
                <w:sz w:val="24"/>
              </w:rPr>
              <w:t>0</w:t>
            </w:r>
            <w:r>
              <w:rPr>
                <w:rFonts w:hint="eastAsia"/>
                <w:sz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挂环</w:t>
            </w:r>
          </w:p>
        </w:tc>
        <w:tc>
          <w:tcPr>
            <w:tcW w:w="2693" w:type="dxa"/>
            <w:vAlign w:val="center"/>
          </w:tcPr>
          <w:p>
            <w:pPr>
              <w:rPr>
                <w:sz w:val="24"/>
              </w:rPr>
            </w:pPr>
            <w:r>
              <w:rPr>
                <w:rFonts w:hint="eastAsia"/>
                <w:sz w:val="24"/>
              </w:rPr>
              <w:t>伟创</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￥10</w:t>
            </w:r>
            <w:r>
              <w:rPr>
                <w:sz w:val="24"/>
              </w:rPr>
              <w:t>0</w:t>
            </w:r>
            <w:r>
              <w:rPr>
                <w:rFonts w:hint="eastAsia"/>
                <w:sz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相序保护器</w:t>
            </w:r>
          </w:p>
        </w:tc>
        <w:tc>
          <w:tcPr>
            <w:tcW w:w="2693" w:type="dxa"/>
            <w:vAlign w:val="center"/>
          </w:tcPr>
          <w:p>
            <w:pPr>
              <w:rPr>
                <w:sz w:val="24"/>
              </w:rPr>
            </w:pPr>
            <w:r>
              <w:rPr>
                <w:rFonts w:hint="eastAsia"/>
                <w:sz w:val="24"/>
              </w:rPr>
              <w:t>XJ3—G</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保险管2A</w:t>
            </w:r>
          </w:p>
        </w:tc>
        <w:tc>
          <w:tcPr>
            <w:tcW w:w="2693" w:type="dxa"/>
            <w:vAlign w:val="center"/>
          </w:tcPr>
          <w:p>
            <w:pPr>
              <w:rPr>
                <w:sz w:val="24"/>
              </w:rPr>
            </w:pPr>
            <w:r>
              <w:rPr>
                <w:rFonts w:hint="eastAsia"/>
                <w:sz w:val="24"/>
              </w:rPr>
              <w:t>RT14—20/2A</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保险管5A</w:t>
            </w:r>
          </w:p>
        </w:tc>
        <w:tc>
          <w:tcPr>
            <w:tcW w:w="2693" w:type="dxa"/>
            <w:vAlign w:val="center"/>
          </w:tcPr>
          <w:p>
            <w:pPr>
              <w:rPr>
                <w:sz w:val="24"/>
              </w:rPr>
            </w:pPr>
            <w:r>
              <w:rPr>
                <w:rFonts w:hint="eastAsia"/>
                <w:sz w:val="24"/>
              </w:rPr>
              <w:t>RT14—20/5A</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报警灯</w:t>
            </w:r>
          </w:p>
        </w:tc>
        <w:tc>
          <w:tcPr>
            <w:tcW w:w="2693" w:type="dxa"/>
            <w:vAlign w:val="center"/>
          </w:tcPr>
          <w:p>
            <w:pPr>
              <w:rPr>
                <w:sz w:val="24"/>
              </w:rPr>
            </w:pP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轴承</w:t>
            </w:r>
          </w:p>
        </w:tc>
        <w:tc>
          <w:tcPr>
            <w:tcW w:w="2693" w:type="dxa"/>
            <w:vAlign w:val="center"/>
          </w:tcPr>
          <w:p>
            <w:pPr>
              <w:rPr>
                <w:sz w:val="24"/>
              </w:rPr>
            </w:pPr>
            <w:r>
              <w:rPr>
                <w:rFonts w:hint="eastAsia"/>
                <w:sz w:val="24"/>
              </w:rPr>
              <w:t>6207 2RS</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轴承</w:t>
            </w:r>
          </w:p>
        </w:tc>
        <w:tc>
          <w:tcPr>
            <w:tcW w:w="2693" w:type="dxa"/>
            <w:vAlign w:val="center"/>
          </w:tcPr>
          <w:p>
            <w:pPr>
              <w:rPr>
                <w:sz w:val="24"/>
              </w:rPr>
            </w:pPr>
            <w:r>
              <w:rPr>
                <w:rFonts w:hint="eastAsia"/>
                <w:sz w:val="24"/>
              </w:rPr>
              <w:t>6006 2RS</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轴承</w:t>
            </w:r>
          </w:p>
        </w:tc>
        <w:tc>
          <w:tcPr>
            <w:tcW w:w="2693" w:type="dxa"/>
            <w:vAlign w:val="center"/>
          </w:tcPr>
          <w:p>
            <w:pPr>
              <w:rPr>
                <w:sz w:val="24"/>
              </w:rPr>
            </w:pPr>
            <w:r>
              <w:rPr>
                <w:rFonts w:hint="eastAsia"/>
                <w:sz w:val="24"/>
              </w:rPr>
              <w:t>6206 ZZ</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杆端轴承</w:t>
            </w:r>
          </w:p>
        </w:tc>
        <w:tc>
          <w:tcPr>
            <w:tcW w:w="2693" w:type="dxa"/>
            <w:vAlign w:val="center"/>
          </w:tcPr>
          <w:p>
            <w:pPr>
              <w:rPr>
                <w:sz w:val="24"/>
              </w:rPr>
            </w:pPr>
            <w:r>
              <w:rPr>
                <w:rFonts w:hint="eastAsia"/>
                <w:sz w:val="24"/>
              </w:rPr>
              <w:t>S11750-F  S11749F</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带座轴承</w:t>
            </w:r>
          </w:p>
        </w:tc>
        <w:tc>
          <w:tcPr>
            <w:tcW w:w="2693" w:type="dxa"/>
            <w:vAlign w:val="center"/>
          </w:tcPr>
          <w:p>
            <w:pPr>
              <w:rPr>
                <w:sz w:val="24"/>
              </w:rPr>
            </w:pPr>
            <w:r>
              <w:rPr>
                <w:rFonts w:hint="eastAsia"/>
                <w:sz w:val="24"/>
              </w:rPr>
              <w:t>UCFC212</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带座轴承</w:t>
            </w:r>
          </w:p>
        </w:tc>
        <w:tc>
          <w:tcPr>
            <w:tcW w:w="2693" w:type="dxa"/>
            <w:vAlign w:val="center"/>
          </w:tcPr>
          <w:p>
            <w:pPr>
              <w:rPr>
                <w:sz w:val="24"/>
              </w:rPr>
            </w:pPr>
            <w:r>
              <w:rPr>
                <w:rFonts w:hint="eastAsia"/>
                <w:sz w:val="24"/>
              </w:rPr>
              <w:t>UCFC206</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带座轴承</w:t>
            </w:r>
          </w:p>
        </w:tc>
        <w:tc>
          <w:tcPr>
            <w:tcW w:w="2693" w:type="dxa"/>
            <w:vAlign w:val="center"/>
          </w:tcPr>
          <w:p>
            <w:pPr>
              <w:rPr>
                <w:sz w:val="24"/>
              </w:rPr>
            </w:pPr>
            <w:r>
              <w:rPr>
                <w:rFonts w:hint="eastAsia"/>
                <w:sz w:val="24"/>
              </w:rPr>
              <w:t>UCFS312</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键(45#)</w:t>
            </w:r>
          </w:p>
        </w:tc>
        <w:tc>
          <w:tcPr>
            <w:tcW w:w="2693" w:type="dxa"/>
            <w:vAlign w:val="center"/>
          </w:tcPr>
          <w:p>
            <w:pPr>
              <w:rPr>
                <w:sz w:val="24"/>
              </w:rPr>
            </w:pPr>
            <w:r>
              <w:rPr>
                <w:rFonts w:hint="eastAsia"/>
                <w:sz w:val="24"/>
              </w:rPr>
              <w:t>18*11-80</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键(45#)</w:t>
            </w:r>
          </w:p>
        </w:tc>
        <w:tc>
          <w:tcPr>
            <w:tcW w:w="2693" w:type="dxa"/>
            <w:vAlign w:val="center"/>
          </w:tcPr>
          <w:p>
            <w:pPr>
              <w:rPr>
                <w:sz w:val="24"/>
              </w:rPr>
            </w:pPr>
            <w:r>
              <w:rPr>
                <w:rFonts w:hint="eastAsia"/>
                <w:sz w:val="24"/>
              </w:rPr>
              <w:t>14*9-70</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橡胶垫</w:t>
            </w:r>
          </w:p>
        </w:tc>
        <w:tc>
          <w:tcPr>
            <w:tcW w:w="2693" w:type="dxa"/>
            <w:vAlign w:val="center"/>
          </w:tcPr>
          <w:p>
            <w:pPr>
              <w:rPr>
                <w:sz w:val="24"/>
              </w:rPr>
            </w:pPr>
            <w:r>
              <w:rPr>
                <w:rFonts w:hint="eastAsia"/>
                <w:sz w:val="24"/>
              </w:rPr>
              <w:t>伟创</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挡车杆</w:t>
            </w:r>
          </w:p>
        </w:tc>
        <w:tc>
          <w:tcPr>
            <w:tcW w:w="2693" w:type="dxa"/>
            <w:vAlign w:val="center"/>
          </w:tcPr>
          <w:p>
            <w:pPr>
              <w:rPr>
                <w:sz w:val="24"/>
              </w:rPr>
            </w:pPr>
            <w:r>
              <w:rPr>
                <w:rFonts w:hint="eastAsia"/>
                <w:sz w:val="24"/>
              </w:rPr>
              <w:t>伟创</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挂环</w:t>
            </w:r>
          </w:p>
        </w:tc>
        <w:tc>
          <w:tcPr>
            <w:tcW w:w="2693" w:type="dxa"/>
            <w:vAlign w:val="center"/>
          </w:tcPr>
          <w:p>
            <w:pPr>
              <w:rPr>
                <w:sz w:val="24"/>
              </w:rPr>
            </w:pPr>
            <w:r>
              <w:rPr>
                <w:rFonts w:hint="eastAsia"/>
                <w:sz w:val="24"/>
              </w:rPr>
              <w:t>伟创</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3" w:type="dxa"/>
            <w:vAlign w:val="center"/>
          </w:tcPr>
          <w:p>
            <w:pPr>
              <w:rPr>
                <w:sz w:val="24"/>
              </w:rPr>
            </w:pPr>
            <w:r>
              <w:rPr>
                <w:rFonts w:hint="eastAsia"/>
                <w:sz w:val="24"/>
              </w:rPr>
              <w:t>车库操作盒</w:t>
            </w:r>
          </w:p>
        </w:tc>
        <w:tc>
          <w:tcPr>
            <w:tcW w:w="2693" w:type="dxa"/>
            <w:vAlign w:val="center"/>
          </w:tcPr>
          <w:p>
            <w:pPr>
              <w:rPr>
                <w:sz w:val="24"/>
              </w:rPr>
            </w:pPr>
            <w:r>
              <w:rPr>
                <w:rFonts w:hint="eastAsia"/>
                <w:sz w:val="24"/>
              </w:rPr>
              <w:t>手动、自动、刷卡（ID卡），中文显示故障信息及报警信息</w:t>
            </w:r>
          </w:p>
        </w:tc>
        <w:tc>
          <w:tcPr>
            <w:tcW w:w="1134" w:type="dxa"/>
            <w:vAlign w:val="center"/>
          </w:tcPr>
          <w:p>
            <w:pPr>
              <w:rPr>
                <w:sz w:val="24"/>
              </w:rPr>
            </w:pPr>
            <w:r>
              <w:rPr>
                <w:rFonts w:hint="eastAsia"/>
                <w:sz w:val="24"/>
              </w:rPr>
              <w:t>个</w:t>
            </w:r>
          </w:p>
        </w:tc>
        <w:tc>
          <w:tcPr>
            <w:tcW w:w="2127" w:type="dxa"/>
            <w:vAlign w:val="center"/>
          </w:tcPr>
          <w:p>
            <w:pPr>
              <w:rPr>
                <w:sz w:val="24"/>
              </w:rPr>
            </w:pPr>
            <w:r>
              <w:rPr>
                <w:rFonts w:hint="eastAsia"/>
                <w:sz w:val="24"/>
              </w:rPr>
              <w:t>￥2000.00</w:t>
            </w:r>
          </w:p>
        </w:tc>
      </w:tr>
    </w:tbl>
    <w:p>
      <w:pPr>
        <w:rPr>
          <w:b/>
          <w:sz w:val="52"/>
          <w:szCs w:val="52"/>
        </w:rPr>
      </w:pPr>
    </w:p>
    <w:p>
      <w:pPr>
        <w:jc w:val="center"/>
        <w:rPr>
          <w:b/>
          <w:sz w:val="52"/>
          <w:szCs w:val="52"/>
        </w:rPr>
      </w:pPr>
    </w:p>
    <w:p>
      <w:pPr>
        <w:jc w:val="center"/>
        <w:rPr>
          <w:b/>
          <w:sz w:val="52"/>
          <w:szCs w:val="52"/>
        </w:rPr>
      </w:pPr>
    </w:p>
    <w:p>
      <w:pPr>
        <w:jc w:val="center"/>
        <w:rPr>
          <w:rFonts w:ascii="仿宋_GB2312" w:hAnsi="宋体" w:eastAsia="仿宋_GB2312"/>
          <w:sz w:val="28"/>
        </w:rPr>
      </w:pPr>
    </w:p>
    <w:p>
      <w:pPr>
        <w:jc w:val="center"/>
        <w:rPr>
          <w:rFonts w:ascii="仿宋_GB2312" w:hAnsi="宋体" w:eastAsia="仿宋_GB2312"/>
          <w:sz w:val="28"/>
        </w:rPr>
      </w:pPr>
    </w:p>
    <w:p>
      <w:pPr>
        <w:jc w:val="center"/>
        <w:rPr>
          <w:rFonts w:ascii="仿宋_GB2312" w:hAnsi="宋体" w:eastAsia="仿宋_GB2312"/>
          <w:sz w:val="28"/>
        </w:rPr>
      </w:pPr>
    </w:p>
    <w:p>
      <w:pPr>
        <w:jc w:val="center"/>
        <w:rPr>
          <w:rFonts w:hint="eastAsia" w:ascii="仿宋_GB2312" w:hAnsi="宋体" w:eastAsia="仿宋_GB2312"/>
          <w:sz w:val="28"/>
          <w:lang w:eastAsia="zh-CN"/>
        </w:rPr>
      </w:pPr>
    </w:p>
    <w:sectPr>
      <w:head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5MWIxMDNiY2UyZjRhOTM3NTljNjJkNjAxMWYzZTkifQ=="/>
  </w:docVars>
  <w:rsids>
    <w:rsidRoot w:val="00A50E7B"/>
    <w:rsid w:val="00004C4A"/>
    <w:rsid w:val="000528A2"/>
    <w:rsid w:val="00053D10"/>
    <w:rsid w:val="0008517E"/>
    <w:rsid w:val="00091B96"/>
    <w:rsid w:val="00092C8B"/>
    <w:rsid w:val="000B14C3"/>
    <w:rsid w:val="000C04C6"/>
    <w:rsid w:val="000F108F"/>
    <w:rsid w:val="000F79FA"/>
    <w:rsid w:val="001046E1"/>
    <w:rsid w:val="00116C7E"/>
    <w:rsid w:val="00120407"/>
    <w:rsid w:val="00125ACE"/>
    <w:rsid w:val="00144802"/>
    <w:rsid w:val="00145C2D"/>
    <w:rsid w:val="001502B1"/>
    <w:rsid w:val="0015365B"/>
    <w:rsid w:val="00153A41"/>
    <w:rsid w:val="0017227D"/>
    <w:rsid w:val="00172CE2"/>
    <w:rsid w:val="00173667"/>
    <w:rsid w:val="00182975"/>
    <w:rsid w:val="00186913"/>
    <w:rsid w:val="00197312"/>
    <w:rsid w:val="001A4914"/>
    <w:rsid w:val="001B7C5E"/>
    <w:rsid w:val="001C3F6A"/>
    <w:rsid w:val="002065B4"/>
    <w:rsid w:val="00221E8F"/>
    <w:rsid w:val="002308AD"/>
    <w:rsid w:val="0023329F"/>
    <w:rsid w:val="00246CBA"/>
    <w:rsid w:val="00254A62"/>
    <w:rsid w:val="00264ABB"/>
    <w:rsid w:val="00274E50"/>
    <w:rsid w:val="00284704"/>
    <w:rsid w:val="002B1C1F"/>
    <w:rsid w:val="002C2038"/>
    <w:rsid w:val="002D0857"/>
    <w:rsid w:val="002D1D26"/>
    <w:rsid w:val="002D3EA5"/>
    <w:rsid w:val="002D5FFE"/>
    <w:rsid w:val="002E7736"/>
    <w:rsid w:val="002F12E6"/>
    <w:rsid w:val="0030040E"/>
    <w:rsid w:val="00314E58"/>
    <w:rsid w:val="003157EA"/>
    <w:rsid w:val="00317BCF"/>
    <w:rsid w:val="003268BA"/>
    <w:rsid w:val="003324AA"/>
    <w:rsid w:val="00341D70"/>
    <w:rsid w:val="003454C2"/>
    <w:rsid w:val="00350DB8"/>
    <w:rsid w:val="0038243B"/>
    <w:rsid w:val="00383425"/>
    <w:rsid w:val="003865D0"/>
    <w:rsid w:val="00394F67"/>
    <w:rsid w:val="003A0343"/>
    <w:rsid w:val="003C76C3"/>
    <w:rsid w:val="003D6637"/>
    <w:rsid w:val="003E69DD"/>
    <w:rsid w:val="003F0165"/>
    <w:rsid w:val="004027D0"/>
    <w:rsid w:val="00406E74"/>
    <w:rsid w:val="00445242"/>
    <w:rsid w:val="004461E6"/>
    <w:rsid w:val="004473F6"/>
    <w:rsid w:val="00454254"/>
    <w:rsid w:val="00456544"/>
    <w:rsid w:val="004605AB"/>
    <w:rsid w:val="00463ECA"/>
    <w:rsid w:val="00486EA4"/>
    <w:rsid w:val="004A1046"/>
    <w:rsid w:val="004A5B60"/>
    <w:rsid w:val="004B0C10"/>
    <w:rsid w:val="004C1443"/>
    <w:rsid w:val="00501AE8"/>
    <w:rsid w:val="00507E4B"/>
    <w:rsid w:val="0052354C"/>
    <w:rsid w:val="0052621D"/>
    <w:rsid w:val="00530411"/>
    <w:rsid w:val="00582B5A"/>
    <w:rsid w:val="00585ABD"/>
    <w:rsid w:val="005978FC"/>
    <w:rsid w:val="005B257D"/>
    <w:rsid w:val="005B6D74"/>
    <w:rsid w:val="005E06A0"/>
    <w:rsid w:val="005E12AA"/>
    <w:rsid w:val="005E4658"/>
    <w:rsid w:val="005F3F03"/>
    <w:rsid w:val="00600450"/>
    <w:rsid w:val="006078BD"/>
    <w:rsid w:val="00607F72"/>
    <w:rsid w:val="006118CC"/>
    <w:rsid w:val="0063324C"/>
    <w:rsid w:val="006336FA"/>
    <w:rsid w:val="00642BBD"/>
    <w:rsid w:val="006821DE"/>
    <w:rsid w:val="0068626A"/>
    <w:rsid w:val="0069140F"/>
    <w:rsid w:val="00696BD3"/>
    <w:rsid w:val="006B4446"/>
    <w:rsid w:val="006C7848"/>
    <w:rsid w:val="006F4403"/>
    <w:rsid w:val="00705E01"/>
    <w:rsid w:val="00726AEE"/>
    <w:rsid w:val="00735B3F"/>
    <w:rsid w:val="00755C0A"/>
    <w:rsid w:val="00765168"/>
    <w:rsid w:val="007877C1"/>
    <w:rsid w:val="007A5EC6"/>
    <w:rsid w:val="007B2CBC"/>
    <w:rsid w:val="007D28F6"/>
    <w:rsid w:val="007D6BB1"/>
    <w:rsid w:val="00800A0E"/>
    <w:rsid w:val="008269EB"/>
    <w:rsid w:val="00832484"/>
    <w:rsid w:val="00833732"/>
    <w:rsid w:val="00847376"/>
    <w:rsid w:val="00860D18"/>
    <w:rsid w:val="008701BF"/>
    <w:rsid w:val="0087099A"/>
    <w:rsid w:val="008718D1"/>
    <w:rsid w:val="0087638F"/>
    <w:rsid w:val="008B6CD6"/>
    <w:rsid w:val="008C15F9"/>
    <w:rsid w:val="008C3101"/>
    <w:rsid w:val="008F74AB"/>
    <w:rsid w:val="00913ACD"/>
    <w:rsid w:val="00925BA7"/>
    <w:rsid w:val="00984C2A"/>
    <w:rsid w:val="0098567F"/>
    <w:rsid w:val="00990B3B"/>
    <w:rsid w:val="009A53FD"/>
    <w:rsid w:val="009B1FD8"/>
    <w:rsid w:val="009B749D"/>
    <w:rsid w:val="009C5136"/>
    <w:rsid w:val="009E2108"/>
    <w:rsid w:val="00A23C8E"/>
    <w:rsid w:val="00A3698F"/>
    <w:rsid w:val="00A455F8"/>
    <w:rsid w:val="00A45D3F"/>
    <w:rsid w:val="00A474C5"/>
    <w:rsid w:val="00A50E7B"/>
    <w:rsid w:val="00A5169B"/>
    <w:rsid w:val="00A66265"/>
    <w:rsid w:val="00A6673B"/>
    <w:rsid w:val="00A73405"/>
    <w:rsid w:val="00A81E7E"/>
    <w:rsid w:val="00AB108A"/>
    <w:rsid w:val="00AB30BC"/>
    <w:rsid w:val="00AB79DA"/>
    <w:rsid w:val="00AD5A26"/>
    <w:rsid w:val="00AD61AA"/>
    <w:rsid w:val="00AE2A72"/>
    <w:rsid w:val="00AF39AA"/>
    <w:rsid w:val="00AF4C81"/>
    <w:rsid w:val="00AF4F44"/>
    <w:rsid w:val="00B1430F"/>
    <w:rsid w:val="00B30B26"/>
    <w:rsid w:val="00B462BC"/>
    <w:rsid w:val="00B52E03"/>
    <w:rsid w:val="00B82DB3"/>
    <w:rsid w:val="00BA05BC"/>
    <w:rsid w:val="00BB6837"/>
    <w:rsid w:val="00BB7749"/>
    <w:rsid w:val="00BC1852"/>
    <w:rsid w:val="00BC50C1"/>
    <w:rsid w:val="00BD7E19"/>
    <w:rsid w:val="00BF103C"/>
    <w:rsid w:val="00BF26A1"/>
    <w:rsid w:val="00C01E78"/>
    <w:rsid w:val="00C16CEF"/>
    <w:rsid w:val="00C43E6E"/>
    <w:rsid w:val="00C51E45"/>
    <w:rsid w:val="00C72B33"/>
    <w:rsid w:val="00C77BF0"/>
    <w:rsid w:val="00C915E2"/>
    <w:rsid w:val="00C967B1"/>
    <w:rsid w:val="00CA0595"/>
    <w:rsid w:val="00CA40E8"/>
    <w:rsid w:val="00CB2060"/>
    <w:rsid w:val="00CC4C55"/>
    <w:rsid w:val="00CC7F4C"/>
    <w:rsid w:val="00CD40FA"/>
    <w:rsid w:val="00CF5F01"/>
    <w:rsid w:val="00D06518"/>
    <w:rsid w:val="00D06B6A"/>
    <w:rsid w:val="00D07B65"/>
    <w:rsid w:val="00D11658"/>
    <w:rsid w:val="00D12871"/>
    <w:rsid w:val="00D33D98"/>
    <w:rsid w:val="00D3543F"/>
    <w:rsid w:val="00D6217E"/>
    <w:rsid w:val="00D764A1"/>
    <w:rsid w:val="00D865A8"/>
    <w:rsid w:val="00D951A6"/>
    <w:rsid w:val="00DA3547"/>
    <w:rsid w:val="00DB08D8"/>
    <w:rsid w:val="00DC4A67"/>
    <w:rsid w:val="00DF5CB6"/>
    <w:rsid w:val="00E11E2A"/>
    <w:rsid w:val="00E12768"/>
    <w:rsid w:val="00E37394"/>
    <w:rsid w:val="00E6310B"/>
    <w:rsid w:val="00E66952"/>
    <w:rsid w:val="00E67F66"/>
    <w:rsid w:val="00E87126"/>
    <w:rsid w:val="00EA3BD5"/>
    <w:rsid w:val="00EA4706"/>
    <w:rsid w:val="00EB4461"/>
    <w:rsid w:val="00ED43BE"/>
    <w:rsid w:val="00ED5D20"/>
    <w:rsid w:val="00EE7689"/>
    <w:rsid w:val="00F1638E"/>
    <w:rsid w:val="00F2087E"/>
    <w:rsid w:val="00F42152"/>
    <w:rsid w:val="00F51F76"/>
    <w:rsid w:val="00F64568"/>
    <w:rsid w:val="00F651C5"/>
    <w:rsid w:val="00F65ED2"/>
    <w:rsid w:val="00F66D5A"/>
    <w:rsid w:val="00F85A9C"/>
    <w:rsid w:val="00F87C7A"/>
    <w:rsid w:val="00F909ED"/>
    <w:rsid w:val="00F9132A"/>
    <w:rsid w:val="00F974E3"/>
    <w:rsid w:val="00FA07D0"/>
    <w:rsid w:val="00FE207F"/>
    <w:rsid w:val="00FE212A"/>
    <w:rsid w:val="04C26D48"/>
    <w:rsid w:val="10E12137"/>
    <w:rsid w:val="180B1CC8"/>
    <w:rsid w:val="1C961B00"/>
    <w:rsid w:val="1E4D1C25"/>
    <w:rsid w:val="1ED200E5"/>
    <w:rsid w:val="201F0554"/>
    <w:rsid w:val="21453C9D"/>
    <w:rsid w:val="222761DA"/>
    <w:rsid w:val="250000EF"/>
    <w:rsid w:val="28EC6B33"/>
    <w:rsid w:val="2ABC0F6E"/>
    <w:rsid w:val="2E4E741B"/>
    <w:rsid w:val="32632523"/>
    <w:rsid w:val="3A211BE9"/>
    <w:rsid w:val="3C7B4066"/>
    <w:rsid w:val="405E3013"/>
    <w:rsid w:val="4E7B5F6B"/>
    <w:rsid w:val="5D0E660C"/>
    <w:rsid w:val="5DC97DB5"/>
    <w:rsid w:val="5DE433BE"/>
    <w:rsid w:val="68372A6A"/>
    <w:rsid w:val="6AC21D8C"/>
    <w:rsid w:val="79060C8D"/>
    <w:rsid w:val="7CB027E7"/>
    <w:rsid w:val="7CFD0CA5"/>
    <w:rsid w:val="7D92023D"/>
    <w:rsid w:val="7FBC2C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outlineLvl w:val="0"/>
    </w:pPr>
    <w:rPr>
      <w:b/>
      <w:sz w:val="18"/>
    </w:rPr>
  </w:style>
  <w:style w:type="paragraph" w:styleId="3">
    <w:name w:val="heading 3"/>
    <w:basedOn w:val="1"/>
    <w:next w:val="1"/>
    <w:link w:val="15"/>
    <w:qFormat/>
    <w:uiPriority w:val="0"/>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alloon Text"/>
    <w:basedOn w:val="1"/>
    <w:semiHidden/>
    <w:qFormat/>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character" w:customStyle="1" w:styleId="11">
    <w:name w:val="页眉 Char"/>
    <w:basedOn w:val="9"/>
    <w:link w:val="6"/>
    <w:qFormat/>
    <w:uiPriority w:val="0"/>
    <w:rPr>
      <w:kern w:val="2"/>
      <w:sz w:val="18"/>
      <w:szCs w:val="18"/>
    </w:rPr>
  </w:style>
  <w:style w:type="character" w:customStyle="1" w:styleId="12">
    <w:name w:val="页脚 Char"/>
    <w:basedOn w:val="9"/>
    <w:link w:val="5"/>
    <w:qFormat/>
    <w:uiPriority w:val="0"/>
    <w:rPr>
      <w:kern w:val="2"/>
      <w:sz w:val="18"/>
      <w:szCs w:val="18"/>
    </w:rPr>
  </w:style>
  <w:style w:type="paragraph" w:customStyle="1" w:styleId="13">
    <w:name w:val="È±Ê¡ÎÄ±¾"/>
    <w:basedOn w:val="1"/>
    <w:qFormat/>
    <w:uiPriority w:val="0"/>
    <w:pPr>
      <w:widowControl/>
      <w:overflowPunct w:val="0"/>
      <w:autoSpaceDE w:val="0"/>
      <w:autoSpaceDN w:val="0"/>
      <w:adjustRightInd w:val="0"/>
      <w:jc w:val="left"/>
      <w:textAlignment w:val="baseline"/>
    </w:pPr>
    <w:rPr>
      <w:rFonts w:ascii="宋体"/>
      <w:kern w:val="0"/>
      <w:sz w:val="24"/>
    </w:rPr>
  </w:style>
  <w:style w:type="paragraph" w:customStyle="1" w:styleId="14">
    <w:name w:val="±í¸ñÎÄ×Ö"/>
    <w:basedOn w:val="1"/>
    <w:qFormat/>
    <w:uiPriority w:val="0"/>
    <w:pPr>
      <w:widowControl/>
      <w:overflowPunct w:val="0"/>
      <w:autoSpaceDE w:val="0"/>
      <w:autoSpaceDN w:val="0"/>
      <w:adjustRightInd w:val="0"/>
      <w:jc w:val="left"/>
      <w:textAlignment w:val="baseline"/>
    </w:pPr>
    <w:rPr>
      <w:rFonts w:ascii="宋体"/>
      <w:kern w:val="0"/>
      <w:sz w:val="24"/>
    </w:rPr>
  </w:style>
  <w:style w:type="character" w:customStyle="1" w:styleId="15">
    <w:name w:val="标题 3 Char"/>
    <w:basedOn w:val="9"/>
    <w:link w:val="3"/>
    <w:qFormat/>
    <w:uiPriority w:val="0"/>
    <w:rPr>
      <w:rFonts w:eastAsia="宋体"/>
      <w:b/>
      <w:bCs/>
      <w:kern w:val="2"/>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wc</Company>
  <Pages>11</Pages>
  <Words>3189</Words>
  <Characters>3635</Characters>
  <Lines>30</Lines>
  <Paragraphs>8</Paragraphs>
  <TotalTime>384</TotalTime>
  <ScaleCrop>false</ScaleCrop>
  <LinksUpToDate>false</LinksUpToDate>
  <CharactersWithSpaces>3699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2019-01-16T10:07:00Z</dcterms:created>
  <dc:creator>cj</dc:creator>
  <cp:lastModifiedBy>Administrator</cp:lastModifiedBy>
  <cp:lastPrinted>2017-07-11T02:14:00Z</cp:lastPrinted>
  <dcterms:modified xsi:type="dcterms:W3CDTF">2026-04-13T01:30:19Z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A19FDE33684B48C29FE23C1C1E436650</vt:lpwstr>
  </property>
  <property fmtid="{D5CDD505-2E9C-101B-9397-08002B2CF9AE}" pid="4" name="KSOTemplateDocerSaveRecord">
    <vt:lpwstr>eyJoZGlkIjoiNGQ1Njc1NTBlOGQ3MGI3OGMyYTUwZDVkZWQ4YzEyOWQiLCJ1c2VySWQiOiI0NTk1ODc1ODEifQ==</vt:lpwstr>
  </property>
</Properties>
</file>