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A77665">
      <w:pPr>
        <w:pStyle w:val="9"/>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32"/>
          <w:szCs w:val="32"/>
          <w:highlight w:val="none"/>
          <w:u w:val="single"/>
          <w:lang w:val="en-US" w:eastAsia="zh-CN"/>
        </w:rPr>
        <w:t>标的2.广州供电局2026-2027年输变电工程造价全过程监督检查服务项目</w:t>
      </w:r>
      <w:r>
        <w:rPr>
          <w:rFonts w:hint="eastAsia" w:asciiTheme="minorEastAsia" w:hAnsiTheme="minorEastAsia" w:eastAsiaTheme="minorEastAsia" w:cstheme="minorEastAsia"/>
          <w:b/>
          <w:bCs/>
          <w:snapToGrid w:val="0"/>
          <w:color w:val="auto"/>
          <w:kern w:val="0"/>
          <w:sz w:val="32"/>
          <w:szCs w:val="32"/>
          <w:highlight w:val="none"/>
          <w:u w:val="none"/>
          <w:lang w:val="en-US" w:eastAsia="zh-CN"/>
        </w:rPr>
        <w:t>）</w:t>
      </w:r>
    </w:p>
    <w:bookmarkEnd w:id="0"/>
    <w:p w14:paraId="6961A647">
      <w:pPr>
        <w:pStyle w:val="9"/>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14:paraId="543FC47D">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2"/>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052"/>
        <w:gridCol w:w="5981"/>
      </w:tblGrid>
      <w:tr w14:paraId="7F4BE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top"/>
          </w:tcPr>
          <w:p w14:paraId="525C68DC">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052" w:type="dxa"/>
            <w:noWrap w:val="0"/>
            <w:vAlign w:val="top"/>
          </w:tcPr>
          <w:p w14:paraId="4DC31E36">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981" w:type="dxa"/>
            <w:noWrap w:val="0"/>
            <w:vAlign w:val="top"/>
          </w:tcPr>
          <w:p w14:paraId="773762D8">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14:paraId="7FE81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exact"/>
          <w:jc w:val="center"/>
        </w:trPr>
        <w:tc>
          <w:tcPr>
            <w:tcW w:w="776" w:type="dxa"/>
            <w:noWrap w:val="0"/>
            <w:vAlign w:val="center"/>
          </w:tcPr>
          <w:p w14:paraId="4453BDAC">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052" w:type="dxa"/>
            <w:noWrap w:val="0"/>
            <w:vAlign w:val="center"/>
          </w:tcPr>
          <w:p w14:paraId="192ADC9F">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可研批复(项目立项)文号</w:t>
            </w:r>
          </w:p>
        </w:tc>
        <w:tc>
          <w:tcPr>
            <w:tcW w:w="5981" w:type="dxa"/>
            <w:noWrap w:val="0"/>
            <w:vAlign w:val="center"/>
          </w:tcPr>
          <w:p w14:paraId="386F136A">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纳入本项目框架范围内的输变电工程（含纳入基建统一管理的迁改、技改工程）和小型基建工程的批复文件</w:t>
            </w:r>
          </w:p>
        </w:tc>
      </w:tr>
      <w:tr w14:paraId="23CFF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exact"/>
          <w:jc w:val="center"/>
        </w:trPr>
        <w:tc>
          <w:tcPr>
            <w:tcW w:w="776" w:type="dxa"/>
            <w:noWrap w:val="0"/>
            <w:vAlign w:val="center"/>
          </w:tcPr>
          <w:p w14:paraId="40AC0BDF">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052" w:type="dxa"/>
            <w:noWrap w:val="0"/>
            <w:vAlign w:val="center"/>
          </w:tcPr>
          <w:p w14:paraId="303E6117">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资金落实情况</w:t>
            </w:r>
          </w:p>
        </w:tc>
        <w:tc>
          <w:tcPr>
            <w:tcW w:w="5981" w:type="dxa"/>
            <w:noWrap w:val="0"/>
            <w:vAlign w:val="center"/>
          </w:tcPr>
          <w:p w14:paraId="5E72E16B">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资金已落实。资金来源：纳入2026-2027年度投资计划且纳入本项目框架范围内的各工程的项目资金。</w:t>
            </w:r>
          </w:p>
        </w:tc>
      </w:tr>
      <w:tr w14:paraId="34506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6A871637">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052" w:type="dxa"/>
            <w:noWrap w:val="0"/>
            <w:vAlign w:val="center"/>
          </w:tcPr>
          <w:p w14:paraId="39392362">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981" w:type="dxa"/>
            <w:noWrap w:val="0"/>
            <w:vAlign w:val="center"/>
          </w:tcPr>
          <w:p w14:paraId="4011A7EC">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14:paraId="07858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1D12763A">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052" w:type="dxa"/>
            <w:noWrap w:val="0"/>
            <w:vAlign w:val="center"/>
          </w:tcPr>
          <w:p w14:paraId="4BF9E511">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981" w:type="dxa"/>
            <w:noWrap w:val="0"/>
            <w:vAlign w:val="center"/>
          </w:tcPr>
          <w:p w14:paraId="1334B0F9">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w:t>
            </w:r>
          </w:p>
        </w:tc>
      </w:tr>
      <w:tr w14:paraId="20C0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1" w:hRule="exact"/>
          <w:jc w:val="center"/>
        </w:trPr>
        <w:tc>
          <w:tcPr>
            <w:tcW w:w="776" w:type="dxa"/>
            <w:noWrap w:val="0"/>
            <w:vAlign w:val="center"/>
          </w:tcPr>
          <w:p w14:paraId="30ACFE03">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052" w:type="dxa"/>
            <w:noWrap w:val="0"/>
            <w:vAlign w:val="center"/>
          </w:tcPr>
          <w:p w14:paraId="7EEFF54E">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服务期/框架有效期</w:t>
            </w:r>
          </w:p>
        </w:tc>
        <w:tc>
          <w:tcPr>
            <w:tcW w:w="5981" w:type="dxa"/>
            <w:noWrap w:val="0"/>
            <w:vAlign w:val="center"/>
          </w:tcPr>
          <w:p w14:paraId="2A9A2366">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服务期：合同签订之日起至2027年12月31日。</w:t>
            </w:r>
          </w:p>
          <w:p w14:paraId="497450D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框架有效期：合同签订之日起至2027年12月31日。</w:t>
            </w: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协议期内，实际采购量达到标包预估金额上限（标包预估金额×150%）时，即终止该供应商的框架协议。</w:t>
            </w:r>
          </w:p>
          <w:p w14:paraId="50A83642">
            <w:pPr>
              <w:pStyle w:val="2"/>
              <w:rPr>
                <w:rFonts w:hint="eastAsia"/>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若下一次框架招标结果没有在2028年1月1日之前签订合同，本框架招标结果可延续至下一次招标框架合同签订之日，但延续时长不能超过半年。</w:t>
            </w:r>
          </w:p>
        </w:tc>
      </w:tr>
    </w:tbl>
    <w:p w14:paraId="710540C1">
      <w:pPr>
        <w:keepNext w:val="0"/>
        <w:keepLines w:val="0"/>
        <w:pageBreakBefore w:val="0"/>
        <w:widowControl w:val="0"/>
        <w:numPr>
          <w:ilvl w:val="0"/>
          <w:numId w:val="0"/>
        </w:numPr>
        <w:kinsoku/>
        <w:wordWrap/>
        <w:overflowPunct/>
        <w:topLinePunct w:val="0"/>
        <w:bidi w:val="0"/>
        <w:snapToGrid/>
        <w:spacing w:before="157" w:beforeLines="50" w:after="157" w:afterLines="50" w:line="480" w:lineRule="auto"/>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14:paraId="72BC2855">
      <w:pPr>
        <w:keepNext w:val="0"/>
        <w:keepLines w:val="0"/>
        <w:pageBreakBefore w:val="0"/>
        <w:widowControl w:val="0"/>
        <w:kinsoku/>
        <w:wordWrap/>
        <w:overflowPunct/>
        <w:topLinePunct w:val="0"/>
        <w:bidi w:val="0"/>
        <w:snapToGrid/>
        <w:spacing w:before="157" w:beforeLines="50" w:after="157" w:afterLines="50" w:line="480" w:lineRule="auto"/>
        <w:ind w:firstLine="480" w:firstLineChars="200"/>
        <w:textAlignment w:val="auto"/>
        <w:rPr>
          <w:rFonts w:hint="eastAsia" w:ascii="Wingdings" w:hAnsi="Wingdings" w:cs="Wingdings" w:eastAsiaTheme="minorEastAsia"/>
          <w:b/>
          <w:bCs/>
          <w:i w:val="0"/>
          <w:iCs/>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按照《</w:t>
      </w:r>
      <w:r>
        <w:rPr>
          <w:rFonts w:hint="eastAsia" w:ascii="宋体" w:hAnsi="宋体" w:cs="宋体"/>
          <w:b w:val="0"/>
          <w:bCs w:val="0"/>
          <w:color w:val="auto"/>
          <w:kern w:val="2"/>
          <w:sz w:val="24"/>
          <w:szCs w:val="24"/>
          <w:highlight w:val="none"/>
          <w:u w:val="none"/>
          <w:lang w:val="en-US" w:eastAsia="zh-CN" w:bidi="ar-SA"/>
        </w:rPr>
        <w:t>广州供电局输变电工程造价全过程监督检查现场实施方案</w:t>
      </w:r>
      <w:r>
        <w:rPr>
          <w:rFonts w:hint="eastAsia" w:ascii="宋体" w:hAnsi="宋体" w:eastAsia="宋体" w:cs="宋体"/>
          <w:b w:val="0"/>
          <w:bCs w:val="0"/>
          <w:color w:val="auto"/>
          <w:kern w:val="2"/>
          <w:sz w:val="24"/>
          <w:szCs w:val="24"/>
          <w:highlight w:val="none"/>
          <w:u w:val="none"/>
          <w:lang w:val="en-US" w:eastAsia="zh-CN" w:bidi="ar-SA"/>
        </w:rPr>
        <w:t>》，每月对各项</w:t>
      </w:r>
      <w:r>
        <w:rPr>
          <w:rFonts w:hint="eastAsia" w:ascii="宋体" w:hAnsi="宋体" w:cs="宋体"/>
          <w:b w:val="0"/>
          <w:bCs w:val="0"/>
          <w:color w:val="auto"/>
          <w:kern w:val="2"/>
          <w:sz w:val="24"/>
          <w:szCs w:val="24"/>
          <w:highlight w:val="none"/>
          <w:u w:val="none"/>
          <w:lang w:val="en-US" w:eastAsia="zh-CN" w:bidi="ar-SA"/>
        </w:rPr>
        <w:t>投资计划内的输变电</w:t>
      </w:r>
      <w:r>
        <w:rPr>
          <w:rFonts w:hint="eastAsia" w:ascii="宋体" w:hAnsi="宋体" w:eastAsia="宋体" w:cs="宋体"/>
          <w:b w:val="0"/>
          <w:bCs w:val="0"/>
          <w:color w:val="auto"/>
          <w:kern w:val="2"/>
          <w:sz w:val="24"/>
          <w:szCs w:val="24"/>
          <w:highlight w:val="none"/>
          <w:u w:val="none"/>
          <w:lang w:val="en-US" w:eastAsia="zh-CN" w:bidi="ar-SA"/>
        </w:rPr>
        <w:t>工</w:t>
      </w:r>
      <w:r>
        <w:rPr>
          <w:rFonts w:hint="eastAsia" w:ascii="宋体" w:hAnsi="宋体" w:cs="宋体"/>
          <w:b w:val="0"/>
          <w:bCs w:val="0"/>
          <w:color w:val="auto"/>
          <w:kern w:val="2"/>
          <w:sz w:val="24"/>
          <w:szCs w:val="24"/>
          <w:highlight w:val="none"/>
          <w:u w:val="none"/>
          <w:lang w:val="en-US" w:eastAsia="zh-CN" w:bidi="ar-SA"/>
        </w:rPr>
        <w:t>程（含纳入基建统一管理的迁改、技改工程）</w:t>
      </w: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和小型基建工程</w:t>
      </w:r>
      <w:r>
        <w:rPr>
          <w:rFonts w:hint="eastAsia" w:ascii="宋体" w:hAnsi="宋体" w:eastAsia="宋体" w:cs="宋体"/>
          <w:b w:val="0"/>
          <w:bCs w:val="0"/>
          <w:color w:val="auto"/>
          <w:kern w:val="2"/>
          <w:sz w:val="24"/>
          <w:szCs w:val="24"/>
          <w:highlight w:val="none"/>
          <w:u w:val="none"/>
          <w:lang w:val="en-US" w:eastAsia="zh-CN" w:bidi="ar-SA"/>
        </w:rPr>
        <w:t>进行监督检查。</w:t>
      </w:r>
    </w:p>
    <w:p w14:paraId="0DBE60E2">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二、采购范围</w:t>
      </w:r>
    </w:p>
    <w:p w14:paraId="2B8BC730">
      <w:pPr>
        <w:keepNext w:val="0"/>
        <w:keepLines w:val="0"/>
        <w:pageBreakBefore w:val="0"/>
        <w:widowControl w:val="0"/>
        <w:kinsoku/>
        <w:wordWrap/>
        <w:overflowPunct/>
        <w:topLinePunct w:val="0"/>
        <w:bidi w:val="0"/>
        <w:snapToGrid/>
        <w:spacing w:before="157" w:beforeLines="50" w:after="157" w:afterLines="50" w:line="480" w:lineRule="auto"/>
        <w:ind w:firstLine="480" w:firstLineChars="200"/>
        <w:textAlignment w:val="auto"/>
        <w:rPr>
          <w:rFonts w:hint="eastAsia" w:ascii="宋体" w:hAnsi="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按照</w:t>
      </w:r>
      <w:r>
        <w:rPr>
          <w:rFonts w:hint="eastAsia" w:ascii="宋体" w:hAnsi="宋体" w:eastAsia="宋体" w:cs="宋体"/>
          <w:b w:val="0"/>
          <w:bCs w:val="0"/>
          <w:color w:val="auto"/>
          <w:kern w:val="2"/>
          <w:sz w:val="24"/>
          <w:szCs w:val="24"/>
          <w:highlight w:val="none"/>
          <w:u w:val="none"/>
          <w:lang w:val="en-US" w:eastAsia="zh-CN" w:bidi="ar-SA"/>
        </w:rPr>
        <w:t>《</w:t>
      </w:r>
      <w:r>
        <w:rPr>
          <w:rFonts w:hint="eastAsia" w:ascii="宋体" w:hAnsi="宋体" w:cs="宋体"/>
          <w:b w:val="0"/>
          <w:bCs w:val="0"/>
          <w:color w:val="auto"/>
          <w:kern w:val="2"/>
          <w:sz w:val="24"/>
          <w:szCs w:val="24"/>
          <w:highlight w:val="none"/>
          <w:u w:val="none"/>
          <w:lang w:val="en-US" w:eastAsia="zh-CN" w:bidi="ar-SA"/>
        </w:rPr>
        <w:t>广州供电局输变电工程造价全过程监督检查现场实施方案</w:t>
      </w:r>
      <w:r>
        <w:rPr>
          <w:rFonts w:hint="eastAsia" w:ascii="宋体" w:hAnsi="宋体" w:eastAsia="宋体" w:cs="宋体"/>
          <w:b w:val="0"/>
          <w:bCs w:val="0"/>
          <w:color w:val="auto"/>
          <w:kern w:val="2"/>
          <w:sz w:val="24"/>
          <w:szCs w:val="24"/>
          <w:highlight w:val="none"/>
          <w:u w:val="none"/>
          <w:lang w:val="en-US" w:eastAsia="zh-CN" w:bidi="ar-SA"/>
        </w:rPr>
        <w:t>》</w:t>
      </w:r>
      <w:r>
        <w:rPr>
          <w:rFonts w:hint="eastAsia" w:ascii="宋体" w:hAnsi="宋体" w:eastAsia="宋体" w:cs="宋体"/>
          <w:b w:val="0"/>
          <w:bCs w:val="0"/>
          <w:color w:val="auto"/>
          <w:sz w:val="24"/>
          <w:szCs w:val="24"/>
          <w:highlight w:val="none"/>
          <w:u w:val="none"/>
          <w:lang w:val="en-US" w:eastAsia="zh-CN"/>
        </w:rPr>
        <w:t>，每月对各项投资计划内的输变电工程（含纳入基建统一管理的迁改、技改工程）</w:t>
      </w: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和小型基建工程</w:t>
      </w:r>
      <w:r>
        <w:rPr>
          <w:rFonts w:hint="eastAsia" w:ascii="宋体" w:hAnsi="宋体" w:eastAsia="宋体" w:cs="宋体"/>
          <w:b w:val="0"/>
          <w:bCs w:val="0"/>
          <w:color w:val="auto"/>
          <w:sz w:val="24"/>
          <w:szCs w:val="24"/>
          <w:highlight w:val="none"/>
          <w:u w:val="none"/>
          <w:lang w:val="en-US" w:eastAsia="zh-CN"/>
        </w:rPr>
        <w:t>进行监督检查</w:t>
      </w:r>
      <w:r>
        <w:rPr>
          <w:rFonts w:hint="eastAsia" w:ascii="宋体" w:hAnsi="宋体" w:cs="宋体"/>
          <w:b w:val="0"/>
          <w:bCs w:val="0"/>
          <w:color w:val="auto"/>
          <w:sz w:val="24"/>
          <w:szCs w:val="24"/>
          <w:highlight w:val="none"/>
          <w:u w:val="none"/>
          <w:lang w:val="en-US" w:eastAsia="zh-CN"/>
        </w:rPr>
        <w:t>。监督检查主要内容：</w:t>
      </w:r>
    </w:p>
    <w:p w14:paraId="1AE8229E">
      <w:pPr>
        <w:keepNext w:val="0"/>
        <w:keepLines w:val="0"/>
        <w:pageBreakBefore w:val="0"/>
        <w:widowControl w:val="0"/>
        <w:numPr>
          <w:ilvl w:val="-1"/>
          <w:numId w:val="0"/>
        </w:numPr>
        <w:kinsoku/>
        <w:wordWrap/>
        <w:overflowPunct/>
        <w:topLinePunct w:val="0"/>
        <w:bidi w:val="0"/>
        <w:snapToGrid/>
        <w:spacing w:before="157" w:beforeLines="50" w:after="157" w:afterLines="50" w:line="480" w:lineRule="auto"/>
        <w:textAlignment w:val="auto"/>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（一）对工程全过程造价咨询情况进行监督检查；</w:t>
      </w:r>
    </w:p>
    <w:p w14:paraId="3AF63ECA">
      <w:pPr>
        <w:keepNext w:val="0"/>
        <w:keepLines w:val="0"/>
        <w:pageBreakBefore w:val="0"/>
        <w:widowControl w:val="0"/>
        <w:numPr>
          <w:ilvl w:val="-1"/>
          <w:numId w:val="0"/>
        </w:numPr>
        <w:kinsoku/>
        <w:wordWrap/>
        <w:overflowPunct/>
        <w:topLinePunct w:val="0"/>
        <w:bidi w:val="0"/>
        <w:snapToGrid/>
        <w:spacing w:before="157" w:beforeLines="50" w:after="157" w:afterLines="50" w:line="480" w:lineRule="auto"/>
        <w:ind w:firstLine="0" w:firstLineChars="0"/>
        <w:textAlignment w:val="auto"/>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（二）对计划结算项目结算质量和结算进度情况进行监督检查；</w:t>
      </w:r>
    </w:p>
    <w:p w14:paraId="00695BBA">
      <w:pPr>
        <w:keepNext w:val="0"/>
        <w:keepLines w:val="0"/>
        <w:pageBreakBefore w:val="0"/>
        <w:widowControl w:val="0"/>
        <w:numPr>
          <w:ilvl w:val="-1"/>
          <w:numId w:val="0"/>
        </w:numPr>
        <w:kinsoku/>
        <w:wordWrap/>
        <w:overflowPunct/>
        <w:topLinePunct w:val="0"/>
        <w:bidi w:val="0"/>
        <w:snapToGrid/>
        <w:spacing w:before="157" w:beforeLines="50" w:after="157" w:afterLines="50" w:line="480" w:lineRule="auto"/>
        <w:textAlignment w:val="auto"/>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（三）对已完成结算但在建工程余额未清零的项目的余额清理情况进行监督检查；</w:t>
      </w:r>
    </w:p>
    <w:p w14:paraId="208A7B0E">
      <w:pPr>
        <w:keepNext w:val="0"/>
        <w:keepLines w:val="0"/>
        <w:pageBreakBefore w:val="0"/>
        <w:widowControl w:val="0"/>
        <w:numPr>
          <w:ilvl w:val="-1"/>
          <w:numId w:val="0"/>
        </w:numPr>
        <w:kinsoku/>
        <w:wordWrap/>
        <w:overflowPunct/>
        <w:topLinePunct w:val="0"/>
        <w:bidi w:val="0"/>
        <w:snapToGrid/>
        <w:spacing w:before="157" w:beforeLines="50" w:after="157" w:afterLines="50" w:line="480" w:lineRule="auto"/>
        <w:textAlignment w:val="auto"/>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（四）对两拖欠工程款进行监督检查；</w:t>
      </w:r>
    </w:p>
    <w:p w14:paraId="52073E60">
      <w:pPr>
        <w:keepNext w:val="0"/>
        <w:keepLines w:val="0"/>
        <w:pageBreakBefore w:val="0"/>
        <w:widowControl w:val="0"/>
        <w:numPr>
          <w:ilvl w:val="-1"/>
          <w:numId w:val="0"/>
        </w:numPr>
        <w:kinsoku/>
        <w:wordWrap/>
        <w:overflowPunct/>
        <w:topLinePunct w:val="0"/>
        <w:bidi w:val="0"/>
        <w:snapToGrid/>
        <w:spacing w:before="157" w:beforeLines="50" w:after="157" w:afterLines="50" w:line="480" w:lineRule="auto"/>
        <w:textAlignment w:val="auto"/>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（五）对其他造价相关工作开展监督检查。</w:t>
      </w:r>
    </w:p>
    <w:p w14:paraId="22BA7F38">
      <w:pPr>
        <w:pStyle w:val="3"/>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三、报价表及报价要求</w:t>
      </w:r>
    </w:p>
    <w:tbl>
      <w:tblPr>
        <w:tblStyle w:val="11"/>
        <w:tblW w:w="5187" w:type="pct"/>
        <w:tblInd w:w="0" w:type="dxa"/>
        <w:tblLayout w:type="fixed"/>
        <w:tblCellMar>
          <w:top w:w="0" w:type="dxa"/>
          <w:left w:w="108" w:type="dxa"/>
          <w:bottom w:w="0" w:type="dxa"/>
          <w:right w:w="108" w:type="dxa"/>
        </w:tblCellMar>
      </w:tblPr>
      <w:tblGrid>
        <w:gridCol w:w="607"/>
        <w:gridCol w:w="1465"/>
        <w:gridCol w:w="634"/>
        <w:gridCol w:w="1004"/>
        <w:gridCol w:w="1691"/>
        <w:gridCol w:w="1466"/>
        <w:gridCol w:w="994"/>
        <w:gridCol w:w="1237"/>
        <w:gridCol w:w="1238"/>
      </w:tblGrid>
      <w:tr w14:paraId="0CEFC735">
        <w:tblPrEx>
          <w:tblCellMar>
            <w:top w:w="0" w:type="dxa"/>
            <w:left w:w="108" w:type="dxa"/>
            <w:bottom w:w="0" w:type="dxa"/>
            <w:right w:w="108" w:type="dxa"/>
          </w:tblCellMar>
        </w:tblPrEx>
        <w:trPr>
          <w:trHeight w:val="567" w:hRule="atLeast"/>
        </w:trPr>
        <w:tc>
          <w:tcPr>
            <w:tcW w:w="293" w:type="pct"/>
            <w:tcBorders>
              <w:top w:val="single" w:color="auto" w:sz="4" w:space="0"/>
              <w:left w:val="single" w:color="auto" w:sz="4" w:space="0"/>
              <w:bottom w:val="single" w:color="auto" w:sz="4" w:space="0"/>
              <w:right w:val="single" w:color="auto" w:sz="4" w:space="0"/>
            </w:tcBorders>
            <w:noWrap w:val="0"/>
            <w:vAlign w:val="center"/>
          </w:tcPr>
          <w:p w14:paraId="55241CB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序号</w:t>
            </w:r>
          </w:p>
        </w:tc>
        <w:tc>
          <w:tcPr>
            <w:tcW w:w="708" w:type="pct"/>
            <w:tcBorders>
              <w:top w:val="single" w:color="auto" w:sz="4" w:space="0"/>
              <w:left w:val="nil"/>
              <w:bottom w:val="single" w:color="auto" w:sz="4" w:space="0"/>
              <w:right w:val="single" w:color="auto" w:sz="4" w:space="0"/>
            </w:tcBorders>
            <w:noWrap w:val="0"/>
            <w:vAlign w:val="center"/>
          </w:tcPr>
          <w:p w14:paraId="2A9DB2A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人员</w:t>
            </w:r>
          </w:p>
        </w:tc>
        <w:tc>
          <w:tcPr>
            <w:tcW w:w="306" w:type="pct"/>
            <w:tcBorders>
              <w:top w:val="single" w:color="auto" w:sz="4" w:space="0"/>
              <w:left w:val="nil"/>
              <w:bottom w:val="single" w:color="auto" w:sz="4" w:space="0"/>
              <w:right w:val="single" w:color="auto" w:sz="4" w:space="0"/>
            </w:tcBorders>
            <w:noWrap w:val="0"/>
            <w:vAlign w:val="center"/>
          </w:tcPr>
          <w:p w14:paraId="7AB5116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人数</w:t>
            </w:r>
          </w:p>
        </w:tc>
        <w:tc>
          <w:tcPr>
            <w:tcW w:w="485" w:type="pct"/>
            <w:tcBorders>
              <w:top w:val="single" w:color="auto" w:sz="4" w:space="0"/>
              <w:left w:val="nil"/>
              <w:bottom w:val="single" w:color="auto" w:sz="4" w:space="0"/>
              <w:right w:val="single" w:color="auto" w:sz="4" w:space="0"/>
            </w:tcBorders>
            <w:noWrap w:val="0"/>
            <w:vAlign w:val="center"/>
          </w:tcPr>
          <w:p w14:paraId="162D1EAD">
            <w:pPr>
              <w:widowControl/>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工作日</w:t>
            </w:r>
          </w:p>
        </w:tc>
        <w:tc>
          <w:tcPr>
            <w:tcW w:w="818" w:type="pct"/>
            <w:tcBorders>
              <w:top w:val="single" w:color="auto" w:sz="4" w:space="0"/>
              <w:left w:val="nil"/>
              <w:bottom w:val="single" w:color="auto" w:sz="4" w:space="0"/>
              <w:right w:val="single" w:color="auto" w:sz="4" w:space="0"/>
            </w:tcBorders>
            <w:noWrap w:val="0"/>
            <w:vAlign w:val="center"/>
          </w:tcPr>
          <w:p w14:paraId="362264B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单价（</w:t>
            </w:r>
            <w:r>
              <w:rPr>
                <w:rFonts w:hint="eastAsia" w:ascii="宋体" w:hAnsi="宋体" w:eastAsia="宋体" w:cs="宋体"/>
                <w:b w:val="0"/>
                <w:bCs w:val="0"/>
                <w:color w:val="000000"/>
                <w:kern w:val="0"/>
                <w:sz w:val="21"/>
                <w:szCs w:val="21"/>
              </w:rPr>
              <w:t>元/人·</w:t>
            </w:r>
            <w:r>
              <w:rPr>
                <w:rFonts w:hint="eastAsia" w:ascii="宋体" w:hAnsi="宋体" w:eastAsia="宋体" w:cs="宋体"/>
                <w:b w:val="0"/>
                <w:bCs w:val="0"/>
                <w:color w:val="000000"/>
                <w:kern w:val="0"/>
                <w:sz w:val="21"/>
                <w:szCs w:val="21"/>
                <w:lang w:val="en-US" w:eastAsia="zh-CN"/>
              </w:rPr>
              <w:t>天</w:t>
            </w:r>
            <w:r>
              <w:rPr>
                <w:rFonts w:hint="eastAsia" w:ascii="宋体" w:hAnsi="宋体" w:eastAsia="宋体" w:cs="宋体"/>
                <w:kern w:val="0"/>
                <w:sz w:val="21"/>
                <w:szCs w:val="21"/>
              </w:rPr>
              <w:t>）</w:t>
            </w:r>
          </w:p>
        </w:tc>
        <w:tc>
          <w:tcPr>
            <w:tcW w:w="709" w:type="pct"/>
            <w:tcBorders>
              <w:top w:val="single" w:color="auto" w:sz="4" w:space="0"/>
              <w:left w:val="nil"/>
              <w:bottom w:val="single" w:color="auto" w:sz="4" w:space="0"/>
              <w:right w:val="single" w:color="auto" w:sz="4" w:space="0"/>
            </w:tcBorders>
            <w:noWrap w:val="0"/>
            <w:vAlign w:val="center"/>
          </w:tcPr>
          <w:p w14:paraId="4DEF48C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合价</w:t>
            </w:r>
            <w:r>
              <w:rPr>
                <w:rFonts w:hint="eastAsia" w:ascii="宋体" w:hAnsi="宋体" w:eastAsia="宋体" w:cs="宋体"/>
                <w:kern w:val="0"/>
                <w:sz w:val="21"/>
                <w:szCs w:val="21"/>
              </w:rPr>
              <w:t>（元）</w:t>
            </w:r>
          </w:p>
        </w:tc>
        <w:tc>
          <w:tcPr>
            <w:tcW w:w="480" w:type="pct"/>
            <w:tcBorders>
              <w:top w:val="single" w:color="auto" w:sz="4" w:space="0"/>
              <w:left w:val="nil"/>
              <w:bottom w:val="single" w:color="auto" w:sz="4" w:space="0"/>
              <w:right w:val="single" w:color="auto" w:sz="4" w:space="0"/>
            </w:tcBorders>
            <w:noWrap w:val="0"/>
            <w:vAlign w:val="center"/>
          </w:tcPr>
          <w:p w14:paraId="5CD61895">
            <w:pPr>
              <w:widowControl/>
              <w:shd w:val="clear" w:color="auto" w:fill="auto"/>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投标下浮率</w:t>
            </w:r>
          </w:p>
        </w:tc>
        <w:tc>
          <w:tcPr>
            <w:tcW w:w="598" w:type="pct"/>
            <w:tcBorders>
              <w:top w:val="single" w:color="auto" w:sz="4" w:space="0"/>
              <w:left w:val="nil"/>
              <w:bottom w:val="single" w:color="auto" w:sz="4" w:space="0"/>
              <w:right w:val="single" w:color="auto" w:sz="4" w:space="0"/>
            </w:tcBorders>
            <w:noWrap w:val="0"/>
            <w:vAlign w:val="center"/>
          </w:tcPr>
          <w:p w14:paraId="2899003F">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单价（</w:t>
            </w:r>
            <w:r>
              <w:rPr>
                <w:rFonts w:hint="eastAsia" w:ascii="宋体" w:hAnsi="宋体" w:eastAsia="宋体" w:cs="宋体"/>
                <w:b w:val="0"/>
                <w:bCs w:val="0"/>
                <w:color w:val="000000"/>
                <w:kern w:val="0"/>
                <w:sz w:val="21"/>
                <w:szCs w:val="21"/>
              </w:rPr>
              <w:t>元/人·</w:t>
            </w:r>
            <w:r>
              <w:rPr>
                <w:rFonts w:hint="eastAsia" w:ascii="宋体" w:hAnsi="宋体" w:eastAsia="宋体" w:cs="宋体"/>
                <w:b w:val="0"/>
                <w:bCs w:val="0"/>
                <w:color w:val="000000"/>
                <w:kern w:val="0"/>
                <w:sz w:val="21"/>
                <w:szCs w:val="21"/>
                <w:lang w:val="en-US" w:eastAsia="zh-CN"/>
              </w:rPr>
              <w:t>天</w:t>
            </w:r>
            <w:r>
              <w:rPr>
                <w:rFonts w:hint="eastAsia" w:ascii="宋体" w:hAnsi="宋体" w:eastAsia="宋体" w:cs="宋体"/>
                <w:kern w:val="0"/>
                <w:sz w:val="21"/>
                <w:szCs w:val="21"/>
              </w:rPr>
              <w:t>）</w:t>
            </w:r>
          </w:p>
        </w:tc>
        <w:tc>
          <w:tcPr>
            <w:tcW w:w="598" w:type="pct"/>
            <w:tcBorders>
              <w:top w:val="single" w:color="auto" w:sz="4" w:space="0"/>
              <w:left w:val="nil"/>
              <w:bottom w:val="single" w:color="auto" w:sz="4" w:space="0"/>
              <w:right w:val="single" w:color="auto" w:sz="4" w:space="0"/>
            </w:tcBorders>
            <w:noWrap w:val="0"/>
            <w:vAlign w:val="center"/>
          </w:tcPr>
          <w:p w14:paraId="14ED3A3B">
            <w:pPr>
              <w:widowControl/>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rPr>
              <w:t>合价</w:t>
            </w:r>
            <w:r>
              <w:rPr>
                <w:rFonts w:hint="eastAsia" w:ascii="宋体" w:hAnsi="宋体" w:eastAsia="宋体" w:cs="宋体"/>
                <w:kern w:val="0"/>
                <w:sz w:val="21"/>
                <w:szCs w:val="21"/>
              </w:rPr>
              <w:t>（元）</w:t>
            </w:r>
          </w:p>
        </w:tc>
      </w:tr>
      <w:tr w14:paraId="02B03796">
        <w:tblPrEx>
          <w:tblCellMar>
            <w:top w:w="0" w:type="dxa"/>
            <w:left w:w="108" w:type="dxa"/>
            <w:bottom w:w="0" w:type="dxa"/>
            <w:right w:w="108" w:type="dxa"/>
          </w:tblCellMar>
        </w:tblPrEx>
        <w:trPr>
          <w:trHeight w:val="567" w:hRule="atLeast"/>
        </w:trPr>
        <w:tc>
          <w:tcPr>
            <w:tcW w:w="293" w:type="pct"/>
            <w:tcBorders>
              <w:top w:val="nil"/>
              <w:left w:val="single" w:color="auto" w:sz="4" w:space="0"/>
              <w:bottom w:val="single" w:color="auto" w:sz="4" w:space="0"/>
              <w:right w:val="single" w:color="auto" w:sz="4" w:space="0"/>
            </w:tcBorders>
            <w:noWrap w:val="0"/>
            <w:vAlign w:val="center"/>
          </w:tcPr>
          <w:p w14:paraId="32290EFD">
            <w:pPr>
              <w:widowControl/>
              <w:jc w:val="center"/>
              <w:rPr>
                <w:rFonts w:hint="eastAsia" w:ascii="宋体" w:hAnsi="宋体" w:eastAsia="宋体" w:cs="宋体"/>
                <w:kern w:val="0"/>
                <w:sz w:val="21"/>
                <w:szCs w:val="21"/>
              </w:rPr>
            </w:pPr>
            <w:bookmarkStart w:id="1" w:name="_GoBack" w:colFirst="5" w:colLast="5"/>
            <w:r>
              <w:rPr>
                <w:rFonts w:hint="eastAsia" w:ascii="宋体" w:hAnsi="宋体" w:eastAsia="宋体" w:cs="宋体"/>
                <w:kern w:val="0"/>
                <w:sz w:val="21"/>
                <w:szCs w:val="21"/>
              </w:rPr>
              <w:t>1</w:t>
            </w:r>
          </w:p>
        </w:tc>
        <w:tc>
          <w:tcPr>
            <w:tcW w:w="1465" w:type="dxa"/>
            <w:tcBorders>
              <w:top w:val="nil"/>
              <w:left w:val="nil"/>
              <w:bottom w:val="single" w:color="auto" w:sz="4" w:space="0"/>
              <w:right w:val="single" w:color="auto" w:sz="4" w:space="0"/>
            </w:tcBorders>
            <w:noWrap w:val="0"/>
            <w:vAlign w:val="center"/>
          </w:tcPr>
          <w:p w14:paraId="39989AD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lang w:eastAsia="zh-CN"/>
              </w:rPr>
              <w:t>高级职称人员</w:t>
            </w:r>
          </w:p>
        </w:tc>
        <w:tc>
          <w:tcPr>
            <w:tcW w:w="306" w:type="pct"/>
            <w:tcBorders>
              <w:top w:val="nil"/>
              <w:left w:val="nil"/>
              <w:bottom w:val="single" w:color="auto" w:sz="4" w:space="0"/>
              <w:right w:val="single" w:color="auto" w:sz="4" w:space="0"/>
            </w:tcBorders>
            <w:noWrap w:val="0"/>
            <w:vAlign w:val="center"/>
          </w:tcPr>
          <w:p w14:paraId="0A8DEEAB">
            <w:pPr>
              <w:widowControl/>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w:t>
            </w:r>
          </w:p>
        </w:tc>
        <w:tc>
          <w:tcPr>
            <w:tcW w:w="485" w:type="pct"/>
            <w:tcBorders>
              <w:top w:val="nil"/>
              <w:left w:val="nil"/>
              <w:bottom w:val="single" w:color="auto" w:sz="4" w:space="0"/>
              <w:right w:val="single" w:color="auto" w:sz="4" w:space="0"/>
            </w:tcBorders>
            <w:noWrap w:val="0"/>
            <w:vAlign w:val="center"/>
          </w:tcPr>
          <w:p w14:paraId="2101B0C8">
            <w:pPr>
              <w:widowControl/>
              <w:jc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466</w:t>
            </w:r>
          </w:p>
        </w:tc>
        <w:tc>
          <w:tcPr>
            <w:tcW w:w="818" w:type="pct"/>
            <w:tcBorders>
              <w:top w:val="nil"/>
              <w:left w:val="nil"/>
              <w:bottom w:val="single" w:color="auto" w:sz="4" w:space="0"/>
              <w:right w:val="single" w:color="auto" w:sz="4" w:space="0"/>
            </w:tcBorders>
            <w:noWrap w:val="0"/>
            <w:vAlign w:val="center"/>
          </w:tcPr>
          <w:p w14:paraId="76008BF4">
            <w:pPr>
              <w:widowControl/>
              <w:jc w:val="center"/>
              <w:rPr>
                <w:rFonts w:hint="eastAsia" w:ascii="宋体" w:hAnsi="宋体" w:eastAsia="宋体" w:cs="宋体"/>
                <w:kern w:val="0"/>
                <w:sz w:val="21"/>
                <w:szCs w:val="21"/>
                <w:lang w:val="en-US" w:eastAsia="zh-CN"/>
              </w:rPr>
            </w:pPr>
            <w:r>
              <w:rPr>
                <w:rFonts w:hint="eastAsia" w:ascii="宋体" w:hAnsi="宋体" w:eastAsia="宋体" w:cs="宋体"/>
                <w:b w:val="0"/>
                <w:bCs w:val="0"/>
                <w:color w:val="000000"/>
                <w:sz w:val="21"/>
                <w:szCs w:val="21"/>
                <w:lang w:val="en-US" w:eastAsia="zh-CN"/>
              </w:rPr>
              <w:t>2</w:t>
            </w:r>
            <w:r>
              <w:rPr>
                <w:rFonts w:hint="eastAsia" w:ascii="宋体" w:hAnsi="宋体" w:cs="宋体"/>
                <w:b w:val="0"/>
                <w:bCs w:val="0"/>
                <w:color w:val="000000"/>
                <w:sz w:val="21"/>
                <w:szCs w:val="21"/>
                <w:lang w:val="en-US" w:eastAsia="zh-CN"/>
              </w:rPr>
              <w:t>1</w:t>
            </w:r>
            <w:r>
              <w:rPr>
                <w:rFonts w:hint="eastAsia" w:ascii="宋体" w:hAnsi="宋体" w:eastAsia="宋体" w:cs="宋体"/>
                <w:b w:val="0"/>
                <w:bCs w:val="0"/>
                <w:color w:val="000000"/>
                <w:sz w:val="21"/>
                <w:szCs w:val="21"/>
                <w:lang w:val="en-US" w:eastAsia="zh-CN"/>
              </w:rPr>
              <w:t>00.00</w:t>
            </w:r>
          </w:p>
        </w:tc>
        <w:tc>
          <w:tcPr>
            <w:tcW w:w="1466" w:type="dxa"/>
            <w:tcBorders>
              <w:top w:val="nil"/>
              <w:left w:val="nil"/>
              <w:bottom w:val="single" w:color="auto" w:sz="4" w:space="0"/>
              <w:right w:val="single" w:color="auto" w:sz="4" w:space="0"/>
            </w:tcBorders>
            <w:noWrap w:val="0"/>
            <w:vAlign w:val="center"/>
          </w:tcPr>
          <w:p w14:paraId="3A5B2F09">
            <w:pPr>
              <w:widowControl/>
              <w:shd w:val="clear" w:color="auto" w:fill="auto"/>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1957200</w:t>
            </w:r>
            <w:r>
              <w:rPr>
                <w:rFonts w:hint="eastAsia" w:ascii="宋体" w:hAnsi="宋体" w:eastAsia="宋体" w:cs="宋体"/>
                <w:b w:val="0"/>
                <w:bCs w:val="0"/>
                <w:color w:val="000000"/>
                <w:sz w:val="21"/>
                <w:szCs w:val="21"/>
                <w:lang w:val="en-US" w:eastAsia="zh-CN"/>
              </w:rPr>
              <w:t>.00</w:t>
            </w:r>
          </w:p>
        </w:tc>
        <w:tc>
          <w:tcPr>
            <w:tcW w:w="480" w:type="pct"/>
            <w:vMerge w:val="restart"/>
            <w:tcBorders>
              <w:top w:val="nil"/>
              <w:left w:val="nil"/>
              <w:right w:val="single" w:color="auto" w:sz="4" w:space="0"/>
            </w:tcBorders>
            <w:noWrap w:val="0"/>
            <w:vAlign w:val="center"/>
          </w:tcPr>
          <w:p w14:paraId="2C9BAD97">
            <w:pPr>
              <w:jc w:val="center"/>
              <w:rPr>
                <w:rFonts w:hint="eastAsia" w:ascii="宋体" w:hAnsi="宋体" w:eastAsia="宋体" w:cs="宋体"/>
                <w:sz w:val="21"/>
                <w:szCs w:val="21"/>
                <w:lang w:val="en-US" w:eastAsia="zh-CN"/>
              </w:rPr>
            </w:pPr>
            <w:r>
              <w:rPr>
                <w:rFonts w:hint="eastAsia" w:ascii="宋体" w:hAnsi="宋体" w:eastAsia="宋体" w:cs="宋体"/>
                <w:i w:val="0"/>
                <w:iCs w:val="0"/>
                <w:color w:val="auto"/>
                <w:kern w:val="0"/>
                <w:sz w:val="21"/>
                <w:szCs w:val="21"/>
                <w:highlight w:val="none"/>
                <w:u w:val="none"/>
                <w:lang w:val="en-US" w:eastAsia="zh-CN" w:bidi="ar"/>
              </w:rPr>
              <w:t xml:space="preserve"> </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w:t>
            </w:r>
          </w:p>
        </w:tc>
        <w:tc>
          <w:tcPr>
            <w:tcW w:w="598" w:type="pct"/>
            <w:tcBorders>
              <w:top w:val="nil"/>
              <w:left w:val="nil"/>
              <w:bottom w:val="single" w:color="auto" w:sz="4" w:space="0"/>
              <w:right w:val="single" w:color="auto" w:sz="4" w:space="0"/>
            </w:tcBorders>
            <w:noWrap w:val="0"/>
            <w:vAlign w:val="center"/>
          </w:tcPr>
          <w:p w14:paraId="1EB5EA74">
            <w:pPr>
              <w:jc w:val="right"/>
              <w:rPr>
                <w:rFonts w:hint="eastAsia" w:ascii="宋体" w:hAnsi="宋体" w:eastAsia="宋体" w:cs="宋体"/>
                <w:sz w:val="21"/>
                <w:szCs w:val="21"/>
                <w:lang w:val="en-US" w:eastAsia="zh-CN"/>
              </w:rPr>
            </w:pPr>
          </w:p>
        </w:tc>
        <w:tc>
          <w:tcPr>
            <w:tcW w:w="598" w:type="pct"/>
            <w:tcBorders>
              <w:top w:val="nil"/>
              <w:left w:val="nil"/>
              <w:bottom w:val="single" w:color="auto" w:sz="4" w:space="0"/>
              <w:right w:val="single" w:color="auto" w:sz="4" w:space="0"/>
            </w:tcBorders>
            <w:noWrap w:val="0"/>
            <w:vAlign w:val="center"/>
          </w:tcPr>
          <w:p w14:paraId="35C02908">
            <w:pPr>
              <w:jc w:val="right"/>
              <w:rPr>
                <w:rFonts w:hint="eastAsia" w:ascii="宋体" w:hAnsi="宋体" w:eastAsia="宋体" w:cs="宋体"/>
                <w:sz w:val="21"/>
                <w:szCs w:val="21"/>
                <w:lang w:val="en-US" w:eastAsia="zh-CN"/>
              </w:rPr>
            </w:pPr>
          </w:p>
        </w:tc>
      </w:tr>
      <w:tr w14:paraId="23A2ADE8">
        <w:tblPrEx>
          <w:tblCellMar>
            <w:top w:w="0" w:type="dxa"/>
            <w:left w:w="108" w:type="dxa"/>
            <w:bottom w:w="0" w:type="dxa"/>
            <w:right w:w="108" w:type="dxa"/>
          </w:tblCellMar>
        </w:tblPrEx>
        <w:trPr>
          <w:trHeight w:val="567" w:hRule="atLeast"/>
        </w:trPr>
        <w:tc>
          <w:tcPr>
            <w:tcW w:w="293" w:type="pct"/>
            <w:tcBorders>
              <w:top w:val="single" w:color="auto" w:sz="4" w:space="0"/>
              <w:left w:val="single" w:color="auto" w:sz="4" w:space="0"/>
              <w:bottom w:val="single" w:color="auto" w:sz="4" w:space="0"/>
              <w:right w:val="single" w:color="auto" w:sz="4" w:space="0"/>
            </w:tcBorders>
            <w:noWrap w:val="0"/>
            <w:vAlign w:val="center"/>
          </w:tcPr>
          <w:p w14:paraId="46B8426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1465" w:type="dxa"/>
            <w:tcBorders>
              <w:top w:val="single" w:color="auto" w:sz="4" w:space="0"/>
              <w:left w:val="single" w:color="auto" w:sz="4" w:space="0"/>
              <w:bottom w:val="single" w:color="auto" w:sz="4" w:space="0"/>
              <w:right w:val="single" w:color="auto" w:sz="4" w:space="0"/>
            </w:tcBorders>
            <w:noWrap w:val="0"/>
            <w:vAlign w:val="center"/>
          </w:tcPr>
          <w:p w14:paraId="2A92D52C">
            <w:pPr>
              <w:widowControl/>
              <w:jc w:val="center"/>
              <w:rPr>
                <w:rFonts w:hint="eastAsia" w:ascii="宋体" w:hAnsi="宋体" w:eastAsia="宋体" w:cs="宋体"/>
                <w:kern w:val="0"/>
                <w:sz w:val="21"/>
                <w:szCs w:val="21"/>
              </w:rPr>
            </w:pPr>
            <w:r>
              <w:rPr>
                <w:rFonts w:hint="eastAsia" w:ascii="宋体" w:hAnsi="宋体" w:eastAsia="宋体" w:cs="宋体"/>
                <w:color w:val="auto"/>
                <w:kern w:val="0"/>
                <w:sz w:val="21"/>
                <w:szCs w:val="21"/>
                <w:lang w:eastAsia="zh-CN"/>
              </w:rPr>
              <w:t>中级及以下职称人员</w:t>
            </w:r>
          </w:p>
        </w:tc>
        <w:tc>
          <w:tcPr>
            <w:tcW w:w="306" w:type="pct"/>
            <w:tcBorders>
              <w:top w:val="single" w:color="auto" w:sz="4" w:space="0"/>
              <w:left w:val="single" w:color="auto" w:sz="4" w:space="0"/>
              <w:bottom w:val="single" w:color="auto" w:sz="4" w:space="0"/>
              <w:right w:val="single" w:color="auto" w:sz="4" w:space="0"/>
            </w:tcBorders>
            <w:noWrap w:val="0"/>
            <w:vAlign w:val="center"/>
          </w:tcPr>
          <w:p w14:paraId="33C8F588">
            <w:pPr>
              <w:widowControl/>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w:t>
            </w:r>
          </w:p>
        </w:tc>
        <w:tc>
          <w:tcPr>
            <w:tcW w:w="485" w:type="pct"/>
            <w:tcBorders>
              <w:top w:val="single" w:color="auto" w:sz="4" w:space="0"/>
              <w:left w:val="single" w:color="auto" w:sz="4" w:space="0"/>
              <w:bottom w:val="single" w:color="auto" w:sz="4" w:space="0"/>
              <w:right w:val="single" w:color="auto" w:sz="4" w:space="0"/>
            </w:tcBorders>
            <w:noWrap w:val="0"/>
            <w:vAlign w:val="center"/>
          </w:tcPr>
          <w:p w14:paraId="30B13DCD">
            <w:pPr>
              <w:widowControl/>
              <w:jc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474</w:t>
            </w:r>
          </w:p>
        </w:tc>
        <w:tc>
          <w:tcPr>
            <w:tcW w:w="818" w:type="pct"/>
            <w:tcBorders>
              <w:top w:val="single" w:color="auto" w:sz="4" w:space="0"/>
              <w:left w:val="single" w:color="auto" w:sz="4" w:space="0"/>
              <w:bottom w:val="single" w:color="auto" w:sz="4" w:space="0"/>
              <w:right w:val="single" w:color="auto" w:sz="4" w:space="0"/>
            </w:tcBorders>
            <w:noWrap w:val="0"/>
            <w:vAlign w:val="center"/>
          </w:tcPr>
          <w:p w14:paraId="54A2C643">
            <w:pPr>
              <w:widowControl/>
              <w:jc w:val="center"/>
              <w:rPr>
                <w:rFonts w:hint="eastAsia" w:ascii="宋体" w:hAnsi="宋体" w:eastAsia="宋体" w:cs="宋体"/>
                <w:kern w:val="0"/>
                <w:sz w:val="21"/>
                <w:szCs w:val="21"/>
                <w:lang w:val="en-US" w:eastAsia="zh-CN"/>
              </w:rPr>
            </w:pPr>
            <w:r>
              <w:rPr>
                <w:rFonts w:hint="eastAsia" w:ascii="宋体" w:hAnsi="宋体" w:eastAsia="宋体" w:cs="宋体"/>
                <w:b w:val="0"/>
                <w:bCs w:val="0"/>
                <w:color w:val="000000"/>
                <w:sz w:val="21"/>
                <w:szCs w:val="21"/>
                <w:lang w:val="en-US" w:eastAsia="zh-CN"/>
              </w:rPr>
              <w:t>1</w:t>
            </w:r>
            <w:r>
              <w:rPr>
                <w:rFonts w:hint="eastAsia" w:ascii="宋体" w:hAnsi="宋体" w:cs="宋体"/>
                <w:b w:val="0"/>
                <w:bCs w:val="0"/>
                <w:color w:val="000000"/>
                <w:sz w:val="21"/>
                <w:szCs w:val="21"/>
                <w:lang w:val="en-US" w:eastAsia="zh-CN"/>
              </w:rPr>
              <w:t>1</w:t>
            </w:r>
            <w:r>
              <w:rPr>
                <w:rFonts w:hint="eastAsia" w:ascii="宋体" w:hAnsi="宋体" w:eastAsia="宋体" w:cs="宋体"/>
                <w:b w:val="0"/>
                <w:bCs w:val="0"/>
                <w:color w:val="000000"/>
                <w:sz w:val="21"/>
                <w:szCs w:val="21"/>
                <w:lang w:val="en-US" w:eastAsia="zh-CN"/>
              </w:rPr>
              <w:t>00.00</w:t>
            </w:r>
          </w:p>
        </w:tc>
        <w:tc>
          <w:tcPr>
            <w:tcW w:w="1466" w:type="dxa"/>
            <w:tcBorders>
              <w:top w:val="single" w:color="auto" w:sz="4" w:space="0"/>
              <w:left w:val="single" w:color="auto" w:sz="4" w:space="0"/>
              <w:bottom w:val="single" w:color="auto" w:sz="4" w:space="0"/>
              <w:right w:val="single" w:color="auto" w:sz="4" w:space="0"/>
            </w:tcBorders>
            <w:noWrap w:val="0"/>
            <w:vAlign w:val="center"/>
          </w:tcPr>
          <w:p w14:paraId="7C360AF0">
            <w:pPr>
              <w:widowControl/>
              <w:shd w:val="clear" w:color="auto" w:fill="auto"/>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1042800</w:t>
            </w:r>
            <w:r>
              <w:rPr>
                <w:rFonts w:hint="eastAsia" w:ascii="宋体" w:hAnsi="宋体" w:eastAsia="宋体" w:cs="宋体"/>
                <w:b w:val="0"/>
                <w:bCs w:val="0"/>
                <w:color w:val="000000"/>
                <w:sz w:val="21"/>
                <w:szCs w:val="21"/>
                <w:lang w:val="en-US" w:eastAsia="zh-CN"/>
              </w:rPr>
              <w:t>.00</w:t>
            </w:r>
          </w:p>
        </w:tc>
        <w:tc>
          <w:tcPr>
            <w:tcW w:w="480" w:type="pct"/>
            <w:vMerge w:val="continue"/>
            <w:tcBorders>
              <w:left w:val="nil"/>
              <w:right w:val="single" w:color="auto" w:sz="4" w:space="0"/>
            </w:tcBorders>
            <w:noWrap w:val="0"/>
            <w:vAlign w:val="top"/>
          </w:tcPr>
          <w:p w14:paraId="27ACEC1A">
            <w:pPr>
              <w:rPr>
                <w:rFonts w:hint="eastAsia" w:ascii="宋体" w:hAnsi="宋体" w:eastAsia="宋体" w:cs="宋体"/>
                <w:sz w:val="21"/>
                <w:szCs w:val="21"/>
                <w:lang w:val="en-US" w:eastAsia="zh-CN"/>
              </w:rPr>
            </w:pPr>
          </w:p>
        </w:tc>
        <w:tc>
          <w:tcPr>
            <w:tcW w:w="598" w:type="pct"/>
            <w:tcBorders>
              <w:top w:val="single" w:color="auto" w:sz="4" w:space="0"/>
              <w:left w:val="single" w:color="auto" w:sz="4" w:space="0"/>
              <w:bottom w:val="single" w:color="auto" w:sz="4" w:space="0"/>
              <w:right w:val="single" w:color="auto" w:sz="4" w:space="0"/>
            </w:tcBorders>
            <w:noWrap w:val="0"/>
            <w:vAlign w:val="center"/>
          </w:tcPr>
          <w:p w14:paraId="3D608B9C">
            <w:pPr>
              <w:jc w:val="right"/>
              <w:rPr>
                <w:rFonts w:hint="eastAsia" w:ascii="宋体" w:hAnsi="宋体" w:eastAsia="宋体" w:cs="宋体"/>
                <w:sz w:val="21"/>
                <w:szCs w:val="21"/>
                <w:lang w:val="en-US" w:eastAsia="zh-CN"/>
              </w:rPr>
            </w:pPr>
          </w:p>
        </w:tc>
        <w:tc>
          <w:tcPr>
            <w:tcW w:w="598" w:type="pct"/>
            <w:tcBorders>
              <w:top w:val="single" w:color="auto" w:sz="4" w:space="0"/>
              <w:left w:val="single" w:color="auto" w:sz="4" w:space="0"/>
              <w:bottom w:val="single" w:color="auto" w:sz="4" w:space="0"/>
              <w:right w:val="single" w:color="auto" w:sz="4" w:space="0"/>
            </w:tcBorders>
            <w:noWrap w:val="0"/>
            <w:vAlign w:val="center"/>
          </w:tcPr>
          <w:p w14:paraId="64CA9272">
            <w:pPr>
              <w:jc w:val="right"/>
              <w:rPr>
                <w:rFonts w:hint="eastAsia" w:ascii="宋体" w:hAnsi="宋体" w:eastAsia="宋体" w:cs="宋体"/>
                <w:sz w:val="21"/>
                <w:szCs w:val="21"/>
                <w:lang w:val="en-US" w:eastAsia="zh-CN"/>
              </w:rPr>
            </w:pPr>
          </w:p>
        </w:tc>
      </w:tr>
      <w:tr w14:paraId="68E9F9C3">
        <w:tblPrEx>
          <w:tblCellMar>
            <w:top w:w="0" w:type="dxa"/>
            <w:left w:w="108" w:type="dxa"/>
            <w:bottom w:w="0" w:type="dxa"/>
            <w:right w:w="108" w:type="dxa"/>
          </w:tblCellMar>
        </w:tblPrEx>
        <w:trPr>
          <w:trHeight w:val="567" w:hRule="atLeast"/>
        </w:trPr>
        <w:tc>
          <w:tcPr>
            <w:tcW w:w="293" w:type="pct"/>
            <w:tcBorders>
              <w:top w:val="single" w:color="auto" w:sz="4" w:space="0"/>
              <w:left w:val="single" w:color="auto" w:sz="4" w:space="0"/>
              <w:bottom w:val="single" w:color="auto" w:sz="4" w:space="0"/>
              <w:right w:val="single" w:color="auto" w:sz="4" w:space="0"/>
            </w:tcBorders>
            <w:noWrap w:val="0"/>
            <w:vAlign w:val="center"/>
          </w:tcPr>
          <w:p w14:paraId="2AB8A186">
            <w:pPr>
              <w:widowControl/>
              <w:jc w:val="center"/>
              <w:rPr>
                <w:rFonts w:hint="eastAsia" w:ascii="宋体" w:hAnsi="宋体" w:eastAsia="宋体" w:cs="宋体"/>
                <w:kern w:val="0"/>
                <w:sz w:val="21"/>
                <w:szCs w:val="21"/>
              </w:rPr>
            </w:pPr>
          </w:p>
        </w:tc>
        <w:tc>
          <w:tcPr>
            <w:tcW w:w="2319" w:type="pct"/>
            <w:gridSpan w:val="4"/>
            <w:tcBorders>
              <w:top w:val="single" w:color="auto" w:sz="4" w:space="0"/>
              <w:left w:val="single" w:color="auto" w:sz="4" w:space="0"/>
              <w:bottom w:val="single" w:color="auto" w:sz="4" w:space="0"/>
              <w:right w:val="single" w:color="auto" w:sz="4" w:space="0"/>
            </w:tcBorders>
            <w:noWrap w:val="0"/>
            <w:vAlign w:val="center"/>
          </w:tcPr>
          <w:p w14:paraId="5FBF22ED">
            <w:pPr>
              <w:widowControl/>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合计</w:t>
            </w:r>
          </w:p>
        </w:tc>
        <w:tc>
          <w:tcPr>
            <w:tcW w:w="1466" w:type="dxa"/>
            <w:tcBorders>
              <w:top w:val="single" w:color="auto" w:sz="4" w:space="0"/>
              <w:left w:val="single" w:color="auto" w:sz="4" w:space="0"/>
              <w:bottom w:val="single" w:color="auto" w:sz="4" w:space="0"/>
              <w:right w:val="single" w:color="auto" w:sz="4" w:space="0"/>
            </w:tcBorders>
            <w:noWrap w:val="0"/>
            <w:vAlign w:val="center"/>
          </w:tcPr>
          <w:p w14:paraId="54D5865B">
            <w:pPr>
              <w:widowControl/>
              <w:shd w:val="clear" w:color="auto" w:fill="auto"/>
              <w:jc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3000000</w:t>
            </w:r>
            <w:r>
              <w:rPr>
                <w:rFonts w:hint="eastAsia" w:ascii="宋体" w:hAnsi="宋体" w:eastAsia="宋体" w:cs="宋体"/>
                <w:b w:val="0"/>
                <w:bCs w:val="0"/>
                <w:color w:val="000000"/>
                <w:sz w:val="21"/>
                <w:szCs w:val="21"/>
                <w:lang w:val="en-US" w:eastAsia="zh-CN"/>
              </w:rPr>
              <w:t>.00</w:t>
            </w:r>
          </w:p>
        </w:tc>
        <w:tc>
          <w:tcPr>
            <w:tcW w:w="480" w:type="pct"/>
            <w:vMerge w:val="continue"/>
            <w:tcBorders>
              <w:left w:val="nil"/>
              <w:bottom w:val="single" w:color="auto" w:sz="4" w:space="0"/>
              <w:right w:val="single" w:color="auto" w:sz="4" w:space="0"/>
            </w:tcBorders>
            <w:noWrap w:val="0"/>
            <w:vAlign w:val="top"/>
          </w:tcPr>
          <w:p w14:paraId="701643B2">
            <w:pPr>
              <w:rPr>
                <w:rFonts w:hint="eastAsia" w:ascii="宋体" w:hAnsi="宋体" w:eastAsia="宋体" w:cs="宋体"/>
                <w:sz w:val="21"/>
                <w:szCs w:val="21"/>
                <w:lang w:val="en-US" w:eastAsia="zh-CN"/>
              </w:rPr>
            </w:pPr>
          </w:p>
        </w:tc>
        <w:tc>
          <w:tcPr>
            <w:tcW w:w="598" w:type="pct"/>
            <w:tcBorders>
              <w:top w:val="single" w:color="auto" w:sz="4" w:space="0"/>
              <w:left w:val="single" w:color="auto" w:sz="4" w:space="0"/>
              <w:bottom w:val="single" w:color="auto" w:sz="4" w:space="0"/>
              <w:right w:val="single" w:color="auto" w:sz="4" w:space="0"/>
            </w:tcBorders>
            <w:noWrap w:val="0"/>
            <w:vAlign w:val="center"/>
          </w:tcPr>
          <w:p w14:paraId="194FF4FA">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598" w:type="pct"/>
            <w:tcBorders>
              <w:top w:val="single" w:color="auto" w:sz="4" w:space="0"/>
              <w:left w:val="single" w:color="auto" w:sz="4" w:space="0"/>
              <w:bottom w:val="single" w:color="auto" w:sz="4" w:space="0"/>
              <w:right w:val="single" w:color="auto" w:sz="4" w:space="0"/>
            </w:tcBorders>
            <w:noWrap w:val="0"/>
            <w:vAlign w:val="center"/>
          </w:tcPr>
          <w:p w14:paraId="23BA1F0A">
            <w:pPr>
              <w:jc w:val="right"/>
              <w:rPr>
                <w:rFonts w:hint="eastAsia" w:ascii="宋体" w:hAnsi="宋体" w:eastAsia="宋体" w:cs="宋体"/>
                <w:sz w:val="21"/>
                <w:szCs w:val="21"/>
                <w:lang w:val="en-US" w:eastAsia="zh-CN"/>
              </w:rPr>
            </w:pPr>
          </w:p>
        </w:tc>
      </w:tr>
      <w:bookmarkEnd w:id="1"/>
    </w:tbl>
    <w:p w14:paraId="5CAA2DC0">
      <w:pPr>
        <w:rPr>
          <w:rFonts w:hint="eastAsia" w:asciiTheme="minorEastAsia" w:hAnsiTheme="minorEastAsia" w:eastAsiaTheme="minorEastAsia" w:cstheme="minorEastAsia"/>
          <w:b/>
          <w:bCs/>
          <w:i w:val="0"/>
          <w:color w:val="auto"/>
          <w:kern w:val="2"/>
          <w:sz w:val="24"/>
          <w:szCs w:val="24"/>
          <w:highlight w:val="none"/>
          <w:lang w:val="en-US" w:eastAsia="zh-CN" w:bidi="ar-SA"/>
        </w:rPr>
      </w:pPr>
    </w:p>
    <w:p w14:paraId="610619EC">
      <w:pPr>
        <w:pStyle w:val="6"/>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14:paraId="107D540F">
      <w:pPr>
        <w:pStyle w:val="7"/>
        <w:shd w:val="clear" w:color="auto" w:fill="auto"/>
        <w:jc w:val="left"/>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1.投标下浮率不低于0%为有效报价；当投标下浮率＞ 15% 时应附成本分析报告，充分说明单价和费用的组成、降低成本的合理措施及在其他工程中应用过的经验等，经评审通过后方可视为有效报价。</w:t>
      </w:r>
    </w:p>
    <w:p w14:paraId="4D326E66">
      <w:pPr>
        <w:pStyle w:val="7"/>
        <w:shd w:val="clear" w:color="auto" w:fill="auto"/>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2.   </w:t>
      </w:r>
      <w:r>
        <w:rPr>
          <w:rFonts w:hint="eastAsia" w:ascii="宋体" w:hAnsi="宋体" w:eastAsia="宋体" w:cs="宋体"/>
          <w:b w:val="0"/>
          <w:bCs w:val="0"/>
          <w:color w:val="auto"/>
          <w:kern w:val="2"/>
          <w:sz w:val="24"/>
          <w:szCs w:val="24"/>
          <w:highlight w:val="none"/>
          <w:u w:val="single"/>
          <w:lang w:val="en-US" w:eastAsia="zh-CN" w:bidi="ar-SA"/>
        </w:rPr>
        <w:t>按下浮率报价（保留两位小数，如8.88%），同时填报投标报价（投标报价=预计采购金额×（1-投标下浮率），四舍五入保留两位小数），按（1-投标下浮率）计算价格分。当投标报价与投标下浮率计算结果不一致时，以投标下浮率为准，按上述公式修订投标报价。</w:t>
      </w:r>
      <w:r>
        <w:rPr>
          <w:rFonts w:hint="eastAsia" w:ascii="宋体" w:hAnsi="宋体" w:eastAsia="宋体" w:cs="宋体"/>
          <w:color w:val="auto"/>
          <w:kern w:val="2"/>
          <w:sz w:val="24"/>
          <w:szCs w:val="24"/>
          <w:highlight w:val="none"/>
          <w:u w:val="single"/>
          <w:lang w:val="en-US" w:eastAsia="zh-CN" w:bidi="ar-SA"/>
        </w:rPr>
        <w:t xml:space="preserve">  </w:t>
      </w:r>
    </w:p>
    <w:p w14:paraId="1B8AF10E">
      <w:pPr>
        <w:pStyle w:val="3"/>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p>
    <w:p w14:paraId="0A6F435A">
      <w:pPr>
        <w:pStyle w:val="3"/>
        <w:keepNext w:val="0"/>
        <w:keepLines w:val="0"/>
        <w:pageBreakBefore w:val="0"/>
        <w:numPr>
          <w:ilvl w:val="0"/>
          <w:numId w:val="2"/>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结算方式</w:t>
      </w:r>
    </w:p>
    <w:p w14:paraId="5DCA6133">
      <w:pPr>
        <w:numPr>
          <w:ilvl w:val="0"/>
          <w:numId w:val="0"/>
        </w:numPr>
        <w:ind w:firstLine="480" w:firstLineChars="200"/>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结合监督检查开展工作所需委派的人工日数量，按中标单价进行结算。</w:t>
      </w:r>
    </w:p>
    <w:p w14:paraId="50B27B84">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14:paraId="37C1F88B">
      <w:pPr>
        <w:pStyle w:val="10"/>
        <w:numPr>
          <w:ilvl w:val="0"/>
          <w:numId w:val="0"/>
        </w:numPr>
        <w:rPr>
          <w:rFonts w:hint="eastAsia"/>
          <w:color w:val="auto"/>
          <w:sz w:val="24"/>
          <w:szCs w:val="24"/>
          <w:highlight w:val="none"/>
          <w:lang w:eastAsia="zh-CN"/>
        </w:rPr>
      </w:pPr>
      <w:r>
        <w:rPr>
          <w:rFonts w:hint="default" w:ascii="Wingdings" w:hAnsi="Wingdings" w:cs="Wingdings"/>
          <w:color w:val="auto"/>
          <w:sz w:val="24"/>
          <w:szCs w:val="24"/>
          <w:highlight w:val="none"/>
        </w:rPr>
        <w:sym w:font="Wingdings" w:char="00FE"/>
      </w:r>
      <w:r>
        <w:rPr>
          <w:rFonts w:hint="eastAsia"/>
          <w:color w:val="auto"/>
          <w:sz w:val="24"/>
          <w:szCs w:val="24"/>
          <w:highlight w:val="none"/>
          <w:lang w:eastAsia="zh-CN"/>
        </w:rPr>
        <w:t>不允许分包</w:t>
      </w:r>
    </w:p>
    <w:p w14:paraId="7F8BF0F8">
      <w:pPr>
        <w:pStyle w:val="10"/>
        <w:numPr>
          <w:ilvl w:val="0"/>
          <w:numId w:val="0"/>
        </w:numPr>
        <w:rPr>
          <w:rFonts w:hint="eastAsia"/>
          <w:color w:val="auto"/>
          <w:sz w:val="24"/>
          <w:szCs w:val="24"/>
          <w:highlight w:val="none"/>
          <w:lang w:eastAsia="zh-CN"/>
        </w:rPr>
      </w:pPr>
      <w:r>
        <w:rPr>
          <w:rFonts w:hint="default" w:ascii="Wingdings" w:hAnsi="Wingdings" w:cs="Wingdings"/>
          <w:color w:val="auto"/>
          <w:sz w:val="24"/>
          <w:szCs w:val="24"/>
          <w:highlight w:val="none"/>
          <w:lang w:eastAsia="zh-CN"/>
        </w:rPr>
        <w:sym w:font="Wingdings" w:char="00A8"/>
      </w:r>
      <w:r>
        <w:rPr>
          <w:rFonts w:hint="eastAsia"/>
          <w:color w:val="auto"/>
          <w:sz w:val="24"/>
          <w:szCs w:val="24"/>
          <w:highlight w:val="none"/>
          <w:lang w:eastAsia="zh-CN"/>
        </w:rPr>
        <w:t>允许分包，但必须符合以下要求：</w:t>
      </w:r>
    </w:p>
    <w:p w14:paraId="6C520D27">
      <w:pPr>
        <w:keepNext w:val="0"/>
        <w:keepLines w:val="0"/>
        <w:pageBreakBefore w:val="0"/>
        <w:widowControl w:val="0"/>
        <w:kinsoku/>
        <w:wordWrap/>
        <w:overflowPunct/>
        <w:topLinePunct w:val="0"/>
        <w:bidi w:val="0"/>
        <w:snapToGrid/>
        <w:spacing w:before="157" w:beforeLines="50" w:after="157" w:afterLines="50" w:line="480" w:lineRule="auto"/>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Wingdings" w:hAnsi="Wingdings" w:cs="Wingdings" w:eastAsiaTheme="minorEastAsia"/>
          <w:b/>
          <w:bCs/>
          <w:i w:val="0"/>
          <w:iCs/>
          <w:color w:val="auto"/>
          <w:kern w:val="2"/>
          <w:sz w:val="24"/>
          <w:szCs w:val="24"/>
          <w:highlight w:val="none"/>
          <w:u w:val="single"/>
          <w:lang w:val="en-US" w:eastAsia="zh-CN" w:bidi="ar-SA"/>
        </w:rPr>
        <w:t xml:space="preserve">                                      </w:t>
      </w:r>
      <w:r>
        <w:rPr>
          <w:rFonts w:hint="default"/>
          <w:color w:val="auto"/>
          <w:highlight w:val="none"/>
          <w:lang w:val="en-US" w:eastAsia="zh-CN"/>
        </w:rPr>
        <w:br w:type="page"/>
      </w:r>
    </w:p>
    <w:p w14:paraId="26FD7089">
      <w:pPr>
        <w:pStyle w:val="9"/>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14:paraId="762B04E8">
      <w:pPr>
        <w:pStyle w:val="3"/>
        <w:spacing w:before="0" w:after="0" w:line="240" w:lineRule="auto"/>
        <w:rPr>
          <w:rFonts w:hint="eastAsia" w:asciiTheme="minorEastAsia" w:hAnsiTheme="minorEastAsia" w:eastAsiaTheme="minorEastAsia" w:cstheme="minorEastAsia"/>
          <w:i w:val="0"/>
          <w:iCs/>
          <w:color w:val="auto"/>
          <w:sz w:val="24"/>
          <w:szCs w:val="24"/>
          <w:highlight w:val="none"/>
        </w:rPr>
      </w:pPr>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p>
    <w:p w14:paraId="58253672">
      <w:pPr>
        <w:pStyle w:val="9"/>
        <w:rPr>
          <w:rFonts w:hint="eastAsia" w:asciiTheme="minorEastAsia" w:hAnsiTheme="minorEastAsia" w:eastAsiaTheme="minorEastAsia" w:cstheme="minorEastAsia"/>
          <w:i w:val="0"/>
          <w:iCs/>
          <w:color w:val="auto"/>
          <w:sz w:val="24"/>
          <w:szCs w:val="24"/>
          <w:highlight w:val="none"/>
        </w:rPr>
      </w:pPr>
    </w:p>
    <w:p w14:paraId="23F709F5">
      <w:pPr>
        <w:pStyle w:val="3"/>
        <w:spacing w:before="0" w:after="0" w:line="240" w:lineRule="auto"/>
        <w:rPr>
          <w:rFonts w:hint="eastAsia" w:asciiTheme="minorEastAsia" w:hAnsiTheme="minorEastAsia" w:eastAsiaTheme="minorEastAsia" w:cstheme="minorEastAsia"/>
          <w:i w:val="0"/>
          <w:iCs/>
          <w:color w:val="auto"/>
          <w:sz w:val="24"/>
          <w:szCs w:val="24"/>
          <w:highlight w:val="none"/>
        </w:rPr>
      </w:pPr>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p>
    <w:p w14:paraId="77DE4B35">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（一）满足南方电网公司基建管理制度、建设单位的质量、环境和职业健康安全管理体系文件、其他有关制度和规定。</w:t>
      </w:r>
    </w:p>
    <w:p w14:paraId="12CEF40F">
      <w:pPr>
        <w:rPr>
          <w:rFonts w:hint="eastAsia" w:ascii="宋体" w:hAnsi="宋体" w:eastAsia="宋体" w:cs="宋体"/>
          <w:color w:val="auto"/>
          <w:sz w:val="24"/>
          <w:szCs w:val="24"/>
          <w:highlight w:val="none"/>
          <w:u w:val="single"/>
          <w:vertAlign w:val="baseline"/>
          <w:lang w:val="en-US" w:eastAsia="zh-CN"/>
        </w:rPr>
      </w:pPr>
    </w:p>
    <w:p w14:paraId="167D60F1">
      <w:pPr>
        <w:pStyle w:val="9"/>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宋体" w:hAnsi="宋体" w:eastAsia="宋体" w:cs="宋体"/>
          <w:color w:val="auto"/>
          <w:sz w:val="24"/>
          <w:szCs w:val="24"/>
          <w:highlight w:val="none"/>
          <w:u w:val="single"/>
          <w:lang w:val="en-US" w:eastAsia="zh-CN"/>
        </w:rPr>
      </w:pPr>
    </w:p>
    <w:sectPr>
      <w:pgSz w:w="11906" w:h="16838"/>
      <w:pgMar w:top="1157" w:right="1080" w:bottom="1157"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abstractNum w:abstractNumId="2">
    <w:nsid w:val="0F348E1F"/>
    <w:multiLevelType w:val="singleLevel"/>
    <w:tmpl w:val="0F348E1F"/>
    <w:lvl w:ilvl="0" w:tentative="0">
      <w:start w:val="4"/>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emp" w:val="over"/>
  </w:docVars>
  <w:rsids>
    <w:rsidRoot w:val="24F737D8"/>
    <w:rsid w:val="001270A5"/>
    <w:rsid w:val="007A4AD7"/>
    <w:rsid w:val="02B12E0A"/>
    <w:rsid w:val="04347878"/>
    <w:rsid w:val="04A24F71"/>
    <w:rsid w:val="067E263A"/>
    <w:rsid w:val="076F3B3B"/>
    <w:rsid w:val="07B517D6"/>
    <w:rsid w:val="07CA37DF"/>
    <w:rsid w:val="090C7C1E"/>
    <w:rsid w:val="0938375E"/>
    <w:rsid w:val="099D0853"/>
    <w:rsid w:val="0A6E3159"/>
    <w:rsid w:val="0BC07002"/>
    <w:rsid w:val="0C9777D6"/>
    <w:rsid w:val="0E2F4C02"/>
    <w:rsid w:val="0E3616E0"/>
    <w:rsid w:val="0E394169"/>
    <w:rsid w:val="0F3E2DD4"/>
    <w:rsid w:val="0F81532F"/>
    <w:rsid w:val="107144D2"/>
    <w:rsid w:val="1161183E"/>
    <w:rsid w:val="116419AD"/>
    <w:rsid w:val="11DF6CFE"/>
    <w:rsid w:val="13150AE4"/>
    <w:rsid w:val="13383335"/>
    <w:rsid w:val="14440D4B"/>
    <w:rsid w:val="14781EB9"/>
    <w:rsid w:val="14B666F3"/>
    <w:rsid w:val="15056A61"/>
    <w:rsid w:val="15C21AE2"/>
    <w:rsid w:val="16F65238"/>
    <w:rsid w:val="17722603"/>
    <w:rsid w:val="18E57496"/>
    <w:rsid w:val="1A386933"/>
    <w:rsid w:val="1A4F176B"/>
    <w:rsid w:val="1B663F82"/>
    <w:rsid w:val="1B8E2428"/>
    <w:rsid w:val="1C0B0B13"/>
    <w:rsid w:val="1C2D4629"/>
    <w:rsid w:val="1C43636C"/>
    <w:rsid w:val="1C8618B6"/>
    <w:rsid w:val="1D904223"/>
    <w:rsid w:val="1F653C49"/>
    <w:rsid w:val="1F9A7329"/>
    <w:rsid w:val="1FF914D4"/>
    <w:rsid w:val="20735046"/>
    <w:rsid w:val="20BC06E0"/>
    <w:rsid w:val="211132C0"/>
    <w:rsid w:val="216F4D5B"/>
    <w:rsid w:val="21C11DC8"/>
    <w:rsid w:val="23B738BA"/>
    <w:rsid w:val="24E67795"/>
    <w:rsid w:val="24F737D8"/>
    <w:rsid w:val="25207D76"/>
    <w:rsid w:val="2525523D"/>
    <w:rsid w:val="25EF23B4"/>
    <w:rsid w:val="26EB3B6A"/>
    <w:rsid w:val="283C4C08"/>
    <w:rsid w:val="291D5E51"/>
    <w:rsid w:val="292247C1"/>
    <w:rsid w:val="2BE07E0A"/>
    <w:rsid w:val="2CA17C08"/>
    <w:rsid w:val="2DDF66E3"/>
    <w:rsid w:val="2E870919"/>
    <w:rsid w:val="2FF65FF8"/>
    <w:rsid w:val="300D195C"/>
    <w:rsid w:val="30BF37B5"/>
    <w:rsid w:val="30C06A4E"/>
    <w:rsid w:val="313B0851"/>
    <w:rsid w:val="313C5D6B"/>
    <w:rsid w:val="31C955A9"/>
    <w:rsid w:val="33B200AF"/>
    <w:rsid w:val="33C75702"/>
    <w:rsid w:val="33E61BE2"/>
    <w:rsid w:val="361736AD"/>
    <w:rsid w:val="36D200CF"/>
    <w:rsid w:val="379951F8"/>
    <w:rsid w:val="38382DC3"/>
    <w:rsid w:val="38DE045C"/>
    <w:rsid w:val="3987396D"/>
    <w:rsid w:val="3B595AEE"/>
    <w:rsid w:val="3BDD7B88"/>
    <w:rsid w:val="3BF24D81"/>
    <w:rsid w:val="3BFE7BEA"/>
    <w:rsid w:val="3C4750A3"/>
    <w:rsid w:val="3C4A35F1"/>
    <w:rsid w:val="3F2251B3"/>
    <w:rsid w:val="420455E6"/>
    <w:rsid w:val="42AC606F"/>
    <w:rsid w:val="42E73C50"/>
    <w:rsid w:val="44982260"/>
    <w:rsid w:val="44D414C9"/>
    <w:rsid w:val="46472D5E"/>
    <w:rsid w:val="46CE21FB"/>
    <w:rsid w:val="493F1D65"/>
    <w:rsid w:val="496A657E"/>
    <w:rsid w:val="49843C09"/>
    <w:rsid w:val="4B3A1BDA"/>
    <w:rsid w:val="4BF83760"/>
    <w:rsid w:val="4C5B4768"/>
    <w:rsid w:val="4C8349B8"/>
    <w:rsid w:val="504766FD"/>
    <w:rsid w:val="51A0442E"/>
    <w:rsid w:val="528E699D"/>
    <w:rsid w:val="53A07975"/>
    <w:rsid w:val="53AD73B0"/>
    <w:rsid w:val="54243170"/>
    <w:rsid w:val="552A0C96"/>
    <w:rsid w:val="55A1060B"/>
    <w:rsid w:val="55BB16B6"/>
    <w:rsid w:val="55C3156A"/>
    <w:rsid w:val="560A4CB8"/>
    <w:rsid w:val="5782183A"/>
    <w:rsid w:val="57BD355E"/>
    <w:rsid w:val="58D21C48"/>
    <w:rsid w:val="5B0320E2"/>
    <w:rsid w:val="5B8B11A7"/>
    <w:rsid w:val="5B9E2EC4"/>
    <w:rsid w:val="5CD10D7E"/>
    <w:rsid w:val="5E6E1200"/>
    <w:rsid w:val="60002310"/>
    <w:rsid w:val="60201C2C"/>
    <w:rsid w:val="608606DE"/>
    <w:rsid w:val="610E324A"/>
    <w:rsid w:val="61F31EFD"/>
    <w:rsid w:val="62070E24"/>
    <w:rsid w:val="63066BC7"/>
    <w:rsid w:val="634E1052"/>
    <w:rsid w:val="63D0487B"/>
    <w:rsid w:val="6456212F"/>
    <w:rsid w:val="64672037"/>
    <w:rsid w:val="64685DF2"/>
    <w:rsid w:val="64911DA0"/>
    <w:rsid w:val="65945D8D"/>
    <w:rsid w:val="660A7EA4"/>
    <w:rsid w:val="66C35559"/>
    <w:rsid w:val="67D57489"/>
    <w:rsid w:val="68570F93"/>
    <w:rsid w:val="6A287B5E"/>
    <w:rsid w:val="6A632E50"/>
    <w:rsid w:val="6AE024B6"/>
    <w:rsid w:val="6B303A1A"/>
    <w:rsid w:val="6C704794"/>
    <w:rsid w:val="6DAA2FDF"/>
    <w:rsid w:val="6DF95579"/>
    <w:rsid w:val="6E121228"/>
    <w:rsid w:val="6FE23CD1"/>
    <w:rsid w:val="70D1495F"/>
    <w:rsid w:val="70ED510D"/>
    <w:rsid w:val="712F63C0"/>
    <w:rsid w:val="72717CD1"/>
    <w:rsid w:val="72DE10A1"/>
    <w:rsid w:val="73AC0E24"/>
    <w:rsid w:val="743E1546"/>
    <w:rsid w:val="74614F7E"/>
    <w:rsid w:val="74695E39"/>
    <w:rsid w:val="754C6F3B"/>
    <w:rsid w:val="75B11AFF"/>
    <w:rsid w:val="75D32619"/>
    <w:rsid w:val="768D126A"/>
    <w:rsid w:val="77113DF9"/>
    <w:rsid w:val="780B6A75"/>
    <w:rsid w:val="79F83E18"/>
    <w:rsid w:val="7B147404"/>
    <w:rsid w:val="7B347CC5"/>
    <w:rsid w:val="7CED7DC5"/>
    <w:rsid w:val="7D0F76D8"/>
    <w:rsid w:val="7DFB63A6"/>
    <w:rsid w:val="7E3420E0"/>
    <w:rsid w:val="7F1B3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3">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hAnsi="Times New Roman" w:cs="Times New Roman"/>
      <w:kern w:val="0"/>
      <w:sz w:val="20"/>
      <w:szCs w:val="20"/>
    </w:rPr>
  </w:style>
  <w:style w:type="paragraph" w:styleId="5">
    <w:name w:val="annotation text"/>
    <w:basedOn w:val="1"/>
    <w:qFormat/>
    <w:uiPriority w:val="0"/>
    <w:pPr>
      <w:jc w:val="left"/>
    </w:pPr>
  </w:style>
  <w:style w:type="paragraph" w:styleId="6">
    <w:name w:val="Body Text"/>
    <w:basedOn w:val="1"/>
    <w:next w:val="7"/>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7">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Body Text Indent"/>
    <w:basedOn w:val="1"/>
    <w:qFormat/>
    <w:uiPriority w:val="0"/>
    <w:pPr>
      <w:spacing w:after="120"/>
      <w:ind w:left="420" w:leftChars="200"/>
    </w:pPr>
  </w:style>
  <w:style w:type="paragraph" w:styleId="9">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0">
    <w:name w:val="Body Text First Indent"/>
    <w:basedOn w:val="6"/>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正文首行缩进1"/>
    <w:basedOn w:val="1"/>
    <w:qFormat/>
    <w:uiPriority w:val="0"/>
    <w:pPr>
      <w:spacing w:line="360" w:lineRule="auto"/>
      <w:ind w:firstLine="200" w:firstLineChars="200"/>
    </w:pPr>
    <w:rPr>
      <w:kern w:val="2"/>
      <w:sz w:val="24"/>
      <w:szCs w:val="24"/>
    </w:rPr>
  </w:style>
  <w:style w:type="character" w:customStyle="1" w:styleId="16">
    <w:name w:val="font11"/>
    <w:basedOn w:val="13"/>
    <w:qFormat/>
    <w:uiPriority w:val="0"/>
    <w:rPr>
      <w:rFonts w:hint="eastAsia" w:ascii="宋体" w:hAnsi="宋体" w:eastAsia="宋体" w:cs="宋体"/>
      <w:color w:val="000000"/>
      <w:sz w:val="22"/>
      <w:szCs w:val="22"/>
      <w:u w:val="none"/>
    </w:rPr>
  </w:style>
  <w:style w:type="character" w:customStyle="1" w:styleId="17">
    <w:name w:val="font31"/>
    <w:basedOn w:val="13"/>
    <w:qFormat/>
    <w:uiPriority w:val="0"/>
    <w:rPr>
      <w:rFonts w:hint="eastAsia" w:ascii="宋体" w:hAnsi="宋体" w:eastAsia="宋体" w:cs="宋体"/>
      <w:b/>
      <w:bCs/>
      <w:color w:val="FF0000"/>
      <w:sz w:val="20"/>
      <w:szCs w:val="20"/>
      <w:u w:val="none"/>
    </w:rPr>
  </w:style>
  <w:style w:type="character" w:customStyle="1" w:styleId="18">
    <w:name w:val="font41"/>
    <w:basedOn w:val="13"/>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cp:lastPrinted>2024-03-01T02:59:00Z</cp:lastPrinted>
  <dcterms:modified xsi:type="dcterms:W3CDTF">2026-05-21T04:22:44Z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0191D49A9C1B494F8CB3495F7A3C5D89</vt:lpwstr>
  </property>
</Properties>
</file>