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报价函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一、律所简介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二、服务内容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包括但不限于以下内容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日常经营所涉有关法律问题提供法律意见或咨询服务。对日常经营中可能出现的法律问题，及时提出预警及提示。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2.草拟、审查、修改日常经营所涉合同及其他有关法律文书。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应邀参与有关会议、合同谈判。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对员工进行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保险行业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法律知识培训和辅导，一季度一次。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协助处理生产经营管理中的纠纷、争议。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根据需要向第三方发出律师函。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为有关诉责险的业务需求，出具法核意见书，具体为每一个自然年度不超过12次。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三、服务报价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律所名称：（盖章）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FD2223"/>
    <w:rsid w:val="0AB02189"/>
    <w:rsid w:val="20937C65"/>
    <w:rsid w:val="288C3640"/>
    <w:rsid w:val="38FD2223"/>
    <w:rsid w:val="39EC6CB7"/>
    <w:rsid w:val="41756BB8"/>
    <w:rsid w:val="44542267"/>
    <w:rsid w:val="4E2A22D4"/>
    <w:rsid w:val="6E10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2025-05-16T00:47:00Z</dcterms:created>
  <dc:creator>李纯</dc:creator>
  <cp:lastModifiedBy>张晓玥</cp:lastModifiedBy>
  <dcterms:modified xsi:type="dcterms:W3CDTF">2026-05-18T02:43:50Z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CA6842D2A067492CBF41707E52657660</vt:lpwstr>
  </property>
</Properties>
</file>