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95069">
      <w:pPr>
        <w:adjustRightInd w:val="0"/>
        <w:snapToGrid w:val="0"/>
        <w:spacing w:before="156"/>
        <w:jc w:val="center"/>
        <w:rPr>
          <w:rFonts w:ascii="宋体" w:hAnsi="宋体"/>
          <w:b/>
          <w:color w:val="auto"/>
          <w:sz w:val="28"/>
        </w:rPr>
      </w:pPr>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14:paraId="3EA08EED">
      <w:pPr>
        <w:adjustRightInd w:val="0"/>
        <w:snapToGrid w:val="0"/>
        <w:spacing w:before="156"/>
        <w:rPr>
          <w:rFonts w:ascii="宋体" w:hAnsi="宋体"/>
          <w:color w:val="auto"/>
        </w:rPr>
      </w:pPr>
    </w:p>
    <w:p w14:paraId="03F1C7F0">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7BD9F81F">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14:paraId="133A99FB">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14:paraId="7BD9F81F">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14:paraId="133A99FB">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14:paraId="70B5A521">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超高压输电公司昆明局2025年检修、消缺及试验耗材零星采购项目</w:t>
      </w:r>
    </w:p>
    <w:p w14:paraId="4BC80FF3">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14:paraId="65F4C683">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14:paraId="57A8132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14:paraId="006752A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高压试验专业每年需开展试验、检修及消缺，使用的试验线、防鸟帽、瓦斯继电器芯子密封圈等耗材已基本用完。故采购一批检修、消缺及试验耗材，以为满足日常试验、消缺等工作需要。</w:t>
      </w:r>
    </w:p>
    <w:p w14:paraId="519B7700">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yellow"/>
          <w:u w:val="single"/>
          <w:lang w:val="en-US"/>
        </w:rPr>
      </w:pPr>
      <w:r>
        <w:rPr>
          <w:rFonts w:hint="eastAsia" w:ascii="宋体" w:hAnsi="宋体" w:eastAsia="宋体" w:cs="宋体"/>
          <w:color w:val="auto"/>
          <w:sz w:val="28"/>
          <w:szCs w:val="28"/>
          <w:highlight w:val="yellow"/>
          <w:lang w:val="en-US" w:eastAsia="zh-CN"/>
        </w:rPr>
        <w:t>1.2</w:t>
      </w:r>
      <w:r>
        <w:rPr>
          <w:rFonts w:hint="eastAsia" w:ascii="宋体" w:hAnsi="宋体" w:eastAsia="宋体" w:cs="宋体"/>
          <w:color w:val="auto"/>
          <w:sz w:val="28"/>
          <w:szCs w:val="28"/>
          <w:highlight w:val="yellow"/>
        </w:rPr>
        <w:t>批复文件：昆明局 2025 年第三批变电生产项目</w:t>
      </w:r>
      <w:r>
        <w:rPr>
          <w:rFonts w:hint="eastAsia" w:ascii="宋体" w:hAnsi="宋体" w:eastAsia="宋体" w:cs="宋体"/>
          <w:color w:val="auto"/>
          <w:sz w:val="28"/>
          <w:szCs w:val="28"/>
          <w:highlight w:val="yellow"/>
          <w:lang w:val="en-US" w:eastAsia="zh-CN"/>
        </w:rPr>
        <w:t>(202</w:t>
      </w:r>
      <w:r>
        <w:rPr>
          <w:rFonts w:hint="eastAsia" w:ascii="宋体" w:hAnsi="宋体" w:cs="宋体"/>
          <w:color w:val="auto"/>
          <w:sz w:val="28"/>
          <w:szCs w:val="28"/>
          <w:highlight w:val="yellow"/>
          <w:lang w:val="en-US" w:eastAsia="zh-CN"/>
        </w:rPr>
        <w:t>5</w:t>
      </w:r>
      <w:r>
        <w:rPr>
          <w:rFonts w:hint="eastAsia" w:ascii="宋体" w:hAnsi="宋体" w:eastAsia="宋体" w:cs="宋体"/>
          <w:color w:val="auto"/>
          <w:sz w:val="28"/>
          <w:szCs w:val="28"/>
          <w:highlight w:val="yellow"/>
          <w:lang w:val="en-US" w:eastAsia="zh-CN"/>
        </w:rPr>
        <w:t>/专</w:t>
      </w:r>
      <w:r>
        <w:rPr>
          <w:rFonts w:hint="eastAsia" w:ascii="宋体" w:hAnsi="宋体" w:cs="宋体"/>
          <w:color w:val="auto"/>
          <w:sz w:val="28"/>
          <w:szCs w:val="28"/>
          <w:highlight w:val="yellow"/>
          <w:lang w:val="en-US" w:eastAsia="zh-CN"/>
        </w:rPr>
        <w:t>60</w:t>
      </w:r>
      <w:r>
        <w:rPr>
          <w:rFonts w:hint="eastAsia" w:ascii="宋体" w:hAnsi="宋体" w:eastAsia="宋体" w:cs="宋体"/>
          <w:color w:val="auto"/>
          <w:sz w:val="28"/>
          <w:szCs w:val="28"/>
          <w:highlight w:val="yellow"/>
          <w:lang w:val="en-US" w:eastAsia="zh-CN"/>
        </w:rPr>
        <w:t>号)。</w:t>
      </w:r>
    </w:p>
    <w:p w14:paraId="214F4A1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yellow"/>
          <w:lang w:val="en-US" w:eastAsia="zh-CN"/>
        </w:rPr>
        <w:t>1.3</w:t>
      </w:r>
      <w:r>
        <w:rPr>
          <w:rFonts w:hint="eastAsia" w:ascii="宋体" w:hAnsi="宋体" w:eastAsia="宋体" w:cs="宋体"/>
          <w:color w:val="auto"/>
          <w:sz w:val="28"/>
          <w:szCs w:val="28"/>
          <w:highlight w:val="yellow"/>
        </w:rPr>
        <w:t>项目最高限价</w:t>
      </w:r>
      <w:r>
        <w:rPr>
          <w:rFonts w:hint="eastAsia" w:ascii="宋体" w:hAnsi="宋体" w:eastAsia="宋体" w:cs="宋体"/>
          <w:color w:val="auto"/>
          <w:sz w:val="28"/>
          <w:szCs w:val="28"/>
          <w:highlight w:val="yellow"/>
          <w:lang w:eastAsia="zh-CN"/>
        </w:rPr>
        <w:t>（一般不超概算）</w:t>
      </w:r>
      <w:r>
        <w:rPr>
          <w:rFonts w:hint="eastAsia" w:ascii="宋体" w:hAnsi="宋体" w:eastAsia="宋体" w:cs="宋体"/>
          <w:color w:val="auto"/>
          <w:sz w:val="28"/>
          <w:szCs w:val="28"/>
          <w:highlight w:val="yellow"/>
        </w:rPr>
        <w:t>：</w:t>
      </w:r>
      <w:r>
        <w:rPr>
          <w:rFonts w:hint="eastAsia" w:ascii="宋体" w:hAnsi="宋体" w:eastAsia="宋体" w:cs="宋体"/>
          <w:color w:val="auto"/>
          <w:sz w:val="28"/>
          <w:szCs w:val="28"/>
          <w:highlight w:val="yellow"/>
          <w:u w:val="single"/>
        </w:rPr>
        <w:t xml:space="preserve"> </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1.63</w:t>
      </w:r>
      <w:bookmarkStart w:id="4" w:name="_GoBack"/>
      <w:bookmarkEnd w:id="4"/>
      <w:r>
        <w:rPr>
          <w:rFonts w:hint="eastAsia" w:ascii="宋体" w:hAnsi="宋体" w:eastAsia="宋体" w:cs="宋体"/>
          <w:color w:val="auto"/>
          <w:sz w:val="28"/>
          <w:szCs w:val="28"/>
          <w:highlight w:val="yellow"/>
          <w:u w:val="single"/>
          <w:lang w:val="en-US" w:eastAsia="zh-CN"/>
        </w:rPr>
        <w:t xml:space="preserve">  </w:t>
      </w:r>
      <w:r>
        <w:rPr>
          <w:rFonts w:hint="eastAsia" w:ascii="宋体" w:hAnsi="宋体" w:eastAsia="宋体" w:cs="宋体"/>
          <w:color w:val="auto"/>
          <w:sz w:val="28"/>
          <w:szCs w:val="28"/>
          <w:highlight w:val="yellow"/>
        </w:rPr>
        <w:t>万元。</w:t>
      </w:r>
    </w:p>
    <w:p w14:paraId="4F1F9C99">
      <w:pPr>
        <w:adjustRightInd w:val="0"/>
        <w:snapToGrid w:val="0"/>
        <w:spacing w:before="156" w:beforeLines="50" w:line="360" w:lineRule="auto"/>
        <w:outlineLvl w:val="0"/>
        <w:rPr>
          <w:rFonts w:hint="eastAsia" w:eastAsia="宋体"/>
          <w:b/>
          <w:color w:val="auto"/>
          <w:sz w:val="28"/>
          <w:szCs w:val="28"/>
          <w:lang w:val="en-US" w:eastAsia="zh-CN"/>
        </w:rPr>
      </w:pPr>
      <w:r>
        <w:rPr>
          <w:rFonts w:hint="eastAsia"/>
          <w:b/>
          <w:color w:val="auto"/>
          <w:sz w:val="28"/>
          <w:szCs w:val="28"/>
        </w:rPr>
        <w:t>二、</w:t>
      </w:r>
      <w:bookmarkEnd w:id="1"/>
      <w:r>
        <w:rPr>
          <w:rFonts w:hint="eastAsia"/>
          <w:b/>
          <w:color w:val="auto"/>
          <w:sz w:val="28"/>
          <w:szCs w:val="28"/>
        </w:rPr>
        <w:t>项目实施内容及要求</w:t>
      </w:r>
    </w:p>
    <w:bookmarkEnd w:id="0"/>
    <w:p w14:paraId="02F730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bookmarkStart w:id="2" w:name="_Toc349031731"/>
      <w:r>
        <w:rPr>
          <w:rFonts w:hint="eastAsia" w:ascii="宋体" w:hAnsi="宋体" w:eastAsia="宋体" w:cs="宋体"/>
          <w:color w:val="auto"/>
          <w:sz w:val="28"/>
          <w:szCs w:val="28"/>
          <w:highlight w:val="yellow"/>
          <w:lang w:val="en-US" w:eastAsia="zh-CN"/>
        </w:rPr>
        <w:t>2.1实施内容：</w:t>
      </w:r>
    </w:p>
    <w:p w14:paraId="634E45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（1）JYR回路电阻测试仪试验线6根；</w:t>
      </w:r>
    </w:p>
    <w:p w14:paraId="05FF23D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（2）试验线（10米）100根；</w:t>
      </w:r>
    </w:p>
    <w:p w14:paraId="5E29D5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（3）试验线（2.5）40根；</w:t>
      </w:r>
    </w:p>
    <w:p w14:paraId="42C7806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（4）瓦斯继电器芯子密封圈20个及其开模制作；</w:t>
      </w:r>
    </w:p>
    <w:p w14:paraId="3EBBAE4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（5）防鸟帽100个。</w:t>
      </w:r>
    </w:p>
    <w:p w14:paraId="2E0B8806">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yellow"/>
          <w:u w:val="singl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eastAsia="宋体" w:cs="宋体"/>
          <w:b w:val="0"/>
          <w:bCs/>
          <w:color w:val="auto"/>
          <w:sz w:val="28"/>
          <w:szCs w:val="28"/>
          <w:highlight w:val="yellow"/>
          <w:u w:val="single"/>
          <w:lang w:val="en-US" w:eastAsia="zh-CN"/>
        </w:rPr>
        <w:t>成交之日起2个月内</w:t>
      </w:r>
      <w:r>
        <w:rPr>
          <w:rFonts w:hint="eastAsia" w:ascii="宋体" w:hAnsi="宋体" w:cs="宋体"/>
          <w:b w:val="0"/>
          <w:bCs/>
          <w:color w:val="auto"/>
          <w:sz w:val="28"/>
          <w:szCs w:val="28"/>
          <w:highlight w:val="yellow"/>
          <w:u w:val="single"/>
          <w:lang w:val="en-US" w:eastAsia="zh-CN"/>
        </w:rPr>
        <w:t>。</w:t>
      </w:r>
    </w:p>
    <w:p w14:paraId="23C1F6C3">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cs="宋体"/>
          <w:color w:val="auto"/>
          <w:sz w:val="28"/>
          <w:szCs w:val="28"/>
          <w:highlight w:val="yellow"/>
          <w:u w:val="single"/>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yellow"/>
          <w:u w:val="single"/>
          <w:lang w:val="en-US" w:eastAsia="zh-CN"/>
        </w:rPr>
        <w:t>云南省昆明市官渡区玉缘路21号</w:t>
      </w:r>
    </w:p>
    <w:p w14:paraId="44A2042E">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yellow"/>
          <w:u w:val="single"/>
          <w:lang w:val="en-US" w:eastAsia="zh-CN"/>
        </w:rPr>
      </w:pPr>
      <w:r>
        <w:rPr>
          <w:rFonts w:hint="eastAsia" w:ascii="宋体" w:hAnsi="宋体" w:eastAsia="宋体" w:cs="宋体"/>
          <w:b w:val="0"/>
          <w:bCs/>
          <w:color w:val="auto"/>
          <w:sz w:val="28"/>
          <w:szCs w:val="28"/>
          <w:highlight w:val="yellow"/>
          <w:lang w:val="en-US" w:eastAsia="zh-CN"/>
        </w:rPr>
        <w:t>2.4其他要求：</w:t>
      </w:r>
      <w:r>
        <w:rPr>
          <w:rFonts w:hint="eastAsia" w:ascii="宋体" w:hAnsi="宋体" w:eastAsia="宋体" w:cs="宋体"/>
          <w:b w:val="0"/>
          <w:bCs/>
          <w:color w:val="auto"/>
          <w:sz w:val="28"/>
          <w:szCs w:val="28"/>
          <w:highlight w:val="yellow"/>
          <w:u w:val="single"/>
          <w:lang w:val="en-US" w:eastAsia="zh-CN"/>
        </w:rPr>
        <w:t xml:space="preserve">  </w:t>
      </w:r>
      <w:r>
        <w:rPr>
          <w:rFonts w:hint="eastAsia" w:ascii="宋体" w:hAnsi="宋体" w:cs="宋体"/>
          <w:b w:val="0"/>
          <w:bCs/>
          <w:color w:val="auto"/>
          <w:sz w:val="28"/>
          <w:szCs w:val="28"/>
          <w:highlight w:val="yellow"/>
          <w:u w:val="single"/>
          <w:lang w:val="en-US" w:eastAsia="zh-CN"/>
        </w:rPr>
        <w:t>无</w:t>
      </w:r>
      <w:r>
        <w:rPr>
          <w:rFonts w:hint="eastAsia" w:ascii="宋体" w:hAnsi="宋体" w:eastAsia="宋体" w:cs="宋体"/>
          <w:b w:val="0"/>
          <w:bCs/>
          <w:color w:val="auto"/>
          <w:sz w:val="28"/>
          <w:szCs w:val="28"/>
          <w:highlight w:val="yellow"/>
          <w:u w:val="single"/>
          <w:lang w:val="en-US" w:eastAsia="zh-CN"/>
        </w:rPr>
        <w:t xml:space="preserve">   </w:t>
      </w:r>
    </w:p>
    <w:p w14:paraId="304E893E">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14:paraId="221CF033">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14:paraId="60AB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14:paraId="6593A0F3">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14:paraId="77775C5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14:paraId="4095D5D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15E27C3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14:paraId="7E233302">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14:paraId="7BA6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14:paraId="36D91AE3">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14:paraId="1ECD57D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14:paraId="504B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14:paraId="069B42AC">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14:paraId="4616A03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14:paraId="090B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6EF519E5">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14:paraId="3FB1813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14:paraId="474307A7">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14:paraId="22DF2817">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14:paraId="367274E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14:paraId="64257BC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14:paraId="67B6571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14:paraId="5F3DA23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14:paraId="4BE1442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14:paraId="30ADCE7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14:paraId="28827E8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14:paraId="661010BB">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14:paraId="11BED88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yellow"/>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yellow"/>
          <w:lang w:eastAsia="zh-CN"/>
        </w:rPr>
        <w:t>质保期自验收合格日期起计算，质保期为</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3</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eastAsia="宋体" w:cs="宋体"/>
          <w:color w:val="auto"/>
          <w:sz w:val="28"/>
          <w:szCs w:val="28"/>
          <w:highlight w:val="yellow"/>
          <w:lang w:val="en-US" w:eastAsia="zh-CN"/>
        </w:rPr>
        <w:t>个月。</w:t>
      </w:r>
    </w:p>
    <w:p w14:paraId="6A26B5A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14:paraId="1F5433F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yellow"/>
          <w:u w:val="single"/>
          <w:lang w:val="en-US" w:eastAsia="zh-CN"/>
        </w:rPr>
        <w:t xml:space="preserve">其他要求：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14:paraId="3F463CB5">
      <w:pPr>
        <w:pStyle w:val="2"/>
        <w:rPr>
          <w:rFonts w:hint="default"/>
          <w:lang w:val="en-US" w:eastAsia="zh-CN"/>
        </w:rPr>
      </w:pPr>
    </w:p>
    <w:p w14:paraId="205C6A9B">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14:paraId="5FDA2523">
      <w:pPr>
        <w:widowControl/>
        <w:snapToGrid w:val="0"/>
        <w:spacing w:line="240" w:lineRule="exact"/>
        <w:rPr>
          <w:b/>
          <w:color w:val="auto"/>
          <w:kern w:val="0"/>
          <w:sz w:val="24"/>
          <w:highlight w:val="none"/>
        </w:rPr>
      </w:pPr>
    </w:p>
    <w:p w14:paraId="4E847D23">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14:paraId="1C36D3D3">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14:paraId="64E03226">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14:paraId="4FFE369A">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14:paraId="3C8DA269">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14:paraId="704F892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约定时，卖方应根据买方的要求采取修理、更换、退货、削价、赔偿损失等补救措施。卖方承担任何一种或几种补救措施均不减轻卖方依据合同所应承担的违约责任。</w:t>
      </w:r>
    </w:p>
    <w:p w14:paraId="3A929F3D">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14:paraId="0A4BD86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lang w:val="en-US" w:eastAsia="zh-CN"/>
        </w:rPr>
      </w:pPr>
      <w:r>
        <w:rPr>
          <w:rFonts w:hint="eastAsia" w:ascii="宋体" w:hAnsi="宋体" w:eastAsia="宋体" w:cs="宋体"/>
          <w:color w:val="auto"/>
          <w:sz w:val="28"/>
          <w:szCs w:val="28"/>
          <w:highlight w:val="yellow"/>
          <w:u w:val="single"/>
          <w:lang w:val="en-US" w:eastAsia="zh-CN"/>
        </w:rPr>
        <w:t xml:space="preserve">5.8其他责任：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14:paraId="76FDCC63">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tbl>
      <w:tblPr>
        <w:tblStyle w:val="9"/>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388"/>
        <w:gridCol w:w="3975"/>
        <w:gridCol w:w="2179"/>
      </w:tblGrid>
      <w:tr w14:paraId="72B9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14:paraId="1CB298D2">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14:paraId="51090898">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388" w:type="dxa"/>
            <w:noWrap w:val="0"/>
            <w:vAlign w:val="center"/>
          </w:tcPr>
          <w:p w14:paraId="32123732">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975" w:type="dxa"/>
            <w:noWrap w:val="0"/>
            <w:vAlign w:val="center"/>
          </w:tcPr>
          <w:p w14:paraId="1C77B9D7">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179" w:type="dxa"/>
            <w:noWrap w:val="0"/>
            <w:vAlign w:val="center"/>
          </w:tcPr>
          <w:p w14:paraId="14B8BA0F">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14:paraId="5716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6FCFD9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default" w:ascii="宋体" w:hAnsi="宋体" w:eastAsia="宋体" w:cs="宋体"/>
                <w:color w:val="auto"/>
                <w:sz w:val="24"/>
                <w:szCs w:val="24"/>
              </w:rPr>
              <w:t>1</w:t>
            </w:r>
          </w:p>
        </w:tc>
        <w:tc>
          <w:tcPr>
            <w:tcW w:w="1987" w:type="dxa"/>
            <w:noWrap w:val="0"/>
            <w:vAlign w:val="center"/>
          </w:tcPr>
          <w:p w14:paraId="564EE74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JYR便携式回路电阻测试仪专用试验线</w:t>
            </w:r>
          </w:p>
        </w:tc>
        <w:tc>
          <w:tcPr>
            <w:tcW w:w="1388" w:type="dxa"/>
            <w:noWrap w:val="0"/>
            <w:vAlign w:val="center"/>
          </w:tcPr>
          <w:p w14:paraId="6982F03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JYR便携式回路电阻测试仪专用</w:t>
            </w:r>
          </w:p>
        </w:tc>
        <w:tc>
          <w:tcPr>
            <w:tcW w:w="3975" w:type="dxa"/>
            <w:noWrap w:val="0"/>
            <w:vAlign w:val="center"/>
          </w:tcPr>
          <w:p w14:paraId="0E7B2CB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c>
          <w:tcPr>
            <w:tcW w:w="2179" w:type="dxa"/>
            <w:noWrap w:val="0"/>
            <w:vAlign w:val="center"/>
          </w:tcPr>
          <w:p w14:paraId="01F95DE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JYR便携式回路电阻测试仪专用试验线6根</w:t>
            </w:r>
          </w:p>
        </w:tc>
      </w:tr>
      <w:tr w14:paraId="6D14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76B6B27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87" w:type="dxa"/>
            <w:noWrap w:val="0"/>
            <w:vAlign w:val="center"/>
          </w:tcPr>
          <w:p w14:paraId="275BAFA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试验线</w:t>
            </w:r>
          </w:p>
        </w:tc>
        <w:tc>
          <w:tcPr>
            <w:tcW w:w="1388" w:type="dxa"/>
            <w:noWrap w:val="0"/>
            <w:vAlign w:val="center"/>
          </w:tcPr>
          <w:p w14:paraId="1F621A9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10米</w:t>
            </w:r>
          </w:p>
        </w:tc>
        <w:tc>
          <w:tcPr>
            <w:tcW w:w="3975" w:type="dxa"/>
            <w:noWrap w:val="0"/>
            <w:vAlign w:val="center"/>
          </w:tcPr>
          <w:p w14:paraId="057332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c>
          <w:tcPr>
            <w:tcW w:w="2179" w:type="dxa"/>
            <w:noWrap w:val="0"/>
            <w:vAlign w:val="center"/>
          </w:tcPr>
          <w:p w14:paraId="3B71ED2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试验线（10米）100根</w:t>
            </w:r>
          </w:p>
          <w:p w14:paraId="21242E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r>
      <w:tr w14:paraId="6E434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3C05886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87" w:type="dxa"/>
            <w:noWrap w:val="0"/>
            <w:vAlign w:val="center"/>
          </w:tcPr>
          <w:p w14:paraId="027E5D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试验线</w:t>
            </w:r>
          </w:p>
        </w:tc>
        <w:tc>
          <w:tcPr>
            <w:tcW w:w="1388" w:type="dxa"/>
            <w:noWrap w:val="0"/>
            <w:vAlign w:val="center"/>
          </w:tcPr>
          <w:p w14:paraId="0D616BC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2.5米</w:t>
            </w:r>
          </w:p>
        </w:tc>
        <w:tc>
          <w:tcPr>
            <w:tcW w:w="3975" w:type="dxa"/>
            <w:noWrap w:val="0"/>
            <w:vAlign w:val="center"/>
          </w:tcPr>
          <w:p w14:paraId="400C3BC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2364105" cy="1228090"/>
                  <wp:effectExtent l="0" t="0" r="17145" b="10160"/>
                  <wp:docPr id="8" name="图片 8" descr="d17c8909632d0de783a4f62d98112882_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17c8909632d0de783a4f62d98112882_origin"/>
                          <pic:cNvPicPr>
                            <a:picLocks noChangeAspect="1"/>
                          </pic:cNvPicPr>
                        </pic:nvPicPr>
                        <pic:blipFill>
                          <a:blip r:embed="rId9"/>
                          <a:srcRect l="2110" t="29274" r="8681" b="24386"/>
                          <a:stretch>
                            <a:fillRect/>
                          </a:stretch>
                        </pic:blipFill>
                        <pic:spPr>
                          <a:xfrm>
                            <a:off x="0" y="0"/>
                            <a:ext cx="2364105" cy="1228090"/>
                          </a:xfrm>
                          <a:prstGeom prst="rect">
                            <a:avLst/>
                          </a:prstGeom>
                        </pic:spPr>
                      </pic:pic>
                    </a:graphicData>
                  </a:graphic>
                </wp:inline>
              </w:drawing>
            </w:r>
          </w:p>
        </w:tc>
        <w:tc>
          <w:tcPr>
            <w:tcW w:w="2179" w:type="dxa"/>
            <w:noWrap w:val="0"/>
            <w:vAlign w:val="center"/>
          </w:tcPr>
          <w:p w14:paraId="7FA1A35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试验线（2.5）40根</w:t>
            </w:r>
          </w:p>
          <w:p w14:paraId="081B816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r>
      <w:tr w14:paraId="0D29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17456ED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87" w:type="dxa"/>
            <w:noWrap w:val="0"/>
            <w:vAlign w:val="center"/>
          </w:tcPr>
          <w:p w14:paraId="54DD80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瓦斯继电器芯子密封圈及开模制作</w:t>
            </w:r>
          </w:p>
        </w:tc>
        <w:tc>
          <w:tcPr>
            <w:tcW w:w="1388" w:type="dxa"/>
            <w:noWrap w:val="0"/>
            <w:vAlign w:val="center"/>
          </w:tcPr>
          <w:p w14:paraId="0931671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EMB BF 80瓦斯继电器芯子密封圈及开模制作</w:t>
            </w:r>
          </w:p>
          <w:p w14:paraId="64BB8F9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c>
          <w:tcPr>
            <w:tcW w:w="3975" w:type="dxa"/>
            <w:noWrap w:val="0"/>
            <w:vAlign w:val="center"/>
          </w:tcPr>
          <w:p w14:paraId="6C8031E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2379980" cy="1784985"/>
                  <wp:effectExtent l="0" t="0" r="1270" b="5715"/>
                  <wp:docPr id="4" name="图片 4" descr="e5b348a6ddb22cab11d2fd9b13fe5608_origi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5b348a6ddb22cab11d2fd9b13fe5608_origin(1)"/>
                          <pic:cNvPicPr>
                            <a:picLocks noChangeAspect="1"/>
                          </pic:cNvPicPr>
                        </pic:nvPicPr>
                        <pic:blipFill>
                          <a:blip r:embed="rId10"/>
                          <a:stretch>
                            <a:fillRect/>
                          </a:stretch>
                        </pic:blipFill>
                        <pic:spPr>
                          <a:xfrm>
                            <a:off x="0" y="0"/>
                            <a:ext cx="2379980" cy="1784985"/>
                          </a:xfrm>
                          <a:prstGeom prst="rect">
                            <a:avLst/>
                          </a:prstGeom>
                        </pic:spPr>
                      </pic:pic>
                    </a:graphicData>
                  </a:graphic>
                </wp:inline>
              </w:drawing>
            </w:r>
          </w:p>
        </w:tc>
        <w:tc>
          <w:tcPr>
            <w:tcW w:w="2179" w:type="dxa"/>
            <w:noWrap w:val="0"/>
            <w:vAlign w:val="center"/>
          </w:tcPr>
          <w:p w14:paraId="6BD2180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瓦斯继电器芯子密封圈20个及其开模制作</w:t>
            </w:r>
          </w:p>
        </w:tc>
      </w:tr>
      <w:tr w14:paraId="040F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5E257B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987" w:type="dxa"/>
            <w:noWrap w:val="0"/>
            <w:vAlign w:val="center"/>
          </w:tcPr>
          <w:p w14:paraId="1CE6646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防鸟帽</w:t>
            </w:r>
          </w:p>
        </w:tc>
        <w:tc>
          <w:tcPr>
            <w:tcW w:w="1388" w:type="dxa"/>
            <w:noWrap w:val="0"/>
            <w:vAlign w:val="center"/>
          </w:tcPr>
          <w:p w14:paraId="7CEC4E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击穿电压</w:t>
            </w:r>
          </w:p>
          <w:p w14:paraId="3B89065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≥10kV </w:t>
            </w:r>
          </w:p>
          <w:p w14:paraId="362DD2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p>
        </w:tc>
        <w:tc>
          <w:tcPr>
            <w:tcW w:w="3975" w:type="dxa"/>
            <w:noWrap w:val="0"/>
            <w:vAlign w:val="center"/>
          </w:tcPr>
          <w:p w14:paraId="3CD83AB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drawing>
                <wp:inline distT="0" distB="0" distL="114300" distR="114300">
                  <wp:extent cx="2312035" cy="1599565"/>
                  <wp:effectExtent l="0" t="0" r="12065" b="635"/>
                  <wp:docPr id="6" name="图片 6" descr="73d91c5ea3268076916682ce08484155_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3d91c5ea3268076916682ce08484155_origin"/>
                          <pic:cNvPicPr>
                            <a:picLocks noChangeAspect="1"/>
                          </pic:cNvPicPr>
                        </pic:nvPicPr>
                        <pic:blipFill>
                          <a:blip r:embed="rId11"/>
                          <a:srcRect t="35756" r="35996" b="19968"/>
                          <a:stretch>
                            <a:fillRect/>
                          </a:stretch>
                        </pic:blipFill>
                        <pic:spPr>
                          <a:xfrm>
                            <a:off x="0" y="0"/>
                            <a:ext cx="2312035" cy="1599565"/>
                          </a:xfrm>
                          <a:prstGeom prst="rect">
                            <a:avLst/>
                          </a:prstGeom>
                        </pic:spPr>
                      </pic:pic>
                    </a:graphicData>
                  </a:graphic>
                </wp:inline>
              </w:drawing>
            </w:r>
          </w:p>
        </w:tc>
        <w:tc>
          <w:tcPr>
            <w:tcW w:w="2179" w:type="dxa"/>
            <w:noWrap w:val="0"/>
            <w:vAlign w:val="center"/>
          </w:tcPr>
          <w:p w14:paraId="6EEEB0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防鸟帽100个</w:t>
            </w:r>
          </w:p>
        </w:tc>
      </w:tr>
    </w:tbl>
    <w:p w14:paraId="39B0B949">
      <w:pPr>
        <w:rPr>
          <w:rFonts w:hint="eastAsia"/>
          <w:color w:val="auto"/>
          <w:lang w:val="en-US" w:eastAsia="zh-CN"/>
        </w:rPr>
      </w:pPr>
    </w:p>
    <w:p w14:paraId="6AF9333D">
      <w:pPr>
        <w:pStyle w:val="2"/>
        <w:rPr>
          <w:rFonts w:hint="eastAsia"/>
          <w:color w:val="auto"/>
          <w:lang w:val="en-US" w:eastAsia="zh-CN"/>
        </w:rPr>
      </w:pPr>
    </w:p>
    <w:p w14:paraId="1AB4CB96">
      <w:pPr>
        <w:pStyle w:val="2"/>
        <w:rPr>
          <w:rFonts w:hint="eastAsia"/>
          <w:color w:val="auto"/>
          <w:lang w:val="en-US" w:eastAsia="zh-CN"/>
        </w:rPr>
      </w:pPr>
    </w:p>
    <w:p w14:paraId="1274AF3E">
      <w:pPr>
        <w:pStyle w:val="3"/>
        <w:rPr>
          <w:rFonts w:hint="eastAsia"/>
          <w:color w:val="auto"/>
          <w:lang w:val="en-US" w:eastAsia="zh-CN"/>
        </w:rPr>
      </w:pPr>
    </w:p>
    <w:p w14:paraId="789F9303">
      <w:pPr>
        <w:rPr>
          <w:rFonts w:hint="eastAsia"/>
          <w:color w:val="auto"/>
          <w:lang w:val="en-US" w:eastAsia="zh-CN"/>
        </w:rPr>
      </w:pPr>
    </w:p>
    <w:p w14:paraId="123C67C3">
      <w:pPr>
        <w:pStyle w:val="2"/>
        <w:rPr>
          <w:rFonts w:hint="eastAsia"/>
          <w:color w:val="auto"/>
          <w:lang w:val="en-US" w:eastAsia="zh-CN"/>
        </w:rPr>
      </w:pPr>
    </w:p>
    <w:p w14:paraId="0D22A05E">
      <w:pPr>
        <w:pStyle w:val="3"/>
        <w:rPr>
          <w:rFonts w:hint="eastAsia"/>
          <w:color w:val="auto"/>
          <w:lang w:val="en-US" w:eastAsia="zh-CN"/>
        </w:rPr>
      </w:pPr>
    </w:p>
    <w:p w14:paraId="093DFB49">
      <w:pPr>
        <w:rPr>
          <w:rFonts w:hint="eastAsia"/>
          <w:color w:val="auto"/>
          <w:lang w:val="en-US" w:eastAsia="zh-CN"/>
        </w:rPr>
      </w:pPr>
    </w:p>
    <w:p w14:paraId="73C29BBB">
      <w:pPr>
        <w:pStyle w:val="3"/>
        <w:rPr>
          <w:rFonts w:hint="eastAsia"/>
          <w:lang w:val="en-US" w:eastAsia="zh-CN"/>
        </w:rPr>
      </w:pPr>
    </w:p>
    <w:p w14:paraId="56C0434C"/>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FEFB0">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14:paraId="0064D54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A3355">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39F956">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7739F956">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160BADC6">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14:paraId="160BADC6">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C323B">
    <w:pPr>
      <w:pStyle w:val="6"/>
      <w:pBdr>
        <w:bottom w:val="none" w:color="auto" w:sz="0" w:space="0"/>
      </w:pBdr>
    </w:pPr>
  </w:p>
  <w:p w14:paraId="7F5007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262BBA"/>
    <w:rsid w:val="03351A3E"/>
    <w:rsid w:val="0349617A"/>
    <w:rsid w:val="03511777"/>
    <w:rsid w:val="035B2DA6"/>
    <w:rsid w:val="036847D1"/>
    <w:rsid w:val="037E0A23"/>
    <w:rsid w:val="038209EC"/>
    <w:rsid w:val="03856240"/>
    <w:rsid w:val="038748DC"/>
    <w:rsid w:val="038D17BD"/>
    <w:rsid w:val="03A028E2"/>
    <w:rsid w:val="03B5196C"/>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D34644"/>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2283D"/>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C711D"/>
    <w:rsid w:val="0B7F40B4"/>
    <w:rsid w:val="0B8348E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D707DD"/>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1F0118"/>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39E8"/>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7448B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219D7"/>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26DC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48085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13CE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5739A"/>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D2222"/>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77A7E"/>
    <w:rsid w:val="6B7D4B3D"/>
    <w:rsid w:val="6B9769F4"/>
    <w:rsid w:val="6B994889"/>
    <w:rsid w:val="6B9C5079"/>
    <w:rsid w:val="6BC63A92"/>
    <w:rsid w:val="6BDC1E93"/>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06E3"/>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EA69A7"/>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00035115_cgy</cp:lastModifiedBy>
  <dcterms:modified xsi:type="dcterms:W3CDTF">2026-05-25T02:37:30Z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BDBCB30D10E646CDB93118F9A945381B</vt:lpwstr>
  </property>
</Properties>
</file>