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CC2CC">
      <w:pPr>
        <w:pStyle w:val="24"/>
        <w:ind w:left="480"/>
        <w:rPr>
          <w:rFonts w:hint="eastAsia"/>
          <w:color w:val="auto"/>
          <w:sz w:val="20"/>
          <w:szCs w:val="20"/>
        </w:rPr>
      </w:pPr>
      <w:bookmarkStart w:id="0" w:name="_Toc20132764"/>
      <w:bookmarkStart w:id="1" w:name="_Toc1721951"/>
      <w:bookmarkStart w:id="2" w:name="_Toc34142134"/>
      <w:bookmarkStart w:id="3" w:name="_Toc1721920"/>
      <w:bookmarkStart w:id="4" w:name="_Toc34142109"/>
      <w:bookmarkStart w:id="5" w:name="_Toc35965899"/>
      <w:r>
        <w:rPr>
          <w:color w:val="aut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-1257300</wp:posOffset>
            </wp:positionH>
            <wp:positionV relativeFrom="paragraph">
              <wp:posOffset>-990600</wp:posOffset>
            </wp:positionV>
            <wp:extent cx="7581265" cy="2439670"/>
            <wp:effectExtent l="0" t="0" r="635" b="11430"/>
            <wp:wrapTight wrapText="bothSides">
              <wp:wrapPolygon>
                <wp:start x="0" y="0"/>
                <wp:lineTo x="0" y="21476"/>
                <wp:lineTo x="21566" y="21476"/>
                <wp:lineTo x="21566" y="0"/>
                <wp:lineTo x="0" y="0"/>
              </wp:wrapPolygon>
            </wp:wrapTight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81265" cy="2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bookmarkEnd w:id="1"/>
      <w:bookmarkEnd w:id="2"/>
      <w:bookmarkEnd w:id="3"/>
      <w:bookmarkEnd w:id="4"/>
      <w:bookmarkEnd w:id="5"/>
    </w:p>
    <w:p w14:paraId="407F3C17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163" w:beforeLines="50" w:after="163" w:afterLines="50"/>
        <w:ind w:firstLine="0" w:firstLineChars="0"/>
        <w:jc w:val="center"/>
        <w:textAlignment w:val="auto"/>
        <w:rPr>
          <w:rFonts w:hint="default" w:ascii="宋体" w:hAnsi="宋体"/>
          <w:b/>
          <w:color w:val="auto"/>
          <w:spacing w:val="30"/>
          <w:sz w:val="48"/>
          <w:szCs w:val="48"/>
          <w:lang w:val="en-US"/>
        </w:rPr>
      </w:pPr>
      <w:r>
        <w:rPr>
          <w:rFonts w:hint="eastAsia" w:hAnsi="宋体"/>
          <w:b/>
          <w:color w:val="auto"/>
          <w:spacing w:val="30"/>
          <w:sz w:val="48"/>
          <w:szCs w:val="48"/>
          <w:lang w:val="en-US" w:eastAsia="zh-CN"/>
        </w:rPr>
        <w:t>“小智薪”辅助管家</w:t>
      </w:r>
    </w:p>
    <w:p w14:paraId="446B17F6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163" w:beforeLines="50" w:after="163" w:afterLines="50"/>
        <w:ind w:firstLine="0" w:firstLineChars="0"/>
        <w:jc w:val="center"/>
        <w:textAlignment w:val="auto"/>
        <w:rPr>
          <w:rFonts w:hint="eastAsia" w:ascii="宋体" w:hAnsi="宋体"/>
          <w:b/>
          <w:color w:val="auto"/>
          <w:spacing w:val="30"/>
          <w:sz w:val="48"/>
          <w:szCs w:val="48"/>
        </w:rPr>
      </w:pPr>
      <w:r>
        <w:rPr>
          <w:rFonts w:hint="eastAsia" w:ascii="宋体" w:hAnsi="宋体"/>
          <w:b/>
          <w:color w:val="auto"/>
          <w:spacing w:val="30"/>
          <w:sz w:val="48"/>
          <w:szCs w:val="48"/>
        </w:rPr>
        <w:t>技术</w:t>
      </w:r>
      <w:r>
        <w:rPr>
          <w:rFonts w:hint="eastAsia" w:ascii="宋体" w:hAnsi="宋体"/>
          <w:b/>
          <w:color w:val="auto"/>
          <w:spacing w:val="30"/>
          <w:sz w:val="48"/>
          <w:szCs w:val="48"/>
          <w:lang w:val="en-US" w:eastAsia="zh-CN"/>
        </w:rPr>
        <w:t>规范</w:t>
      </w:r>
      <w:r>
        <w:rPr>
          <w:rFonts w:hint="eastAsia" w:ascii="宋体" w:hAnsi="宋体"/>
          <w:b/>
          <w:color w:val="auto"/>
          <w:spacing w:val="30"/>
          <w:sz w:val="48"/>
          <w:szCs w:val="48"/>
        </w:rPr>
        <w:t>书</w:t>
      </w:r>
    </w:p>
    <w:p w14:paraId="1990080C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163" w:beforeLines="50" w:after="163" w:afterLines="50"/>
        <w:ind w:firstLine="1084"/>
        <w:jc w:val="center"/>
        <w:textAlignment w:val="auto"/>
        <w:rPr>
          <w:rFonts w:hint="eastAsia" w:ascii="宋体" w:hAnsi="宋体"/>
          <w:b/>
          <w:color w:val="auto"/>
          <w:spacing w:val="30"/>
          <w:sz w:val="48"/>
          <w:szCs w:val="48"/>
        </w:rPr>
      </w:pPr>
    </w:p>
    <w:p w14:paraId="0C0A23D2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163" w:beforeLines="50" w:after="163" w:afterLines="50"/>
        <w:ind w:firstLine="0" w:firstLineChars="0"/>
        <w:jc w:val="center"/>
        <w:textAlignment w:val="auto"/>
        <w:rPr>
          <w:rFonts w:ascii="宋体" w:hAnsi="宋体"/>
          <w:b/>
          <w:color w:val="auto"/>
          <w:spacing w:val="30"/>
          <w:sz w:val="48"/>
          <w:szCs w:val="48"/>
        </w:rPr>
      </w:pPr>
    </w:p>
    <w:p w14:paraId="41786961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163" w:beforeLines="50" w:after="163" w:afterLines="50"/>
        <w:ind w:firstLine="0" w:firstLineChars="0"/>
        <w:jc w:val="center"/>
        <w:textAlignment w:val="auto"/>
        <w:rPr>
          <w:rFonts w:ascii="宋体" w:hAnsi="宋体"/>
          <w:color w:val="auto"/>
        </w:rPr>
      </w:pPr>
    </w:p>
    <w:p w14:paraId="0C8E635C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163" w:beforeLines="50" w:after="163" w:afterLines="50"/>
        <w:ind w:firstLine="0" w:firstLineChars="0"/>
        <w:jc w:val="center"/>
        <w:textAlignment w:val="auto"/>
        <w:rPr>
          <w:rFonts w:ascii="宋体" w:hAnsi="宋体"/>
          <w:color w:val="auto"/>
        </w:rPr>
      </w:pPr>
    </w:p>
    <w:p w14:paraId="21CD9D25">
      <w:pPr>
        <w:pStyle w:val="17"/>
        <w:keepLines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textAlignment w:val="auto"/>
        <w:rPr>
          <w:color w:val="auto"/>
        </w:rPr>
      </w:pPr>
    </w:p>
    <w:p w14:paraId="3B1787DA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163" w:beforeLines="50" w:after="163" w:afterLines="50"/>
        <w:ind w:firstLine="0" w:firstLineChars="0"/>
        <w:jc w:val="center"/>
        <w:textAlignment w:val="auto"/>
        <w:rPr>
          <w:rFonts w:ascii="宋体" w:hAnsi="宋体"/>
          <w:color w:val="auto"/>
        </w:rPr>
      </w:pPr>
    </w:p>
    <w:p w14:paraId="2A497D1E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textAlignment w:val="auto"/>
        <w:rPr>
          <w:color w:val="auto"/>
        </w:rPr>
      </w:pPr>
    </w:p>
    <w:p w14:paraId="7AB73522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jc w:val="center"/>
        <w:textAlignment w:val="auto"/>
        <w:rPr>
          <w:rFonts w:hint="default" w:hAnsi="宋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hAnsi="宋体"/>
          <w:b/>
          <w:bCs/>
          <w:color w:val="auto"/>
          <w:sz w:val="30"/>
          <w:szCs w:val="30"/>
          <w:lang w:val="en-US" w:eastAsia="zh-CN"/>
        </w:rPr>
        <w:t>南网共享公司</w:t>
      </w:r>
    </w:p>
    <w:p w14:paraId="78EFF46D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jc w:val="center"/>
        <w:textAlignment w:val="auto"/>
        <w:rPr>
          <w:rFonts w:ascii="宋体" w:hAnsi="宋体" w:eastAsia="宋体"/>
          <w:bCs/>
          <w:color w:val="auto"/>
          <w:sz w:val="36"/>
          <w:szCs w:val="36"/>
        </w:rPr>
      </w:pPr>
      <w:r>
        <w:rPr>
          <w:rFonts w:hint="eastAsia" w:ascii="宋体" w:hAnsi="宋体"/>
          <w:b/>
          <w:bCs/>
          <w:color w:val="auto"/>
          <w:spacing w:val="20"/>
          <w:sz w:val="28"/>
        </w:rPr>
        <w:t>二○二</w:t>
      </w:r>
      <w:r>
        <w:rPr>
          <w:rFonts w:hint="eastAsia" w:hAnsi="宋体"/>
          <w:b/>
          <w:bCs/>
          <w:color w:val="auto"/>
          <w:spacing w:val="20"/>
          <w:sz w:val="28"/>
          <w:lang w:val="en-US" w:eastAsia="zh-CN"/>
        </w:rPr>
        <w:t>六</w:t>
      </w:r>
      <w:r>
        <w:rPr>
          <w:rFonts w:hint="eastAsia" w:ascii="宋体" w:hAnsi="宋体"/>
          <w:b/>
          <w:bCs/>
          <w:color w:val="auto"/>
          <w:spacing w:val="20"/>
          <w:sz w:val="28"/>
        </w:rPr>
        <w:t>年</w:t>
      </w:r>
      <w:r>
        <w:rPr>
          <w:rFonts w:hint="eastAsia" w:hAnsi="宋体"/>
          <w:b/>
          <w:bCs/>
          <w:color w:val="auto"/>
          <w:spacing w:val="20"/>
          <w:sz w:val="28"/>
          <w:lang w:val="en-US" w:eastAsia="zh-CN"/>
        </w:rPr>
        <w:t>五</w:t>
      </w:r>
      <w:r>
        <w:rPr>
          <w:rFonts w:hint="eastAsia" w:ascii="宋体" w:hAnsi="宋体"/>
          <w:b/>
          <w:bCs/>
          <w:color w:val="auto"/>
          <w:spacing w:val="20"/>
          <w:sz w:val="28"/>
        </w:rPr>
        <w:t>月</w:t>
      </w:r>
      <w:r>
        <w:rPr>
          <w:color w:val="auto"/>
        </w:rPr>
        <w:br w:type="page"/>
      </w:r>
      <w:r>
        <w:rPr>
          <w:rFonts w:hint="eastAsia" w:hAnsi="宋体"/>
          <w:bCs/>
          <w:color w:val="auto"/>
          <w:sz w:val="36"/>
          <w:szCs w:val="36"/>
        </w:rPr>
        <w:t>目 录</w:t>
      </w:r>
    </w:p>
    <w:p w14:paraId="4B293D4B">
      <w:pPr>
        <w:pStyle w:val="16"/>
        <w:keepLines w:val="0"/>
        <w:widowControl w:val="0"/>
        <w:tabs>
          <w:tab w:val="right" w:leader="dot" w:pos="8312"/>
        </w:tabs>
        <w:kinsoku/>
        <w:wordWrap/>
        <w:overflowPunct/>
        <w:topLinePunct w:val="0"/>
        <w:autoSpaceDE/>
        <w:autoSpaceDN/>
        <w:bidi w:val="0"/>
        <w:adjustRightInd/>
        <w:textAlignment w:val="auto"/>
      </w:pPr>
      <w:r>
        <w:rPr>
          <w:b/>
          <w:bCs/>
          <w:color w:val="auto"/>
          <w:lang w:val="zh-CN"/>
        </w:rPr>
        <w:fldChar w:fldCharType="begin"/>
      </w:r>
      <w:r>
        <w:rPr>
          <w:b/>
          <w:bCs/>
          <w:color w:val="auto"/>
          <w:lang w:val="zh-CN"/>
        </w:rPr>
        <w:instrText xml:space="preserve"> TOC \o "1-3" \h \z \u </w:instrText>
      </w:r>
      <w:r>
        <w:rPr>
          <w:b/>
          <w:bCs/>
          <w:color w:val="auto"/>
          <w:lang w:val="zh-CN"/>
        </w:rPr>
        <w:fldChar w:fldCharType="separate"/>
      </w: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_Toc7000 </w:instrText>
      </w:r>
      <w:r>
        <w:rPr>
          <w:bCs/>
          <w:lang w:val="zh-CN"/>
        </w:rPr>
        <w:fldChar w:fldCharType="separate"/>
      </w:r>
      <w:r>
        <w:t xml:space="preserve">1 </w:t>
      </w:r>
      <w:r>
        <w:rPr>
          <w:rFonts w:hint="eastAsia"/>
        </w:rPr>
        <w:t>概述</w:t>
      </w:r>
      <w:r>
        <w:tab/>
      </w:r>
      <w:r>
        <w:fldChar w:fldCharType="begin"/>
      </w:r>
      <w:r>
        <w:instrText xml:space="preserve"> PAGEREF _Toc7000 \h </w:instrText>
      </w:r>
      <w:r>
        <w:fldChar w:fldCharType="separate"/>
      </w:r>
      <w:r>
        <w:t>3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2762ED94">
      <w:pPr>
        <w:pStyle w:val="17"/>
        <w:keepLines w:val="0"/>
        <w:widowControl w:val="0"/>
        <w:tabs>
          <w:tab w:val="right" w:leader="dot" w:pos="8312"/>
        </w:tabs>
        <w:kinsoku/>
        <w:wordWrap/>
        <w:overflowPunct/>
        <w:topLinePunct w:val="0"/>
        <w:autoSpaceDE/>
        <w:autoSpaceDN/>
        <w:bidi w:val="0"/>
        <w:adjustRightInd/>
        <w:textAlignment w:val="auto"/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_Toc25915 </w:instrText>
      </w:r>
      <w:r>
        <w:rPr>
          <w:bCs/>
          <w:lang w:val="zh-CN"/>
        </w:rPr>
        <w:fldChar w:fldCharType="separate"/>
      </w:r>
      <w:r>
        <w:t xml:space="preserve">1.1 </w:t>
      </w:r>
      <w:r>
        <w:rPr>
          <w:rFonts w:hint="eastAsia"/>
        </w:rPr>
        <w:t>项目背景</w:t>
      </w:r>
      <w:r>
        <w:tab/>
      </w:r>
      <w:r>
        <w:fldChar w:fldCharType="begin"/>
      </w:r>
      <w:r>
        <w:instrText xml:space="preserve"> PAGEREF _Toc25915 \h </w:instrText>
      </w:r>
      <w:r>
        <w:fldChar w:fldCharType="separate"/>
      </w:r>
      <w:r>
        <w:t>3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4F7C2853">
      <w:pPr>
        <w:pStyle w:val="17"/>
        <w:keepLines w:val="0"/>
        <w:widowControl w:val="0"/>
        <w:tabs>
          <w:tab w:val="right" w:leader="dot" w:pos="8312"/>
        </w:tabs>
        <w:kinsoku/>
        <w:wordWrap/>
        <w:overflowPunct/>
        <w:topLinePunct w:val="0"/>
        <w:autoSpaceDE/>
        <w:autoSpaceDN/>
        <w:bidi w:val="0"/>
        <w:adjustRightInd/>
        <w:textAlignment w:val="auto"/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_Toc22114 </w:instrText>
      </w:r>
      <w:r>
        <w:rPr>
          <w:bCs/>
          <w:lang w:val="zh-CN"/>
        </w:rPr>
        <w:fldChar w:fldCharType="separate"/>
      </w:r>
      <w:r>
        <w:t xml:space="preserve">1.2 </w:t>
      </w:r>
      <w:r>
        <w:rPr>
          <w:rFonts w:hint="eastAsia"/>
        </w:rPr>
        <w:t>项目目标</w:t>
      </w:r>
      <w:r>
        <w:tab/>
      </w:r>
      <w:r>
        <w:fldChar w:fldCharType="begin"/>
      </w:r>
      <w:r>
        <w:instrText xml:space="preserve"> PAGEREF _Toc22114 \h </w:instrText>
      </w:r>
      <w:r>
        <w:fldChar w:fldCharType="separate"/>
      </w:r>
      <w:r>
        <w:t>3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2ADFEEF2">
      <w:pPr>
        <w:pStyle w:val="16"/>
        <w:keepLines w:val="0"/>
        <w:widowControl w:val="0"/>
        <w:tabs>
          <w:tab w:val="right" w:leader="dot" w:pos="8312"/>
        </w:tabs>
        <w:kinsoku/>
        <w:wordWrap/>
        <w:overflowPunct/>
        <w:topLinePunct w:val="0"/>
        <w:autoSpaceDE/>
        <w:autoSpaceDN/>
        <w:bidi w:val="0"/>
        <w:adjustRightInd/>
        <w:textAlignment w:val="auto"/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_Toc3433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2 工作内容</w:t>
      </w:r>
      <w:r>
        <w:tab/>
      </w:r>
      <w:r>
        <w:fldChar w:fldCharType="begin"/>
      </w:r>
      <w:r>
        <w:instrText xml:space="preserve"> PAGEREF _Toc3433 \h </w:instrText>
      </w:r>
      <w:r>
        <w:fldChar w:fldCharType="separate"/>
      </w:r>
      <w:r>
        <w:t>3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526C8242">
      <w:pPr>
        <w:pStyle w:val="17"/>
        <w:keepLines w:val="0"/>
        <w:widowControl w:val="0"/>
        <w:tabs>
          <w:tab w:val="right" w:leader="dot" w:pos="8312"/>
        </w:tabs>
        <w:kinsoku/>
        <w:wordWrap/>
        <w:overflowPunct/>
        <w:topLinePunct w:val="0"/>
        <w:autoSpaceDE/>
        <w:autoSpaceDN/>
        <w:bidi w:val="0"/>
        <w:adjustRightInd/>
        <w:textAlignment w:val="auto"/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_Toc9230 </w:instrText>
      </w:r>
      <w:r>
        <w:rPr>
          <w:bCs/>
          <w:lang w:val="zh-CN"/>
        </w:rPr>
        <w:fldChar w:fldCharType="separate"/>
      </w:r>
      <w:r>
        <w:rPr>
          <w:lang w:val="en-US"/>
        </w:rPr>
        <w:t xml:space="preserve">2.1 </w:t>
      </w:r>
      <w:r>
        <w:rPr>
          <w:rFonts w:hint="eastAsia"/>
          <w:lang w:val="en-US"/>
        </w:rPr>
        <w:t>建设内容</w:t>
      </w:r>
      <w:r>
        <w:tab/>
      </w:r>
      <w:r>
        <w:fldChar w:fldCharType="begin"/>
      </w:r>
      <w:r>
        <w:instrText xml:space="preserve"> PAGEREF _Toc9230 \h </w:instrText>
      </w:r>
      <w:r>
        <w:fldChar w:fldCharType="separate"/>
      </w:r>
      <w:r>
        <w:t>3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35BEC5B3">
      <w:pPr>
        <w:pStyle w:val="17"/>
        <w:keepLines w:val="0"/>
        <w:widowControl w:val="0"/>
        <w:tabs>
          <w:tab w:val="right" w:leader="dot" w:pos="8312"/>
        </w:tabs>
        <w:kinsoku/>
        <w:wordWrap/>
        <w:overflowPunct/>
        <w:topLinePunct w:val="0"/>
        <w:autoSpaceDE/>
        <w:autoSpaceDN/>
        <w:bidi w:val="0"/>
        <w:adjustRightInd/>
        <w:textAlignment w:val="auto"/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_Toc23395 </w:instrText>
      </w:r>
      <w:r>
        <w:rPr>
          <w:bCs/>
          <w:lang w:val="zh-CN"/>
        </w:rPr>
        <w:fldChar w:fldCharType="separate"/>
      </w:r>
      <w:r>
        <w:rPr>
          <w:lang w:val="en-US"/>
        </w:rPr>
        <w:t xml:space="preserve">2.2 </w:t>
      </w:r>
      <w:r>
        <w:rPr>
          <w:rFonts w:hint="eastAsia"/>
          <w:lang w:val="en-US" w:eastAsia="zh-CN"/>
        </w:rPr>
        <w:t>技术参数要求</w:t>
      </w:r>
      <w:r>
        <w:tab/>
      </w:r>
      <w:r>
        <w:fldChar w:fldCharType="begin"/>
      </w:r>
      <w:r>
        <w:instrText xml:space="preserve"> PAGEREF _Toc23395 \h </w:instrText>
      </w:r>
      <w:r>
        <w:fldChar w:fldCharType="separate"/>
      </w:r>
      <w:r>
        <w:t>4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4E8E7C4C">
      <w:pPr>
        <w:pStyle w:val="16"/>
        <w:keepLines w:val="0"/>
        <w:widowControl w:val="0"/>
        <w:tabs>
          <w:tab w:val="right" w:leader="dot" w:pos="8312"/>
        </w:tabs>
        <w:kinsoku/>
        <w:wordWrap/>
        <w:overflowPunct/>
        <w:topLinePunct w:val="0"/>
        <w:autoSpaceDE/>
        <w:autoSpaceDN/>
        <w:bidi w:val="0"/>
        <w:adjustRightInd/>
        <w:textAlignment w:val="auto"/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_Toc30787 </w:instrText>
      </w:r>
      <w:r>
        <w:rPr>
          <w:bCs/>
          <w:lang w:val="zh-CN"/>
        </w:rPr>
        <w:fldChar w:fldCharType="separate"/>
      </w:r>
      <w:r>
        <w:t xml:space="preserve">3 </w:t>
      </w:r>
      <w:r>
        <w:rPr>
          <w:rFonts w:hint="eastAsia"/>
        </w:rPr>
        <w:t>进度保证</w:t>
      </w:r>
      <w:r>
        <w:tab/>
      </w:r>
      <w:r>
        <w:fldChar w:fldCharType="begin"/>
      </w:r>
      <w:r>
        <w:instrText xml:space="preserve"> PAGEREF _Toc30787 \h </w:instrText>
      </w:r>
      <w:r>
        <w:fldChar w:fldCharType="separate"/>
      </w:r>
      <w:r>
        <w:t>5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1F6150B3">
      <w:pPr>
        <w:pStyle w:val="16"/>
        <w:keepLines w:val="0"/>
        <w:widowControl w:val="0"/>
        <w:tabs>
          <w:tab w:val="right" w:leader="dot" w:pos="8312"/>
        </w:tabs>
        <w:kinsoku/>
        <w:wordWrap/>
        <w:overflowPunct/>
        <w:topLinePunct w:val="0"/>
        <w:autoSpaceDE/>
        <w:autoSpaceDN/>
        <w:bidi w:val="0"/>
        <w:adjustRightInd/>
        <w:textAlignment w:val="auto"/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_Toc31477 </w:instrText>
      </w:r>
      <w:r>
        <w:rPr>
          <w:bCs/>
          <w:lang w:val="zh-CN"/>
        </w:rPr>
        <w:fldChar w:fldCharType="separate"/>
      </w:r>
      <w:r>
        <w:t xml:space="preserve">4 </w:t>
      </w:r>
      <w:r>
        <w:rPr>
          <w:rFonts w:hint="eastAsia"/>
        </w:rPr>
        <w:t>质量保证</w:t>
      </w:r>
      <w:r>
        <w:tab/>
      </w:r>
      <w:r>
        <w:fldChar w:fldCharType="begin"/>
      </w:r>
      <w:r>
        <w:instrText xml:space="preserve"> PAGEREF _Toc31477 \h </w:instrText>
      </w:r>
      <w:r>
        <w:fldChar w:fldCharType="separate"/>
      </w:r>
      <w:r>
        <w:t>5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525B98D6">
      <w:pPr>
        <w:pStyle w:val="16"/>
        <w:keepLines w:val="0"/>
        <w:widowControl w:val="0"/>
        <w:tabs>
          <w:tab w:val="right" w:leader="dot" w:pos="8312"/>
        </w:tabs>
        <w:kinsoku/>
        <w:wordWrap/>
        <w:overflowPunct/>
        <w:topLinePunct w:val="0"/>
        <w:autoSpaceDE/>
        <w:autoSpaceDN/>
        <w:bidi w:val="0"/>
        <w:adjustRightInd/>
        <w:textAlignment w:val="auto"/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_Toc16669 </w:instrText>
      </w:r>
      <w:r>
        <w:rPr>
          <w:bCs/>
          <w:lang w:val="zh-CN"/>
        </w:rPr>
        <w:fldChar w:fldCharType="separate"/>
      </w:r>
      <w:r>
        <w:rPr>
          <w:w w:val="101"/>
        </w:rPr>
        <w:t xml:space="preserve">5 </w:t>
      </w:r>
      <w:r>
        <w:rPr>
          <w:rFonts w:hint="eastAsia"/>
          <w:w w:val="101"/>
          <w:lang w:val="en-US" w:eastAsia="zh-CN"/>
        </w:rPr>
        <w:t>货物交付</w:t>
      </w:r>
      <w:r>
        <w:tab/>
      </w:r>
      <w:r>
        <w:fldChar w:fldCharType="begin"/>
      </w:r>
      <w:r>
        <w:instrText xml:space="preserve"> PAGEREF _Toc16669 \h </w:instrText>
      </w:r>
      <w:r>
        <w:fldChar w:fldCharType="separate"/>
      </w:r>
      <w:r>
        <w:t>5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429CA971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textAlignment w:val="auto"/>
        <w:rPr>
          <w:b/>
          <w:bCs/>
          <w:color w:val="auto"/>
          <w:sz w:val="21"/>
          <w:lang w:val="zh-CN"/>
        </w:rPr>
      </w:pPr>
      <w:r>
        <w:rPr>
          <w:bCs/>
          <w:color w:val="auto"/>
          <w:lang w:val="zh-CN"/>
        </w:rPr>
        <w:fldChar w:fldCharType="end"/>
      </w:r>
    </w:p>
    <w:p w14:paraId="593D378F">
      <w:pPr>
        <w:pStyle w:val="2"/>
        <w:keepNext/>
        <w:keepLines w:val="0"/>
        <w:pageBreakBefore/>
        <w:widowControl w:val="0"/>
        <w:tabs>
          <w:tab w:val="left" w:pos="432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431" w:hanging="431"/>
        <w:textAlignment w:val="auto"/>
        <w:rPr>
          <w:color w:val="auto"/>
        </w:rPr>
      </w:pPr>
      <w:bookmarkStart w:id="6" w:name="_Toc157725975"/>
      <w:bookmarkStart w:id="7" w:name="_Toc7000"/>
      <w:r>
        <w:rPr>
          <w:rFonts w:hint="eastAsia"/>
          <w:color w:val="auto"/>
        </w:rPr>
        <w:t>概述</w:t>
      </w:r>
      <w:bookmarkEnd w:id="6"/>
      <w:bookmarkEnd w:id="7"/>
    </w:p>
    <w:p w14:paraId="5B71D91C">
      <w:pPr>
        <w:pStyle w:val="3"/>
        <w:keepLines w:val="0"/>
        <w:widowControl w:val="0"/>
        <w:tabs>
          <w:tab w:val="left" w:pos="576"/>
        </w:tabs>
        <w:kinsoku/>
        <w:wordWrap/>
        <w:overflowPunct/>
        <w:topLinePunct w:val="0"/>
        <w:autoSpaceDE/>
        <w:autoSpaceDN/>
        <w:bidi w:val="0"/>
        <w:adjustRightInd/>
        <w:spacing w:before="156"/>
        <w:textAlignment w:val="auto"/>
        <w:rPr>
          <w:color w:val="auto"/>
        </w:rPr>
      </w:pPr>
      <w:bookmarkStart w:id="8" w:name="_Toc157725976"/>
      <w:bookmarkStart w:id="9" w:name="_Toc25915"/>
      <w:r>
        <w:rPr>
          <w:rFonts w:hint="eastAsia"/>
          <w:color w:val="auto"/>
        </w:rPr>
        <w:t>项目背景</w:t>
      </w:r>
      <w:bookmarkEnd w:id="8"/>
      <w:bookmarkEnd w:id="9"/>
    </w:p>
    <w:p w14:paraId="6AEECC5A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ind w:firstLine="480" w:firstLineChars="200"/>
        <w:textAlignment w:val="auto"/>
        <w:rPr>
          <w:rFonts w:hint="eastAsia"/>
          <w:lang w:val="en-US" w:eastAsia="zh-CN"/>
        </w:rPr>
      </w:pPr>
      <w:bookmarkStart w:id="10" w:name="_Toc157725978"/>
      <w:bookmarkStart w:id="11" w:name="_Toc22114"/>
      <w:r>
        <w:rPr>
          <w:rFonts w:hint="eastAsia"/>
          <w:lang w:val="en-US" w:eastAsia="zh-CN"/>
        </w:rPr>
        <w:t>当前，南网人资域薪酬自动化模块虽解决了共性发薪需求，但大量个性化、差异化薪酬项的核算与报表编制，仍深度依赖各单位人工线下处理。这导致三大管理痛点：一是人工制表过程繁琐、效率低下，且薪酬新系统迭代期间易因理解不一或操作失误引发薪资错发风险；二是薪酬核算中涉及调薪追溯、补贴补发等事项常需跨期处理，传统记录方式耗时耗力，且易造成遗漏与延误；三是新员工对业务操作不熟，培养周期长，加剧了质量波动与操作风险。为系统应对上述挑战，本项目拟构建“辅助智能管家”，作为对现有人资系统与人力小智的补充增强。</w:t>
      </w:r>
    </w:p>
    <w:p w14:paraId="67F2DF89">
      <w:pPr>
        <w:pStyle w:val="3"/>
        <w:keepLines w:val="0"/>
        <w:widowControl w:val="0"/>
        <w:tabs>
          <w:tab w:val="left" w:pos="576"/>
        </w:tabs>
        <w:kinsoku/>
        <w:wordWrap/>
        <w:overflowPunct/>
        <w:topLinePunct w:val="0"/>
        <w:autoSpaceDE/>
        <w:autoSpaceDN/>
        <w:bidi w:val="0"/>
        <w:adjustRightInd/>
        <w:spacing w:before="156"/>
        <w:textAlignment w:val="auto"/>
        <w:rPr>
          <w:color w:val="auto"/>
        </w:rPr>
      </w:pPr>
      <w:r>
        <w:rPr>
          <w:rFonts w:hint="eastAsia"/>
          <w:color w:val="auto"/>
        </w:rPr>
        <w:t>项目目标</w:t>
      </w:r>
      <w:bookmarkEnd w:id="10"/>
      <w:bookmarkEnd w:id="11"/>
    </w:p>
    <w:p w14:paraId="67CAAB68">
      <w:pPr>
        <w:pStyle w:val="2"/>
        <w:keepLines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ind w:leftChars="0" w:firstLine="480" w:firstLineChars="200"/>
        <w:textAlignment w:val="auto"/>
        <w:rPr>
          <w:rFonts w:hint="eastAsia" w:ascii="宋体" w:hAnsi="Calibri" w:eastAsia="宋体" w:cs="Times New Roman"/>
          <w:b w:val="0"/>
          <w:bCs w:val="0"/>
          <w:kern w:val="2"/>
          <w:sz w:val="24"/>
          <w:szCs w:val="22"/>
          <w:lang w:val="en-US" w:eastAsia="zh-CN" w:bidi="ar-SA"/>
        </w:rPr>
      </w:pPr>
      <w:bookmarkStart w:id="12" w:name="_Toc3433"/>
      <w:r>
        <w:rPr>
          <w:rFonts w:hint="eastAsia" w:ascii="宋体" w:hAnsi="Calibri" w:eastAsia="宋体" w:cs="Times New Roman"/>
          <w:b w:val="0"/>
          <w:bCs w:val="0"/>
          <w:kern w:val="2"/>
          <w:sz w:val="24"/>
          <w:szCs w:val="22"/>
          <w:lang w:val="en-US" w:eastAsia="zh-CN" w:bidi="ar-SA"/>
        </w:rPr>
        <w:t>一是重要事项智能提醒，实现任务跨期跟踪与主动推送；二是针对服务单位通用型工资台账智能生成集成工具（一键加解密、拆分单位校核、脱敏材料校核等），考勤智能管理，将人工从繁琐的数据搬运、数据整理中解放；三是薪酬新</w:t>
      </w:r>
      <w:bookmarkStart w:id="26" w:name="_GoBack"/>
      <w:bookmarkEnd w:id="26"/>
      <w:r>
        <w:rPr>
          <w:rFonts w:hint="eastAsia" w:ascii="宋体" w:hAnsi="Calibri" w:eastAsia="宋体" w:cs="Times New Roman"/>
          <w:b w:val="0"/>
          <w:bCs w:val="0"/>
          <w:kern w:val="2"/>
          <w:sz w:val="24"/>
          <w:szCs w:val="22"/>
          <w:lang w:val="en-US" w:eastAsia="zh-CN" w:bidi="ar-SA"/>
        </w:rPr>
        <w:t>系统问题答疑，薪酬新入员工场景化培训，广东区域养老工伤专属业务实操指引，提供7×24小时标准答疑。旨在实现薪酬管理全链条的精准、高效与合规，从根本上降低运营风险，释放人力聚焦高价值分析，全面提升服务体验与管理现代化水平。</w:t>
      </w:r>
    </w:p>
    <w:p w14:paraId="06A1C736">
      <w:pPr>
        <w:pStyle w:val="2"/>
        <w:keepLines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2工作内容</w:t>
      </w:r>
      <w:bookmarkEnd w:id="12"/>
    </w:p>
    <w:p w14:paraId="7089FF7B">
      <w:pPr>
        <w:pStyle w:val="3"/>
        <w:keepLines w:val="0"/>
        <w:widowControl w:val="0"/>
        <w:numPr>
          <w:ilvl w:val="1"/>
          <w:numId w:val="0"/>
        </w:numPr>
        <w:tabs>
          <w:tab w:val="left" w:pos="720"/>
        </w:tabs>
        <w:kinsoku/>
        <w:wordWrap/>
        <w:overflowPunct/>
        <w:topLinePunct w:val="0"/>
        <w:autoSpaceDE/>
        <w:autoSpaceDN/>
        <w:bidi w:val="0"/>
        <w:adjustRightInd/>
        <w:ind w:leftChars="0"/>
        <w:textAlignment w:val="auto"/>
        <w:rPr>
          <w:color w:val="auto"/>
          <w:lang w:val="en-US"/>
        </w:rPr>
      </w:pPr>
      <w:bookmarkStart w:id="13" w:name="_Toc157725990"/>
      <w:bookmarkStart w:id="14" w:name="_Toc9230"/>
      <w:r>
        <w:rPr>
          <w:rFonts w:hint="eastAsia"/>
          <w:color w:val="auto"/>
          <w:lang w:val="en-US" w:eastAsia="zh-CN"/>
        </w:rPr>
        <w:t>2.1</w:t>
      </w:r>
      <w:r>
        <w:rPr>
          <w:rFonts w:hint="eastAsia"/>
          <w:color w:val="auto"/>
          <w:lang w:val="en-US"/>
        </w:rPr>
        <w:t>建设内容</w:t>
      </w:r>
      <w:bookmarkEnd w:id="13"/>
      <w:bookmarkEnd w:id="14"/>
    </w:p>
    <w:p w14:paraId="4D5325D2">
      <w:pPr>
        <w:pStyle w:val="3"/>
        <w:keepLines w:val="0"/>
        <w:widowControl w:val="0"/>
        <w:numPr>
          <w:ilvl w:val="1"/>
          <w:numId w:val="0"/>
        </w:numPr>
        <w:tabs>
          <w:tab w:val="left" w:pos="720"/>
        </w:tabs>
        <w:kinsoku/>
        <w:wordWrap/>
        <w:overflowPunct/>
        <w:topLinePunct w:val="0"/>
        <w:autoSpaceDE/>
        <w:autoSpaceDN/>
        <w:bidi w:val="0"/>
        <w:adjustRightInd/>
        <w:ind w:leftChars="0" w:firstLine="480" w:firstLineChars="200"/>
        <w:textAlignment w:val="auto"/>
        <w:rPr>
          <w:rFonts w:hint="default" w:ascii="宋体" w:hAnsi="Calibri" w:eastAsia="宋体" w:cs="Times New Roman"/>
          <w:b w:val="0"/>
          <w:bCs w:val="0"/>
          <w:kern w:val="2"/>
          <w:sz w:val="24"/>
          <w:szCs w:val="22"/>
          <w:lang w:val="en-US" w:eastAsia="zh-CN" w:bidi="ar-SA"/>
        </w:rPr>
      </w:pPr>
      <w:bookmarkStart w:id="15" w:name="_Toc23395"/>
      <w:r>
        <w:rPr>
          <w:rFonts w:hint="eastAsia" w:ascii="宋体" w:hAnsi="Calibri" w:eastAsia="宋体" w:cs="Times New Roman"/>
          <w:b w:val="0"/>
          <w:bCs w:val="0"/>
          <w:kern w:val="2"/>
          <w:sz w:val="24"/>
          <w:szCs w:val="22"/>
          <w:lang w:val="en-US" w:eastAsia="zh-CN" w:bidi="ar-SA"/>
        </w:rPr>
        <w:t>项目预期产出1系列多模态智能体，1套单机版数字化工具，申请软件著作权1项，论文一篇。</w:t>
      </w:r>
    </w:p>
    <w:p w14:paraId="693A8B59">
      <w:pPr>
        <w:pStyle w:val="3"/>
        <w:keepLines w:val="0"/>
        <w:widowControl w:val="0"/>
        <w:numPr>
          <w:ilvl w:val="1"/>
          <w:numId w:val="0"/>
        </w:numPr>
        <w:tabs>
          <w:tab w:val="left" w:pos="720"/>
        </w:tabs>
        <w:kinsoku/>
        <w:wordWrap/>
        <w:overflowPunct/>
        <w:topLinePunct w:val="0"/>
        <w:autoSpaceDE/>
        <w:autoSpaceDN/>
        <w:bidi w:val="0"/>
        <w:adjustRightInd/>
        <w:textAlignment w:val="auto"/>
        <w:rPr>
          <w:color w:val="auto"/>
          <w:lang w:val="en-US"/>
        </w:rPr>
      </w:pPr>
      <w:r>
        <w:rPr>
          <w:rFonts w:hint="eastAsia"/>
          <w:color w:val="auto"/>
          <w:lang w:val="en-US" w:eastAsia="zh-CN"/>
        </w:rPr>
        <w:t>2.2技术参数要求</w:t>
      </w:r>
      <w:bookmarkEnd w:id="15"/>
    </w:p>
    <w:p w14:paraId="7F586A8B">
      <w:pPr>
        <w:keepNext w:val="0"/>
        <w:keepLines w:val="0"/>
        <w:pageBreakBefore w:val="0"/>
        <w:widowControl w:val="0"/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/>
        <w:textAlignment w:val="auto"/>
        <w:rPr>
          <w:rFonts w:hint="eastAsia" w:ascii="宋体" w:hAnsi="宋体" w:cs="宋体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hAnsi="宋体" w:cs="宋体"/>
          <w:color w:val="auto"/>
          <w:kern w:val="0"/>
          <w:sz w:val="24"/>
          <w:szCs w:val="24"/>
          <w:lang w:val="en-US" w:eastAsia="zh-CN" w:bidi="ar-SA"/>
        </w:rPr>
        <w:t>产品参数要求如下</w:t>
      </w:r>
      <w:r>
        <w:rPr>
          <w:rFonts w:hint="eastAsia" w:ascii="宋体" w:hAnsi="宋体" w:cs="宋体"/>
          <w:color w:val="auto"/>
          <w:kern w:val="0"/>
          <w:sz w:val="24"/>
          <w:szCs w:val="24"/>
          <w:lang w:val="en-US" w:eastAsia="zh-CN" w:bidi="ar-SA"/>
        </w:rPr>
        <w:t>：</w:t>
      </w:r>
    </w:p>
    <w:tbl>
      <w:tblPr>
        <w:tblStyle w:val="20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1400"/>
        <w:gridCol w:w="6342"/>
      </w:tblGrid>
      <w:tr w14:paraId="49FAD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459" w:type="pct"/>
            <w:shd w:val="clear" w:color="auto" w:fill="D7D7D7" w:themeFill="background1" w:themeFillShade="D8"/>
            <w:vAlign w:val="center"/>
          </w:tcPr>
          <w:p w14:paraId="562B3C20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821" w:type="pct"/>
            <w:shd w:val="clear" w:color="auto" w:fill="D7D7D7" w:themeFill="background1" w:themeFillShade="D8"/>
            <w:vAlign w:val="center"/>
          </w:tcPr>
          <w:p w14:paraId="4322016C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参数类型</w:t>
            </w:r>
          </w:p>
        </w:tc>
        <w:tc>
          <w:tcPr>
            <w:tcW w:w="3719" w:type="pct"/>
            <w:shd w:val="clear" w:color="auto" w:fill="D7D7D7" w:themeFill="background1" w:themeFillShade="D8"/>
            <w:vAlign w:val="center"/>
          </w:tcPr>
          <w:p w14:paraId="5644BFA0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功能描述</w:t>
            </w:r>
          </w:p>
        </w:tc>
      </w:tr>
      <w:tr w14:paraId="0B903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vAlign w:val="center"/>
          </w:tcPr>
          <w:p w14:paraId="45C717E1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821" w:type="pct"/>
            <w:vAlign w:val="center"/>
          </w:tcPr>
          <w:p w14:paraId="31110060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软件需求</w:t>
            </w:r>
          </w:p>
        </w:tc>
        <w:tc>
          <w:tcPr>
            <w:tcW w:w="3719" w:type="pct"/>
          </w:tcPr>
          <w:p w14:paraId="2D2A83AA">
            <w:pPr>
              <w:keepLines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textAlignment w:val="auto"/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因涉及业务敏感性，智能体开发需基于南网智能体平台，建设智能体。</w:t>
            </w:r>
          </w:p>
          <w:p w14:paraId="1682FC95">
            <w:pPr>
              <w:pStyle w:val="9"/>
              <w:keepLines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2.单机版工具需脱机使用，保证数据安全。</w:t>
            </w:r>
          </w:p>
        </w:tc>
      </w:tr>
      <w:tr w14:paraId="3CCDB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vAlign w:val="center"/>
          </w:tcPr>
          <w:p w14:paraId="6A8900B8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821" w:type="pct"/>
            <w:vAlign w:val="center"/>
          </w:tcPr>
          <w:p w14:paraId="7B1B3A03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知识库管理</w:t>
            </w:r>
          </w:p>
        </w:tc>
        <w:tc>
          <w:tcPr>
            <w:tcW w:w="3719" w:type="pct"/>
          </w:tcPr>
          <w:p w14:paraId="1FFA46DF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根据已有数据整理清洗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。</w:t>
            </w:r>
          </w:p>
        </w:tc>
      </w:tr>
      <w:tr w14:paraId="26E69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vAlign w:val="center"/>
          </w:tcPr>
          <w:p w14:paraId="4655C4FA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821" w:type="pct"/>
            <w:vAlign w:val="center"/>
          </w:tcPr>
          <w:p w14:paraId="039DF9F8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安全需求</w:t>
            </w:r>
          </w:p>
        </w:tc>
        <w:tc>
          <w:tcPr>
            <w:tcW w:w="3719" w:type="pct"/>
          </w:tcPr>
          <w:p w14:paraId="0053D108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本项目涉及公司的核心管理业务信息，</w:t>
            </w: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需符合《信息安全技术 网络安全等级保护基本要求》（GB/T 22239-2019）以及《南方电网管理信息系统安全等级保护标准》相关要求，本系统不联网使用。</w:t>
            </w:r>
          </w:p>
        </w:tc>
      </w:tr>
      <w:tr w14:paraId="60C8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vAlign w:val="center"/>
          </w:tcPr>
          <w:p w14:paraId="4D3A64C9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default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bookmarkStart w:id="16" w:name="_Toc5428"/>
            <w:bookmarkStart w:id="17" w:name="_Toc30787"/>
            <w:bookmarkStart w:id="18" w:name="_Toc317067408"/>
            <w:bookmarkStart w:id="19" w:name="_Toc1721942"/>
            <w:bookmarkStart w:id="20" w:name="_Toc317690130"/>
            <w:bookmarkStart w:id="21" w:name="_Toc104371604"/>
            <w:bookmarkStart w:id="22" w:name="_Toc317689842"/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821" w:type="pct"/>
            <w:vAlign w:val="center"/>
          </w:tcPr>
          <w:p w14:paraId="6431D66F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default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研究内容及预期</w:t>
            </w:r>
          </w:p>
        </w:tc>
        <w:tc>
          <w:tcPr>
            <w:tcW w:w="3719" w:type="pct"/>
          </w:tcPr>
          <w:p w14:paraId="4BDC83CE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ind w:firstLine="480" w:firstLineChars="200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 w:bidi="ar"/>
              </w:rPr>
              <w:t>本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项目拟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 w:bidi="ar"/>
              </w:rPr>
              <w:t>基于南方电网内网“大瓦特”平台私有化模型，成果遵循南网公司技术路线要求，采用南网公司统一数据中心的数据，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使其具备以下核心功能：1、重要事项智能整理提醒,可实现信息自动按单位等要素整理归档，并跨时间智能elink/短信推送提醒；2、服务单位所需的多类工资制表台账自动生成（一键加解密、拆分单位校核、材料校核等），智能化考勤台账生成；3、人资域薪酬系统操作指引智能答疑、社保广东区域现场业务办理智能指引,实现对现有人力小智功能补强；4、新进薪酬核算人员培训，通过实景化培训，循序渐进引导新进人员水平提升。</w:t>
            </w:r>
          </w:p>
          <w:p w14:paraId="41AE94AD">
            <w:pPr>
              <w:keepLines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</w:tbl>
    <w:p w14:paraId="4FADA78C">
      <w:pPr>
        <w:pStyle w:val="2"/>
        <w:keepNext/>
        <w:keepLines w:val="0"/>
        <w:pageBreakBefore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63" w:after="163"/>
        <w:ind w:leftChars="0"/>
        <w:textAlignment w:val="auto"/>
        <w:rPr>
          <w:color w:val="auto"/>
        </w:rPr>
      </w:pPr>
      <w:r>
        <w:rPr>
          <w:rFonts w:hint="eastAsia"/>
          <w:color w:val="auto"/>
          <w:lang w:val="en-US" w:eastAsia="zh-CN"/>
        </w:rPr>
        <w:t>3</w:t>
      </w:r>
      <w:r>
        <w:rPr>
          <w:rFonts w:hint="eastAsia"/>
          <w:color w:val="auto"/>
        </w:rPr>
        <w:t>进度保证</w:t>
      </w:r>
      <w:bookmarkEnd w:id="16"/>
      <w:bookmarkEnd w:id="17"/>
    </w:p>
    <w:p w14:paraId="0604B68E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/>
        <w:textAlignment w:val="auto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202</w:t>
      </w:r>
      <w:r>
        <w:rPr>
          <w:rFonts w:hint="eastAsia" w:hAnsi="宋体"/>
          <w:color w:val="auto"/>
          <w:highlight w:val="none"/>
          <w:lang w:val="en-US" w:eastAsia="zh-CN"/>
        </w:rPr>
        <w:t>6</w:t>
      </w:r>
      <w:r>
        <w:rPr>
          <w:rFonts w:hint="eastAsia" w:ascii="宋体" w:hAnsi="宋体"/>
          <w:color w:val="auto"/>
          <w:highlight w:val="none"/>
        </w:rPr>
        <w:t>年</w:t>
      </w:r>
      <w:r>
        <w:rPr>
          <w:rFonts w:hint="eastAsia" w:hAnsi="宋体"/>
          <w:color w:val="auto"/>
          <w:highlight w:val="none"/>
          <w:lang w:val="en-US" w:eastAsia="zh-CN"/>
        </w:rPr>
        <w:t>11</w:t>
      </w:r>
      <w:r>
        <w:rPr>
          <w:rFonts w:hint="eastAsia" w:ascii="宋体" w:hAnsi="宋体"/>
          <w:color w:val="auto"/>
          <w:highlight w:val="none"/>
        </w:rPr>
        <w:t>月前完成供货。</w:t>
      </w:r>
    </w:p>
    <w:p w14:paraId="4AB0CE49">
      <w:pPr>
        <w:pStyle w:val="2"/>
        <w:keepLines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ind w:leftChars="0"/>
        <w:textAlignment w:val="auto"/>
        <w:rPr>
          <w:color w:val="auto"/>
        </w:rPr>
      </w:pPr>
      <w:bookmarkStart w:id="23" w:name="_Toc28652"/>
      <w:bookmarkStart w:id="24" w:name="_Toc31477"/>
      <w:r>
        <w:rPr>
          <w:rFonts w:hint="eastAsia"/>
          <w:color w:val="auto"/>
          <w:lang w:val="en-US" w:eastAsia="zh-CN"/>
        </w:rPr>
        <w:t>4</w:t>
      </w:r>
      <w:r>
        <w:rPr>
          <w:rFonts w:hint="eastAsia"/>
          <w:color w:val="auto"/>
        </w:rPr>
        <w:t>质量保证</w:t>
      </w:r>
      <w:bookmarkEnd w:id="23"/>
      <w:bookmarkEnd w:id="24"/>
    </w:p>
    <w:p w14:paraId="5913DB7B">
      <w:pPr>
        <w:keepNext w:val="0"/>
        <w:keepLines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"/>
        </w:rPr>
        <w:t>中标方应保证所提供的所有产品的功能、性能等均能满足本招标文件要求</w:t>
      </w:r>
      <w:r>
        <w:rPr>
          <w:rFonts w:hint="eastAsia" w:hAnsi="宋体" w:cs="宋体"/>
          <w:color w:val="auto"/>
          <w:kern w:val="2"/>
          <w:sz w:val="24"/>
          <w:szCs w:val="24"/>
          <w:lang w:val="en-US" w:eastAsia="zh-CN" w:bidi="ar"/>
        </w:rPr>
        <w:t>，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"/>
        </w:rPr>
        <w:t>确保</w:t>
      </w:r>
      <w:r>
        <w:rPr>
          <w:rFonts w:hint="eastAsia" w:hAnsi="宋体" w:cs="宋体"/>
          <w:color w:val="auto"/>
          <w:kern w:val="2"/>
          <w:sz w:val="24"/>
          <w:szCs w:val="24"/>
          <w:lang w:val="en-US" w:eastAsia="zh-CN" w:bidi="ar"/>
        </w:rPr>
        <w:t>交付物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"/>
        </w:rPr>
        <w:t>的质量。</w:t>
      </w:r>
    </w:p>
    <w:p w14:paraId="6208E27F">
      <w:pPr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"/>
        </w:rPr>
        <w:t>若由于中标方自身原因导致项目质量缺陷或偏差，招标方可根据合同要求追究中标方责任。</w:t>
      </w:r>
    </w:p>
    <w:bookmarkEnd w:id="18"/>
    <w:bookmarkEnd w:id="19"/>
    <w:bookmarkEnd w:id="20"/>
    <w:bookmarkEnd w:id="21"/>
    <w:bookmarkEnd w:id="22"/>
    <w:p w14:paraId="6FBEFC8F">
      <w:pPr>
        <w:pStyle w:val="2"/>
        <w:keepLines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120" w:after="120"/>
        <w:ind w:leftChars="0"/>
        <w:textAlignment w:val="auto"/>
        <w:rPr>
          <w:color w:val="auto"/>
          <w:w w:val="101"/>
        </w:rPr>
      </w:pPr>
      <w:bookmarkStart w:id="25" w:name="_Toc16669"/>
      <w:r>
        <w:rPr>
          <w:rFonts w:hint="eastAsia"/>
          <w:color w:val="auto"/>
          <w:w w:val="101"/>
          <w:lang w:val="en-US" w:eastAsia="zh-CN"/>
        </w:rPr>
        <w:t>5货物交付</w:t>
      </w:r>
      <w:bookmarkEnd w:id="25"/>
    </w:p>
    <w:p w14:paraId="1D319E83">
      <w:pPr>
        <w:keepLines w:val="0"/>
        <w:widowControl w:val="0"/>
        <w:numPr>
          <w:ilvl w:val="0"/>
          <w:numId w:val="3"/>
        </w:numPr>
        <w:tabs>
          <w:tab w:val="left" w:pos="840"/>
        </w:tabs>
        <w:kinsoku/>
        <w:wordWrap/>
        <w:overflowPunct/>
        <w:topLinePunct w:val="0"/>
        <w:autoSpaceDE/>
        <w:autoSpaceDN/>
        <w:bidi w:val="0"/>
        <w:adjustRightInd/>
        <w:ind w:left="0" w:firstLine="480" w:firstLineChars="200"/>
        <w:textAlignment w:val="auto"/>
        <w:rPr>
          <w:rFonts w:hAnsi="宋体"/>
          <w:color w:val="auto"/>
        </w:rPr>
      </w:pPr>
      <w:r>
        <w:rPr>
          <w:rFonts w:hAnsi="宋体"/>
          <w:color w:val="auto"/>
        </w:rPr>
        <w:t>本项目仅进行现场验收</w:t>
      </w:r>
      <w:r>
        <w:rPr>
          <w:rFonts w:hint="eastAsia" w:hAnsi="宋体"/>
          <w:color w:val="auto"/>
          <w:lang w:eastAsia="zh-CN"/>
        </w:rPr>
        <w:t>（</w:t>
      </w:r>
      <w:r>
        <w:rPr>
          <w:rFonts w:hint="eastAsia" w:hAnsi="宋体"/>
          <w:color w:val="auto"/>
          <w:lang w:val="en-US" w:eastAsia="zh-CN"/>
        </w:rPr>
        <w:t>SAT</w:t>
      </w:r>
      <w:r>
        <w:rPr>
          <w:rFonts w:hint="eastAsia" w:hAnsi="宋体"/>
          <w:color w:val="auto"/>
          <w:lang w:eastAsia="zh-CN"/>
        </w:rPr>
        <w:t>）</w:t>
      </w:r>
      <w:r>
        <w:rPr>
          <w:rFonts w:hAnsi="宋体"/>
          <w:color w:val="auto"/>
        </w:rPr>
        <w:t>。</w:t>
      </w:r>
      <w:r>
        <w:rPr>
          <w:rFonts w:hint="eastAsia" w:hAnsi="宋体"/>
          <w:color w:val="auto"/>
        </w:rPr>
        <w:t>且为针对整个项目的验收，但投标方应配合招标方进行整个项目的验收测试，投标人提供技术专家全程配合完成整体项目实施完成，并负责设备的验收测试相关资料的编制及其它配合性工作。</w:t>
      </w:r>
    </w:p>
    <w:p w14:paraId="36E61793">
      <w:pPr>
        <w:keepLines w:val="0"/>
        <w:widowControl w:val="0"/>
        <w:numPr>
          <w:ilvl w:val="0"/>
          <w:numId w:val="3"/>
        </w:numPr>
        <w:tabs>
          <w:tab w:val="left" w:pos="840"/>
        </w:tabs>
        <w:kinsoku/>
        <w:wordWrap/>
        <w:overflowPunct/>
        <w:topLinePunct w:val="0"/>
        <w:autoSpaceDE/>
        <w:autoSpaceDN/>
        <w:bidi w:val="0"/>
        <w:adjustRightInd/>
        <w:ind w:left="0" w:firstLine="480" w:firstLineChars="200"/>
        <w:textAlignment w:val="auto"/>
        <w:rPr>
          <w:rFonts w:hAnsi="宋体"/>
          <w:color w:val="auto"/>
        </w:rPr>
      </w:pPr>
      <w:r>
        <w:rPr>
          <w:rFonts w:hAnsi="宋体"/>
          <w:color w:val="auto"/>
        </w:rPr>
        <w:t>投标方应在验收测试前2周提供详细的SAT验收测试大纲，大纲应提供所有现场验收的细则，细则指定的实验项目以及达到的性能指标不得小于本招标文件要求。招标方有权提出一些合理的特殊测试，并保留对大纲的修改权力。大纲经双方确认生效以后，招标方人员对验收的认可签字并不解除投标方对合同的保证负责。</w:t>
      </w:r>
    </w:p>
    <w:p w14:paraId="7D2235D9">
      <w:pPr>
        <w:keepLines w:val="0"/>
        <w:widowControl w:val="0"/>
        <w:numPr>
          <w:ilvl w:val="0"/>
          <w:numId w:val="3"/>
        </w:numPr>
        <w:tabs>
          <w:tab w:val="left" w:pos="840"/>
        </w:tabs>
        <w:kinsoku/>
        <w:wordWrap/>
        <w:overflowPunct/>
        <w:topLinePunct w:val="0"/>
        <w:autoSpaceDE/>
        <w:autoSpaceDN/>
        <w:bidi w:val="0"/>
        <w:adjustRightInd/>
        <w:ind w:left="0" w:firstLine="480" w:firstLineChars="200"/>
        <w:textAlignment w:val="auto"/>
        <w:rPr>
          <w:rFonts w:hAnsi="宋体"/>
          <w:color w:val="auto"/>
        </w:rPr>
      </w:pPr>
      <w:r>
        <w:rPr>
          <w:rFonts w:hAnsi="宋体"/>
          <w:color w:val="auto"/>
        </w:rPr>
        <w:t>投标方将负责对现场</w:t>
      </w:r>
      <w:r>
        <w:rPr>
          <w:rFonts w:hint="eastAsia" w:hAnsi="宋体"/>
          <w:color w:val="auto"/>
          <w:lang w:val="en-US" w:eastAsia="zh-CN"/>
        </w:rPr>
        <w:t>验收</w:t>
      </w:r>
      <w:r>
        <w:rPr>
          <w:rFonts w:hAnsi="宋体"/>
          <w:color w:val="auto"/>
        </w:rPr>
        <w:t>和测试进行指导，投标方的工程师将协助进行现场试验验收</w:t>
      </w:r>
      <w:r>
        <w:rPr>
          <w:rFonts w:hint="eastAsia" w:hAnsi="宋体"/>
          <w:color w:val="auto"/>
        </w:rPr>
        <w:t>，验收满足</w:t>
      </w:r>
      <w:r>
        <w:rPr>
          <w:rFonts w:hint="eastAsia"/>
          <w:color w:val="auto"/>
          <w:lang w:val="en-US" w:eastAsia="zh-CN"/>
        </w:rPr>
        <w:t>项目</w:t>
      </w:r>
      <w:r>
        <w:rPr>
          <w:rFonts w:hint="eastAsia"/>
          <w:color w:val="auto"/>
        </w:rPr>
        <w:t>所需性能要求，如未满足则不予验收。</w:t>
      </w:r>
    </w:p>
    <w:p w14:paraId="27BF2A42">
      <w:pPr>
        <w:keepLines w:val="0"/>
        <w:widowControl w:val="0"/>
        <w:numPr>
          <w:ilvl w:val="0"/>
          <w:numId w:val="3"/>
        </w:numPr>
        <w:tabs>
          <w:tab w:val="left" w:pos="840"/>
        </w:tabs>
        <w:kinsoku/>
        <w:wordWrap/>
        <w:overflowPunct/>
        <w:topLinePunct w:val="0"/>
        <w:autoSpaceDE/>
        <w:autoSpaceDN/>
        <w:bidi w:val="0"/>
        <w:adjustRightInd/>
        <w:ind w:left="0" w:firstLine="480" w:firstLineChars="200"/>
        <w:textAlignment w:val="auto"/>
        <w:rPr>
          <w:rFonts w:hAnsi="宋体"/>
          <w:color w:val="auto"/>
        </w:rPr>
      </w:pPr>
      <w:r>
        <w:rPr>
          <w:rFonts w:hAnsi="宋体"/>
          <w:color w:val="auto"/>
        </w:rPr>
        <w:t>在现场验收完成后20天内，双方的代表将签署验收报告。</w:t>
      </w:r>
    </w:p>
    <w:p w14:paraId="2087A59F">
      <w:pPr>
        <w:keepLines w:val="0"/>
        <w:widowControl w:val="0"/>
        <w:numPr>
          <w:ilvl w:val="0"/>
          <w:numId w:val="3"/>
        </w:numPr>
        <w:tabs>
          <w:tab w:val="left" w:pos="840"/>
        </w:tabs>
        <w:kinsoku/>
        <w:wordWrap/>
        <w:overflowPunct/>
        <w:topLinePunct w:val="0"/>
        <w:autoSpaceDE/>
        <w:autoSpaceDN/>
        <w:bidi w:val="0"/>
        <w:adjustRightInd/>
        <w:ind w:left="0" w:firstLine="480" w:firstLineChars="200"/>
        <w:textAlignment w:val="auto"/>
        <w:rPr>
          <w:rFonts w:ascii="宋体" w:hAnsi="宋体" w:eastAsia="宋体" w:cs="Times New Roman"/>
          <w:color w:val="auto"/>
          <w:kern w:val="2"/>
          <w:sz w:val="24"/>
          <w:szCs w:val="22"/>
          <w:lang w:val="en-US" w:eastAsia="zh-CN" w:bidi="ar-SA"/>
        </w:rPr>
      </w:pPr>
      <w:r>
        <w:rPr>
          <w:rFonts w:hAnsi="宋体"/>
          <w:color w:val="auto"/>
        </w:rPr>
        <w:t>备品备件、文档资料均作为验收的一部分。</w:t>
      </w:r>
    </w:p>
    <w:sectPr>
      <w:footerReference r:id="rId7" w:type="first"/>
      <w:footerReference r:id="rId5" w:type="default"/>
      <w:footerReference r:id="rId6" w:type="even"/>
      <w:pgSz w:w="11906" w:h="16838"/>
      <w:pgMar w:top="936" w:right="1797" w:bottom="1247" w:left="1797" w:header="851" w:footer="737" w:gutter="0"/>
      <w:cols w:space="720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408FB1">
    <w:pPr>
      <w:pStyle w:val="14"/>
      <w:framePr w:wrap="around" w:vAnchor="text" w:hAnchor="margin" w:xAlign="center" w:y="1"/>
      <w:ind w:right="240"/>
      <w:rPr>
        <w:rStyle w:val="22"/>
      </w:rPr>
    </w:pPr>
    <w:r>
      <w:fldChar w:fldCharType="begin"/>
    </w:r>
    <w:r>
      <w:rPr>
        <w:rStyle w:val="22"/>
      </w:rPr>
      <w:instrText xml:space="preserve">PAGE  </w:instrText>
    </w:r>
    <w:r>
      <w:fldChar w:fldCharType="separate"/>
    </w:r>
    <w:r>
      <w:rPr>
        <w:rStyle w:val="22"/>
      </w:rPr>
      <w:t>22</w:t>
    </w:r>
    <w:r>
      <w:fldChar w:fldCharType="end"/>
    </w:r>
  </w:p>
  <w:p w14:paraId="0B937966">
    <w:pPr>
      <w:pStyle w:val="14"/>
      <w:ind w:right="24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F6C60">
    <w:pPr>
      <w:pStyle w:val="14"/>
      <w:framePr w:wrap="around" w:vAnchor="text" w:hAnchor="margin" w:xAlign="center" w:y="1"/>
      <w:ind w:right="240"/>
      <w:rPr>
        <w:rStyle w:val="22"/>
      </w:rPr>
    </w:pPr>
    <w:r>
      <w:fldChar w:fldCharType="begin"/>
    </w:r>
    <w:r>
      <w:rPr>
        <w:rStyle w:val="22"/>
      </w:rPr>
      <w:instrText xml:space="preserve">PAGE  </w:instrText>
    </w:r>
    <w:r>
      <w:fldChar w:fldCharType="separate"/>
    </w:r>
    <w:r>
      <w:rPr>
        <w:rStyle w:val="22"/>
      </w:rPr>
      <w:t>0</w:t>
    </w:r>
    <w:r>
      <w:fldChar w:fldCharType="end"/>
    </w:r>
  </w:p>
  <w:p w14:paraId="0C967C81">
    <w:pPr>
      <w:pStyle w:val="14"/>
      <w:ind w:right="24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5776BE">
    <w:pPr>
      <w:pStyle w:val="14"/>
      <w:ind w:right="2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94A1C2"/>
    <w:multiLevelType w:val="singleLevel"/>
    <w:tmpl w:val="BE94A1C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C90271F"/>
    <w:multiLevelType w:val="multilevel"/>
    <w:tmpl w:val="3C90271F"/>
    <w:lvl w:ilvl="0" w:tentative="0">
      <w:start w:val="1"/>
      <w:numFmt w:val="decimal"/>
      <w:lvlText w:val="%1)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1BD28D3"/>
    <w:multiLevelType w:val="multilevel"/>
    <w:tmpl w:val="71BD28D3"/>
    <w:lvl w:ilvl="0" w:tentative="0">
      <w:start w:val="1"/>
      <w:numFmt w:val="decimal"/>
      <w:pStyle w:val="2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removePersonalInformation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lODNkNGU1YzkzMjgyMDg3YzU2OGRmN2NlMDA1N2EifQ=="/>
  </w:docVars>
  <w:rsids>
    <w:rsidRoot w:val="26246268"/>
    <w:rsid w:val="01CC07AA"/>
    <w:rsid w:val="041C715D"/>
    <w:rsid w:val="041F23A3"/>
    <w:rsid w:val="09CA0F5B"/>
    <w:rsid w:val="0A0F6AB1"/>
    <w:rsid w:val="0AD40999"/>
    <w:rsid w:val="0BD30473"/>
    <w:rsid w:val="12EB3AEE"/>
    <w:rsid w:val="13414ACF"/>
    <w:rsid w:val="15427DB0"/>
    <w:rsid w:val="15E470D5"/>
    <w:rsid w:val="1712358F"/>
    <w:rsid w:val="17F03C6D"/>
    <w:rsid w:val="180D7C67"/>
    <w:rsid w:val="18E32E63"/>
    <w:rsid w:val="1A82148C"/>
    <w:rsid w:val="1B251654"/>
    <w:rsid w:val="1B5567DB"/>
    <w:rsid w:val="1B7168B6"/>
    <w:rsid w:val="1FBD34A2"/>
    <w:rsid w:val="20101F24"/>
    <w:rsid w:val="20106558"/>
    <w:rsid w:val="205A6AB8"/>
    <w:rsid w:val="21AF42BB"/>
    <w:rsid w:val="22522C58"/>
    <w:rsid w:val="23203542"/>
    <w:rsid w:val="25235887"/>
    <w:rsid w:val="253530A2"/>
    <w:rsid w:val="25737A6A"/>
    <w:rsid w:val="26246268"/>
    <w:rsid w:val="26976211"/>
    <w:rsid w:val="274C7086"/>
    <w:rsid w:val="27980803"/>
    <w:rsid w:val="283B06BE"/>
    <w:rsid w:val="2E8E271A"/>
    <w:rsid w:val="2FDD2A30"/>
    <w:rsid w:val="306F59B2"/>
    <w:rsid w:val="30FD39D5"/>
    <w:rsid w:val="34167144"/>
    <w:rsid w:val="381A6460"/>
    <w:rsid w:val="3FFD0A3B"/>
    <w:rsid w:val="42A20B7B"/>
    <w:rsid w:val="460417A5"/>
    <w:rsid w:val="47F35458"/>
    <w:rsid w:val="49E84CAD"/>
    <w:rsid w:val="4BF6203B"/>
    <w:rsid w:val="4C876D68"/>
    <w:rsid w:val="5054095A"/>
    <w:rsid w:val="5282112A"/>
    <w:rsid w:val="52EB2826"/>
    <w:rsid w:val="53F527F6"/>
    <w:rsid w:val="5BED5A39"/>
    <w:rsid w:val="5CC770A7"/>
    <w:rsid w:val="5D5D6E67"/>
    <w:rsid w:val="5DDA23B7"/>
    <w:rsid w:val="5F8C7892"/>
    <w:rsid w:val="5FD62402"/>
    <w:rsid w:val="60FE2F9D"/>
    <w:rsid w:val="64801AB7"/>
    <w:rsid w:val="677C75AA"/>
    <w:rsid w:val="67965296"/>
    <w:rsid w:val="68311FF0"/>
    <w:rsid w:val="696F60F2"/>
    <w:rsid w:val="69952E7B"/>
    <w:rsid w:val="69B81E6A"/>
    <w:rsid w:val="6B193C7A"/>
    <w:rsid w:val="6CE41446"/>
    <w:rsid w:val="6D7B4D9C"/>
    <w:rsid w:val="6E7E556C"/>
    <w:rsid w:val="6EB16E5B"/>
    <w:rsid w:val="6F02418D"/>
    <w:rsid w:val="6F39172E"/>
    <w:rsid w:val="6FAF70DE"/>
    <w:rsid w:val="710A4BA3"/>
    <w:rsid w:val="719D36B9"/>
    <w:rsid w:val="72833D16"/>
    <w:rsid w:val="72943709"/>
    <w:rsid w:val="74264675"/>
    <w:rsid w:val="74932828"/>
    <w:rsid w:val="7CC839B5"/>
    <w:rsid w:val="7EE81375"/>
    <w:rsid w:val="7F21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宋体" w:hAnsi="Calibri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widowControl w:val="0"/>
      <w:numPr>
        <w:ilvl w:val="0"/>
        <w:numId w:val="1"/>
      </w:numPr>
      <w:spacing w:before="156" w:beforeLines="50" w:after="156" w:afterLines="50" w:line="360" w:lineRule="auto"/>
      <w:jc w:val="both"/>
      <w:outlineLvl w:val="0"/>
    </w:pPr>
    <w:rPr>
      <w:rFonts w:ascii="宋体" w:hAnsi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widowControl w:val="0"/>
      <w:numPr>
        <w:ilvl w:val="1"/>
        <w:numId w:val="1"/>
      </w:numPr>
      <w:spacing w:before="156" w:beforeLines="50" w:after="156" w:afterLines="50" w:line="360" w:lineRule="auto"/>
      <w:jc w:val="both"/>
      <w:outlineLvl w:val="1"/>
    </w:pPr>
    <w:rPr>
      <w:rFonts w:ascii="宋体" w:hAnsi="宋体"/>
      <w:b/>
      <w:bCs/>
      <w:kern w:val="2"/>
      <w:sz w:val="28"/>
      <w:szCs w:val="32"/>
    </w:rPr>
  </w:style>
  <w:style w:type="paragraph" w:styleId="4">
    <w:name w:val="heading 3"/>
    <w:basedOn w:val="1"/>
    <w:next w:val="1"/>
    <w:qFormat/>
    <w:uiPriority w:val="9"/>
    <w:pPr>
      <w:keepNext/>
      <w:keepLines/>
      <w:widowControl w:val="0"/>
      <w:numPr>
        <w:ilvl w:val="2"/>
        <w:numId w:val="1"/>
      </w:numPr>
      <w:spacing w:before="156" w:beforeLines="50" w:after="156" w:afterLines="50" w:line="360" w:lineRule="auto"/>
      <w:jc w:val="both"/>
      <w:outlineLvl w:val="2"/>
    </w:pPr>
    <w:rPr>
      <w:rFonts w:ascii="宋体" w:hAnsi="宋体"/>
      <w:b/>
      <w:bCs/>
      <w:kern w:val="2"/>
      <w:sz w:val="28"/>
      <w:szCs w:val="32"/>
    </w:rPr>
  </w:style>
  <w:style w:type="paragraph" w:styleId="5">
    <w:name w:val="heading 4"/>
    <w:basedOn w:val="1"/>
    <w:next w:val="1"/>
    <w:qFormat/>
    <w:uiPriority w:val="9"/>
    <w:pPr>
      <w:keepNext/>
      <w:keepLines/>
      <w:widowControl w:val="0"/>
      <w:numPr>
        <w:ilvl w:val="3"/>
        <w:numId w:val="1"/>
      </w:numPr>
      <w:spacing w:before="156" w:beforeLines="50" w:after="156" w:afterLines="50" w:line="360" w:lineRule="auto"/>
      <w:jc w:val="both"/>
      <w:outlineLvl w:val="3"/>
    </w:pPr>
    <w:rPr>
      <w:rFonts w:ascii="宋体" w:hAnsi="宋体"/>
      <w:b/>
      <w:bCs/>
      <w:kern w:val="2"/>
    </w:rPr>
  </w:style>
  <w:style w:type="paragraph" w:styleId="6">
    <w:name w:val="heading 5"/>
    <w:basedOn w:val="1"/>
    <w:next w:val="1"/>
    <w:qFormat/>
    <w:uiPriority w:val="9"/>
    <w:pPr>
      <w:keepNext/>
      <w:keepLines/>
      <w:widowControl w:val="0"/>
      <w:spacing w:before="120" w:beforeLines="50" w:after="120" w:afterLines="50" w:line="360" w:lineRule="auto"/>
      <w:ind w:left="1008" w:hanging="1008"/>
      <w:jc w:val="both"/>
      <w:outlineLvl w:val="4"/>
    </w:pPr>
    <w:rPr>
      <w:rFonts w:ascii="宋体" w:hAnsi="宋体"/>
      <w:b/>
      <w:bCs/>
      <w:kern w:val="2"/>
    </w:rPr>
  </w:style>
  <w:style w:type="character" w:default="1" w:styleId="21">
    <w:name w:val="Default Paragraph Font"/>
    <w:semiHidden/>
    <w:qFormat/>
    <w:uiPriority w:val="0"/>
  </w:style>
  <w:style w:type="table" w:default="1" w:styleId="1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qFormat/>
    <w:uiPriority w:val="0"/>
    <w:pPr>
      <w:widowControl w:val="0"/>
      <w:ind w:firstLine="420" w:firstLineChars="200"/>
      <w:jc w:val="both"/>
    </w:pPr>
    <w:rPr>
      <w:kern w:val="2"/>
      <w:sz w:val="21"/>
    </w:rPr>
  </w:style>
  <w:style w:type="paragraph" w:styleId="8">
    <w:name w:val="annotation text"/>
    <w:basedOn w:val="1"/>
    <w:qFormat/>
    <w:uiPriority w:val="0"/>
    <w:pPr>
      <w:jc w:val="left"/>
    </w:pPr>
  </w:style>
  <w:style w:type="paragraph" w:styleId="9">
    <w:name w:val="Body Text"/>
    <w:basedOn w:val="10"/>
    <w:next w:val="10"/>
    <w:qFormat/>
    <w:uiPriority w:val="0"/>
    <w:pPr>
      <w:spacing w:after="120"/>
    </w:pPr>
  </w:style>
  <w:style w:type="paragraph" w:styleId="10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11">
    <w:name w:val="Body Text Indent"/>
    <w:basedOn w:val="1"/>
    <w:qFormat/>
    <w:uiPriority w:val="0"/>
    <w:pPr>
      <w:spacing w:after="120"/>
      <w:ind w:left="420" w:leftChars="200"/>
    </w:pPr>
    <w:rPr>
      <w:kern w:val="0"/>
    </w:rPr>
  </w:style>
  <w:style w:type="paragraph" w:styleId="12">
    <w:name w:val="toc 3"/>
    <w:basedOn w:val="1"/>
    <w:next w:val="1"/>
    <w:qFormat/>
    <w:uiPriority w:val="39"/>
    <w:pPr>
      <w:ind w:left="840" w:leftChars="400"/>
    </w:pPr>
    <w:rPr>
      <w:sz w:val="21"/>
    </w:r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1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qFormat/>
    <w:uiPriority w:val="39"/>
    <w:rPr>
      <w:sz w:val="21"/>
    </w:rPr>
  </w:style>
  <w:style w:type="paragraph" w:styleId="17">
    <w:name w:val="toc 2"/>
    <w:basedOn w:val="1"/>
    <w:next w:val="1"/>
    <w:qFormat/>
    <w:uiPriority w:val="39"/>
    <w:pPr>
      <w:ind w:left="420" w:leftChars="200"/>
    </w:pPr>
    <w:rPr>
      <w:sz w:val="21"/>
    </w:rPr>
  </w:style>
  <w:style w:type="paragraph" w:styleId="1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20">
    <w:name w:val="Table Grid"/>
    <w:basedOn w:val="1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page number"/>
    <w:qFormat/>
    <w:uiPriority w:val="0"/>
    <w:rPr>
      <w:rFonts w:ascii="Times New Roman" w:hAnsi="Times New Roman" w:eastAsia="宋体"/>
      <w:sz w:val="18"/>
    </w:rPr>
  </w:style>
  <w:style w:type="character" w:styleId="23">
    <w:name w:val="annotation reference"/>
    <w:semiHidden/>
    <w:qFormat/>
    <w:uiPriority w:val="0"/>
    <w:rPr>
      <w:sz w:val="21"/>
      <w:szCs w:val="21"/>
    </w:rPr>
  </w:style>
  <w:style w:type="paragraph" w:customStyle="1" w:styleId="24">
    <w:name w:val="Body Text Indent1"/>
    <w:basedOn w:val="1"/>
    <w:qFormat/>
    <w:uiPriority w:val="0"/>
    <w:pPr>
      <w:spacing w:after="120"/>
      <w:ind w:left="420" w:leftChars="200"/>
    </w:pPr>
    <w:rPr>
      <w:rFonts w:ascii="等线" w:hAnsi="等线" w:eastAsia="等线"/>
    </w:rPr>
  </w:style>
  <w:style w:type="paragraph" w:customStyle="1" w:styleId="25">
    <w:name w:val="正文首行缩进 21"/>
    <w:basedOn w:val="24"/>
    <w:qFormat/>
    <w:uiPriority w:val="0"/>
    <w:pPr>
      <w:ind w:firstLine="420" w:firstLineChars="200"/>
    </w:pPr>
    <w:rPr>
      <w:rFonts w:ascii="Calibri" w:hAnsi="Calibri"/>
    </w:rPr>
  </w:style>
  <w:style w:type="paragraph" w:customStyle="1" w:styleId="26">
    <w:name w:val="gfkj正文"/>
    <w:basedOn w:val="1"/>
    <w:qFormat/>
    <w:uiPriority w:val="0"/>
    <w:pPr>
      <w:widowControl w:val="0"/>
      <w:spacing w:line="480" w:lineRule="exact"/>
      <w:ind w:firstLine="480" w:firstLineChars="200"/>
      <w:jc w:val="both"/>
    </w:pPr>
    <w:rPr>
      <w:kern w:val="2"/>
    </w:rPr>
  </w:style>
  <w:style w:type="paragraph" w:styleId="27">
    <w:name w:val="List Paragraph"/>
    <w:basedOn w:val="1"/>
    <w:qFormat/>
    <w:uiPriority w:val="0"/>
    <w:pPr>
      <w:widowControl w:val="0"/>
      <w:ind w:firstLine="420" w:firstLineChars="200"/>
      <w:jc w:val="both"/>
    </w:pPr>
    <w:rPr>
      <w:kern w:val="2"/>
      <w:sz w:val="21"/>
    </w:rPr>
  </w:style>
  <w:style w:type="paragraph" w:customStyle="1" w:styleId="28">
    <w:name w:val="首行缩进"/>
    <w:basedOn w:val="1"/>
    <w:qFormat/>
    <w:uiPriority w:val="0"/>
    <w:pPr>
      <w:spacing w:line="300" w:lineRule="auto"/>
      <w:ind w:firstLine="420" w:firstLineChars="200"/>
    </w:pPr>
    <w:rPr>
      <w:rFonts w:eastAsia="方正书宋简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2108</Words>
  <Characters>2210</Characters>
  <Lines>0</Lines>
  <Paragraphs>0</Paragraphs>
  <TotalTime>1</TotalTime>
  <ScaleCrop>false</ScaleCrop>
  <LinksUpToDate>false</LinksUpToDate>
  <CharactersWithSpaces>2250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2022-08-01T09:29:00Z</dcterms:created>
  <dcterms:modified xsi:type="dcterms:W3CDTF">2026-05-22T03:27:29Z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384A649600E94CA08693CB313CB5090D_13</vt:lpwstr>
  </property>
  <property fmtid="{D5CDD505-2E9C-101B-9397-08002B2CF9AE}" pid="4" name="KSOTemplateDocerSaveRecord">
    <vt:lpwstr>eyJoZGlkIjoiZmI5YWU4ZmU4OWE4ZDA3MGI2M2UzOWQ1ZDBlMzI3N2IiLCJ1c2VySWQiOiIxMTQzMDU1MjY3In0=</vt:lpwstr>
  </property>
</Properties>
</file>