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F1EE9">
      <w:pPr>
        <w:keepNext/>
        <w:keepLines/>
        <w:autoSpaceDE w:val="0"/>
        <w:autoSpaceDN w:val="0"/>
        <w:adjustRightInd w:val="0"/>
        <w:spacing w:before="240" w:after="64"/>
        <w:jc w:val="center"/>
        <w:outlineLvl w:val="0"/>
        <w:rPr>
          <w:rFonts w:hint="eastAsia" w:ascii="宋体" w:eastAsia="宋体" w:cs="宋体"/>
          <w:b/>
          <w:bCs/>
          <w:kern w:val="0"/>
          <w:sz w:val="28"/>
          <w:szCs w:val="28"/>
          <w:lang w:val="zh-CN" w:eastAsia="zh-CN"/>
        </w:rPr>
      </w:pPr>
      <w:bookmarkStart w:id="0" w:name="_Toc7041"/>
      <w:r>
        <w:rPr>
          <w:rFonts w:hint="eastAsia" w:ascii="宋体" w:cs="宋体"/>
          <w:b/>
          <w:bCs/>
          <w:kern w:val="0"/>
          <w:sz w:val="28"/>
          <w:szCs w:val="28"/>
          <w:lang w:val="zh-CN"/>
        </w:rPr>
        <w:t>东莞供电局</w:t>
      </w:r>
      <w:r>
        <w:rPr>
          <w:rFonts w:hint="eastAsia" w:ascii="宋体" w:cs="宋体"/>
          <w:b/>
          <w:bCs/>
          <w:kern w:val="0"/>
          <w:sz w:val="28"/>
          <w:szCs w:val="28"/>
          <w:lang w:val="en-US" w:eastAsia="zh-CN"/>
        </w:rPr>
        <w:t>2026年</w:t>
      </w:r>
      <w:r>
        <w:rPr>
          <w:rFonts w:hint="eastAsia" w:ascii="宋体" w:cs="宋体"/>
          <w:b/>
          <w:bCs/>
          <w:kern w:val="0"/>
          <w:sz w:val="28"/>
          <w:szCs w:val="28"/>
          <w:lang w:val="zh-CN"/>
        </w:rPr>
        <w:t>“城市综合能源信息物理系统数据异常及网络攻击安全防护技术”科技</w:t>
      </w:r>
      <w:bookmarkStart w:id="1" w:name="_GoBack"/>
      <w:bookmarkEnd w:id="1"/>
      <w:r>
        <w:rPr>
          <w:rFonts w:hint="eastAsia" w:ascii="宋体" w:cs="宋体"/>
          <w:b/>
          <w:bCs/>
          <w:kern w:val="0"/>
          <w:sz w:val="28"/>
          <w:szCs w:val="28"/>
          <w:lang w:val="zh-CN"/>
        </w:rPr>
        <w:t>项目入网安全测试服务零星采购技术条件书</w:t>
      </w:r>
      <w:bookmarkEnd w:id="0"/>
    </w:p>
    <w:p w14:paraId="447B2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Theme="minorEastAsia" w:hAnsiTheme="minorEastAsia" w:eastAsiaTheme="minorEastAsia" w:cstheme="minorEastAsia"/>
          <w:b/>
          <w:sz w:val="24"/>
          <w:szCs w:val="28"/>
        </w:rPr>
      </w:pPr>
    </w:p>
    <w:p w14:paraId="4CEFBF9F">
      <w:pPr>
        <w:keepNext w:val="0"/>
        <w:keepLines w:val="0"/>
        <w:widowControl/>
        <w:suppressLineNumbers w:val="0"/>
        <w:shd w:val="clear" w:fill="FFFFFF"/>
        <w:spacing w:before="144" w:beforeAutospacing="0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一、测试环境搭建</w:t>
      </w:r>
    </w:p>
    <w:p w14:paraId="144CC0F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供应商应根据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城市综合能源信息物理系统数据异常及网络攻击安全防护系统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的工作场景和运行条件，搭建真实、可靠的测试环境。</w:t>
      </w:r>
    </w:p>
    <w:p w14:paraId="1691674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测试环境应具备良好的主机、数据库、中间件、漏洞扫描、应用系统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渗透测试、数据安全测试条件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。</w:t>
      </w:r>
    </w:p>
    <w:p w14:paraId="18864A1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二、测试方法与流程</w:t>
      </w:r>
    </w:p>
    <w:p w14:paraId="702060F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制定详细、科学的测试方法和流程，包括测试点的选择、测试数据的采集频率、测试时间长度等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以更好地满足各种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安全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场景的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状态检测。</w:t>
      </w:r>
    </w:p>
    <w:p w14:paraId="5B798F7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对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在正常运行和模拟异常情况下分别进行测试，以验证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攻击检测与分析模型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功能在不同工况下的性能。</w:t>
      </w:r>
    </w:p>
    <w:p w14:paraId="11DAA57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测试过程应遵循可重复性原则，确保每次测试结果的一致性和可靠性。</w:t>
      </w:r>
    </w:p>
    <w:p w14:paraId="5D8A46F5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四、测试</w:t>
      </w:r>
      <w:r>
        <w:rPr>
          <w:rFonts w:hint="eastAsia" w:asciiTheme="minorEastAsia" w:hAnsi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内容与</w:t>
      </w: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标准</w:t>
      </w:r>
    </w:p>
    <w:p w14:paraId="0EE8839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内容包括但不局限于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系统主机、数据库、中间件、应用系统、漏洞扫描、渗透测试、数据安全等方面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重点测试被测系统业务实现对设计需求的满足程度。</w:t>
      </w:r>
    </w:p>
    <w:p w14:paraId="7F1C09D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依据《信息技术 信息系统安全等级保护基本要求》GBT 22239-2019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《IT主流设备安全基线技术规范》 Q/CSG 11804—2010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《南方电网公司网络安全合规库（202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5年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版）》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开展测试，判断系统是否满足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入网安评技术标准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。</w:t>
      </w:r>
    </w:p>
    <w:p w14:paraId="2095C5F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五、数据分析与报告</w:t>
      </w:r>
    </w:p>
    <w:p w14:paraId="6154069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提供详细的测试报告，包括测试过程、测试结果、数据分析、结论及建议等内容。测试报告应清晰、准确、客观，具有可追溯性。</w:t>
      </w:r>
    </w:p>
    <w:p w14:paraId="64E22D2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能够对测试中发现的问题进行深入分析，提出有效的改进措施和建议，协助采购方优化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软件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。</w:t>
      </w:r>
    </w:p>
    <w:p w14:paraId="65F4418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六、技术支持与培训</w:t>
      </w:r>
    </w:p>
    <w:p w14:paraId="5A3CB57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在测试过程中，为采购方提供必要的技术支持和咨询服务，解答相关技术问题。</w:t>
      </w:r>
    </w:p>
    <w:p w14:paraId="4D39FCA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为采购方相关人员提供测试设备和软件的使用培训，使其能够熟练掌握测试操作和数据分析方法。</w:t>
      </w:r>
    </w:p>
    <w:p w14:paraId="15AE4D99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七、保密与知识产权</w:t>
      </w:r>
    </w:p>
    <w:p w14:paraId="4D6B9116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供应商应对测试过程中涉及的移动机器人技术和相关数据严格保密，未经采购方书面许可，不得向第三方透露。</w:t>
      </w:r>
    </w:p>
    <w:p w14:paraId="42F06B3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测试过程中产生的知识产权归采购方所有，供应商不得擅自使用或转让。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A42899"/>
    <w:multiLevelType w:val="multilevel"/>
    <w:tmpl w:val="B6A428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B57627A"/>
    <w:multiLevelType w:val="multilevel"/>
    <w:tmpl w:val="DB5762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CE0AE91"/>
    <w:multiLevelType w:val="multilevel"/>
    <w:tmpl w:val="0CE0AE9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2E15C87F"/>
    <w:multiLevelType w:val="multilevel"/>
    <w:tmpl w:val="2E15C87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52D83C44"/>
    <w:multiLevelType w:val="multilevel"/>
    <w:tmpl w:val="52D83C4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7419CF40"/>
    <w:multiLevelType w:val="multilevel"/>
    <w:tmpl w:val="7419CF4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361280"/>
    <w:rsid w:val="11F36DEB"/>
    <w:rsid w:val="11F578C9"/>
    <w:rsid w:val="15B97C06"/>
    <w:rsid w:val="1D361280"/>
    <w:rsid w:val="236C60F0"/>
    <w:rsid w:val="23E548A1"/>
    <w:rsid w:val="2ADE005F"/>
    <w:rsid w:val="3EB51949"/>
    <w:rsid w:val="48175984"/>
    <w:rsid w:val="5DD15CE5"/>
    <w:rsid w:val="604045B8"/>
    <w:rsid w:val="61C6701F"/>
    <w:rsid w:val="6CA74B62"/>
    <w:rsid w:val="6DDF5D85"/>
    <w:rsid w:val="78C13C8A"/>
    <w:rsid w:val="7BF23E73"/>
    <w:rsid w:val="BF5E1508"/>
    <w:rsid w:val="F56F65AA"/>
    <w:rsid w:val="F96B4128"/>
    <w:rsid w:val="FFFF534E"/>
    <w:rsid w:val="FF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2024-07-04T20:16:00Z</dcterms:created>
  <dc:creator>Administrator</dc:creator>
  <cp:lastModifiedBy>lishimei2</cp:lastModifiedBy>
  <dcterms:modified xsi:type="dcterms:W3CDTF">2026-05-26T10:13:24Z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D5C1CBE96F0B5F776B43056AC7C281B1_42</vt:lpwstr>
  </property>
</Properties>
</file>