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862588">
      <w:pPr>
        <w:pStyle w:val="2"/>
        <w:spacing w:line="360" w:lineRule="auto"/>
        <w:jc w:val="center"/>
      </w:pPr>
      <w:r>
        <w:rPr>
          <w:rFonts w:hint="eastAsia"/>
        </w:rPr>
        <w:t>澄清函</w:t>
      </w:r>
    </w:p>
    <w:p w14:paraId="7722A8F5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项目名称：广东电网公司</w:t>
      </w:r>
      <w:r>
        <w:rPr>
          <w:rFonts w:ascii="宋体" w:hAnsi="宋体" w:eastAsia="宋体" w:cs="宋体"/>
          <w:b/>
          <w:bCs/>
          <w:kern w:val="0"/>
          <w:szCs w:val="21"/>
        </w:rPr>
        <w:t>2026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年低压开关柜、</w:t>
      </w:r>
      <w:r>
        <w:rPr>
          <w:rFonts w:ascii="宋体" w:hAnsi="宋体" w:eastAsia="宋体" w:cs="宋体"/>
          <w:b/>
          <w:bCs/>
          <w:kern w:val="0"/>
          <w:szCs w:val="21"/>
        </w:rPr>
        <w:t>10kV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预装式变电站专项招标</w:t>
      </w:r>
    </w:p>
    <w:p w14:paraId="6025729F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采购编号：</w:t>
      </w:r>
      <w:r>
        <w:rPr>
          <w:rFonts w:ascii="宋体" w:hAnsi="宋体" w:eastAsia="宋体" w:cs="宋体"/>
          <w:b/>
          <w:bCs/>
          <w:kern w:val="0"/>
          <w:szCs w:val="21"/>
        </w:rPr>
        <w:t>CG0300022002297689</w:t>
      </w:r>
    </w:p>
    <w:p w14:paraId="64198F9D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招标人：广东电网有限责任公司</w:t>
      </w:r>
    </w:p>
    <w:p w14:paraId="5C300D99">
      <w:pPr>
        <w:spacing w:line="360" w:lineRule="auto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招标代理机构：南方电网供应链（广东）有限公司</w:t>
      </w:r>
    </w:p>
    <w:p w14:paraId="66CEB5BC">
      <w:pPr>
        <w:autoSpaceDE w:val="0"/>
        <w:autoSpaceDN w:val="0"/>
        <w:adjustRightInd w:val="0"/>
        <w:spacing w:line="360" w:lineRule="auto"/>
        <w:jc w:val="left"/>
        <w:rPr>
          <w:rFonts w:hint="eastAsia" w:ascii="宋体" w:hAnsi="宋体" w:eastAsia="宋体" w:cs="宋体"/>
          <w:b/>
          <w:bCs/>
          <w:kern w:val="0"/>
          <w:szCs w:val="21"/>
        </w:rPr>
      </w:pPr>
    </w:p>
    <w:p w14:paraId="779A04A7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标的名称：</w:t>
      </w:r>
      <w:r>
        <w:rPr>
          <w:rFonts w:ascii="宋体" w:hAnsi="宋体" w:eastAsia="宋体" w:cs="宋体"/>
          <w:b/>
          <w:bCs/>
          <w:kern w:val="0"/>
          <w:szCs w:val="21"/>
        </w:rPr>
        <w:t>10kV</w:t>
      </w:r>
      <w:r>
        <w:rPr>
          <w:rFonts w:hint="eastAsia" w:ascii="宋体" w:hAnsi="宋体" w:eastAsia="宋体" w:cs="宋体"/>
          <w:b/>
          <w:bCs/>
          <w:kern w:val="0"/>
          <w:szCs w:val="21"/>
        </w:rPr>
        <w:t>预装式变电站</w:t>
      </w:r>
    </w:p>
    <w:p w14:paraId="46205298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标包名称：标包</w:t>
      </w:r>
      <w:r>
        <w:rPr>
          <w:rFonts w:ascii="宋体" w:hAnsi="宋体" w:eastAsia="宋体" w:cs="宋体"/>
          <w:b/>
          <w:bCs/>
          <w:kern w:val="0"/>
          <w:szCs w:val="21"/>
        </w:rPr>
        <w:t>1</w:t>
      </w:r>
    </w:p>
    <w:p w14:paraId="6F417B1E">
      <w:pPr>
        <w:autoSpaceDE w:val="0"/>
        <w:autoSpaceDN w:val="0"/>
        <w:adjustRightInd w:val="0"/>
        <w:spacing w:line="360" w:lineRule="auto"/>
        <w:jc w:val="left"/>
        <w:rPr>
          <w:rFonts w:ascii="宋体" w:hAnsi="宋体" w:eastAsia="宋体" w:cs="宋体"/>
          <w:b/>
          <w:bCs/>
          <w:kern w:val="0"/>
          <w:szCs w:val="21"/>
        </w:rPr>
      </w:pPr>
      <w:r>
        <w:rPr>
          <w:rFonts w:hint="eastAsia" w:ascii="宋体" w:hAnsi="宋体" w:eastAsia="宋体" w:cs="宋体"/>
          <w:b/>
          <w:bCs/>
          <w:kern w:val="0"/>
          <w:szCs w:val="21"/>
        </w:rPr>
        <w:t>技术澄清：</w:t>
      </w:r>
    </w:p>
    <w:p w14:paraId="273CD38C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箱变技术规范中变压器型号“SC(H)B14”中(H)是否代表绝缘等级H级。请澄清？</w:t>
      </w:r>
    </w:p>
    <w:p w14:paraId="4783C045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箱变技术规范中外壳尺寸要求描述“</w:t>
      </w:r>
      <w:r>
        <w:rPr>
          <w:rFonts w:ascii="Times New Roman" w:hAnsi="Times New Roman" w:cs="Times New Roman"/>
          <w:szCs w:val="21"/>
        </w:rPr>
        <w:t>具体尺寸可结合项目建设单位需求情况，与供应商沟通后进行适当调整</w:t>
      </w:r>
      <w:r>
        <w:rPr>
          <w:rFonts w:hint="eastAsia" w:ascii="Times New Roman" w:hAnsi="Times New Roman" w:cs="Times New Roman"/>
          <w:szCs w:val="21"/>
        </w:rPr>
        <w:t>。”技术规范内箱变外形较小是否可按箱变配置适当调整外壳尺寸。请澄清？</w:t>
      </w:r>
    </w:p>
    <w:p w14:paraId="1F013345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箱变部分设备为选配如“局部放电在线监测装、无线测温装置、低压电缆头测温装置”本次报价是预留位置即可，报价不含。请澄清？</w:t>
      </w:r>
    </w:p>
    <w:p w14:paraId="3E9E69F3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箱变技术规范中“</w:t>
      </w:r>
      <w:r>
        <w:rPr>
          <w:rFonts w:ascii="Times New Roman" w:hAnsi="Times New Roman" w:cs="Times New Roman"/>
        </w:rPr>
        <w:t>附录B 设备标准配置表</w:t>
      </w:r>
      <w:r>
        <w:rPr>
          <w:rFonts w:hint="eastAsia" w:ascii="Times New Roman" w:hAnsi="Times New Roman" w:cs="Times New Roman"/>
          <w:szCs w:val="21"/>
        </w:rPr>
        <w:t>”中800kVA箱变配置如下表是否不在本次报价内。请澄清？</w:t>
      </w:r>
    </w:p>
    <w:tbl>
      <w:tblPr>
        <w:tblStyle w:val="5"/>
        <w:tblW w:w="8449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173"/>
        <w:gridCol w:w="584"/>
        <w:gridCol w:w="3297"/>
        <w:gridCol w:w="613"/>
        <w:gridCol w:w="2117"/>
      </w:tblGrid>
      <w:tr w14:paraId="243CCE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CE7D71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2.4</w:t>
            </w:r>
          </w:p>
        </w:tc>
        <w:tc>
          <w:tcPr>
            <w:tcW w:w="11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819AD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单元式环网柜增加一回K单元组合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F31979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C7A9F">
            <w:pPr>
              <w:widowControl/>
              <w:jc w:val="left"/>
              <w:rPr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采用SF6绝缘三工位630A负荷开关，含带电显示器、电流互感器等配件、辅材等。指增加一回的价格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50BEF1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E16FD8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  <w:tr w14:paraId="7D67E7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8F300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2.6</w:t>
            </w:r>
          </w:p>
        </w:tc>
        <w:tc>
          <w:tcPr>
            <w:tcW w:w="11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C1153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单元式环网柜增加一回PT单元组合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DEDC32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52E49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VV接法，双绕组 10/0.1/0.22kV，测量绕组0.5级50VA，电源绕组1000VA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C301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90D6B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  <w:tr w14:paraId="17D48A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0E46A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2.8</w:t>
            </w:r>
          </w:p>
        </w:tc>
        <w:tc>
          <w:tcPr>
            <w:tcW w:w="11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D997A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单元式环网柜增加一回D单元组合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250BF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1A093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采用真空630A断路器开关，含下隔离开关、带电显示器、电流互感器等配件、辅材等。指增加一回的价格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5B0B2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81A58C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  <w:tr w14:paraId="374B49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66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98148F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2.19</w:t>
            </w:r>
          </w:p>
        </w:tc>
        <w:tc>
          <w:tcPr>
            <w:tcW w:w="117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3DCDC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智能配电装置</w:t>
            </w:r>
          </w:p>
        </w:tc>
        <w:tc>
          <w:tcPr>
            <w:tcW w:w="5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A4C651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1F41E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含温湿度传感器、水浸传感器、门状态传感器等</w:t>
            </w:r>
          </w:p>
        </w:tc>
        <w:tc>
          <w:tcPr>
            <w:tcW w:w="6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264AA8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876E6E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</w:tbl>
    <w:p w14:paraId="58B3EFC4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箱变技术规范中“</w:t>
      </w:r>
      <w:r>
        <w:rPr>
          <w:rFonts w:ascii="Times New Roman" w:hAnsi="Times New Roman" w:cs="Times New Roman"/>
        </w:rPr>
        <w:t>附录B 设备标准配置表</w:t>
      </w:r>
      <w:r>
        <w:rPr>
          <w:rFonts w:hint="eastAsia" w:ascii="Times New Roman" w:hAnsi="Times New Roman" w:cs="Times New Roman"/>
          <w:szCs w:val="21"/>
        </w:rPr>
        <w:t>”中1250kVA箱变配置如下表是否不在本次报价内。请澄清？</w:t>
      </w:r>
    </w:p>
    <w:tbl>
      <w:tblPr>
        <w:tblStyle w:val="5"/>
        <w:tblW w:w="8449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173"/>
        <w:gridCol w:w="584"/>
        <w:gridCol w:w="3297"/>
        <w:gridCol w:w="613"/>
        <w:gridCol w:w="2117"/>
      </w:tblGrid>
      <w:tr w14:paraId="56A11A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536D3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 w:cs="Times New Roman"/>
                <w:kern w:val="0"/>
                <w:sz w:val="18"/>
                <w:szCs w:val="18"/>
              </w:rPr>
              <w:t>3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.</w:t>
            </w:r>
            <w:r>
              <w:rPr>
                <w:rFonts w:hint="eastAsia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D734C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单元式环网柜增加一回D单元组合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62655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6D04F6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采用真空630A断路器开关，含下隔离开关、带电显示器、电流互感器等配件、辅材等。指增加一回的价格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312EA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929F51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  <w:tr w14:paraId="3D3944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D2A43A">
            <w:pPr>
              <w:widowControl/>
              <w:jc w:val="left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hint="eastAsia" w:cs="Times New Roman"/>
                <w:kern w:val="0"/>
                <w:sz w:val="18"/>
                <w:szCs w:val="18"/>
              </w:rPr>
              <w:t>3</w:t>
            </w:r>
            <w:r>
              <w:rPr>
                <w:rFonts w:cs="Times New Roman"/>
                <w:kern w:val="0"/>
                <w:sz w:val="18"/>
                <w:szCs w:val="18"/>
              </w:rPr>
              <w:t>.1</w:t>
            </w:r>
            <w:r>
              <w:rPr>
                <w:rFonts w:hint="eastAsia" w:cs="Times New Roman"/>
                <w:kern w:val="0"/>
                <w:sz w:val="18"/>
                <w:szCs w:val="18"/>
              </w:rPr>
              <w:t>6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8F6DFB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智能配电装置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BF876B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40E225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含温湿度传感器、水浸传感器、门状态传感器等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E4ADAC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CA801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选配</w:t>
            </w:r>
          </w:p>
        </w:tc>
      </w:tr>
    </w:tbl>
    <w:p w14:paraId="548F1060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变技术规范中“</w:t>
      </w:r>
      <w:r>
        <w:rPr>
          <w:rFonts w:ascii="Times New Roman" w:hAnsi="Times New Roman" w:cs="Times New Roman"/>
        </w:rPr>
        <w:t>附录B 设备标准配置表</w:t>
      </w:r>
      <w:r>
        <w:rPr>
          <w:rFonts w:hint="eastAsia" w:ascii="Times New Roman" w:hAnsi="Times New Roman" w:cs="Times New Roman"/>
          <w:szCs w:val="21"/>
        </w:rPr>
        <w:t>”中1250kVA箱变配置综合继保装置，此方案有配置DTU装置含保护功能，是否取消综合继保装置。请澄清？</w:t>
      </w:r>
    </w:p>
    <w:p w14:paraId="459368CF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firstLineChars="0"/>
        <w:jc w:val="left"/>
        <w:rPr>
          <w:rFonts w:ascii="Times New Roman" w:hAnsi="Times New Roman" w:cs="Times New Roman"/>
          <w:szCs w:val="21"/>
        </w:rPr>
      </w:pPr>
      <w:r>
        <w:rPr>
          <w:rFonts w:hint="eastAsia" w:ascii="Times New Roman" w:hAnsi="Times New Roman" w:cs="Times New Roman"/>
          <w:szCs w:val="21"/>
        </w:rPr>
        <w:t>变技术规范中“</w:t>
      </w:r>
      <w:r>
        <w:rPr>
          <w:rFonts w:ascii="Times New Roman" w:hAnsi="Times New Roman" w:cs="Times New Roman"/>
        </w:rPr>
        <w:t>附录B 设备标准配置表</w:t>
      </w:r>
      <w:r>
        <w:rPr>
          <w:rFonts w:hint="eastAsia" w:ascii="Times New Roman" w:hAnsi="Times New Roman" w:cs="Times New Roman"/>
          <w:szCs w:val="21"/>
        </w:rPr>
        <w:t>”中1250kVA箱变高压配置如下表3.3选用DDD单元（断路器单元），表3.14为高压断路器，此项配置重复，报价是否按DDD单元（断路器单元）报价即可。请澄清？</w:t>
      </w:r>
    </w:p>
    <w:tbl>
      <w:tblPr>
        <w:tblStyle w:val="5"/>
        <w:tblW w:w="8449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5"/>
        <w:gridCol w:w="1173"/>
        <w:gridCol w:w="584"/>
        <w:gridCol w:w="3297"/>
        <w:gridCol w:w="613"/>
        <w:gridCol w:w="2117"/>
      </w:tblGrid>
      <w:tr w14:paraId="123A7F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89EEB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hint="eastAsia" w:cs="Times New Roman"/>
                <w:kern w:val="0"/>
                <w:sz w:val="18"/>
                <w:szCs w:val="18"/>
              </w:rPr>
              <w:t>3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.3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890A86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单元式环网型组合柜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62846B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C27060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含开关、接地位置触点各2套、熔断触点、弹簧储能触点、气压表触点、远方/就地开关触点、DC48V、DC24V等电动操作机构），预留DTU安装位置（高宽深≥1600mm*800mm*600mm）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6DE9B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F787D1">
            <w:pPr>
              <w:widowControl/>
              <w:jc w:val="left"/>
              <w:rPr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单元式环网</w:t>
            </w:r>
            <w:r>
              <w:rPr>
                <w:rFonts w:hint="eastAsia" w:cs="Times New Roman"/>
                <w:kern w:val="0"/>
                <w:sz w:val="18"/>
                <w:szCs w:val="18"/>
              </w:rPr>
              <w:t>DDD</w:t>
            </w: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柜，采用SF6绝缘三工位630A断路器，及含带电显示器、电流互感器等配件、辅材等,选配</w:t>
            </w:r>
          </w:p>
        </w:tc>
      </w:tr>
      <w:tr w14:paraId="4017E4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1FAF0B">
            <w:pPr>
              <w:widowControl/>
              <w:jc w:val="left"/>
              <w:rPr>
                <w:rFonts w:cs="Times New Roman"/>
                <w:kern w:val="0"/>
                <w:sz w:val="18"/>
                <w:szCs w:val="18"/>
              </w:rPr>
            </w:pPr>
            <w:r>
              <w:rPr>
                <w:rFonts w:hint="eastAsia" w:cs="Times New Roman"/>
                <w:kern w:val="0"/>
                <w:sz w:val="18"/>
                <w:szCs w:val="18"/>
              </w:rPr>
              <w:t>3</w:t>
            </w:r>
            <w:r>
              <w:rPr>
                <w:rFonts w:cs="Times New Roman"/>
                <w:kern w:val="0"/>
                <w:sz w:val="18"/>
                <w:szCs w:val="18"/>
              </w:rPr>
              <w:t>.1</w:t>
            </w:r>
            <w:r>
              <w:rPr>
                <w:rFonts w:hint="eastAsia" w:cs="Times New Roman"/>
                <w:kern w:val="0"/>
                <w:sz w:val="18"/>
                <w:szCs w:val="18"/>
              </w:rPr>
              <w:t>4</w:t>
            </w:r>
          </w:p>
        </w:tc>
        <w:tc>
          <w:tcPr>
            <w:tcW w:w="11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B9034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高压断路器</w:t>
            </w:r>
          </w:p>
        </w:tc>
        <w:tc>
          <w:tcPr>
            <w:tcW w:w="5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33460D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套</w:t>
            </w:r>
          </w:p>
        </w:tc>
        <w:tc>
          <w:tcPr>
            <w:tcW w:w="32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DA4CA7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采用真空630A断路器开关，含下隔离开关、带电显示器、电流互感器等配件、辅材等。</w:t>
            </w:r>
          </w:p>
        </w:tc>
        <w:tc>
          <w:tcPr>
            <w:tcW w:w="6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9FF66">
            <w:pPr>
              <w:widowControl/>
              <w:jc w:val="center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1</w:t>
            </w:r>
          </w:p>
        </w:tc>
        <w:tc>
          <w:tcPr>
            <w:tcW w:w="21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0AAAC6">
            <w:pPr>
              <w:widowControl/>
              <w:jc w:val="left"/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</w:pPr>
            <w:r>
              <w:rPr>
                <w:rFonts w:ascii="Times New Roman" w:hAnsi="Times New Roman" w:eastAsia="宋体" w:cs="Times New Roman"/>
                <w:kern w:val="0"/>
                <w:sz w:val="18"/>
                <w:szCs w:val="18"/>
              </w:rPr>
              <w:t>仅1250kVA容量变压器</w:t>
            </w:r>
          </w:p>
        </w:tc>
      </w:tr>
    </w:tbl>
    <w:p w14:paraId="1BDF0DDF">
      <w:pPr>
        <w:autoSpaceDE w:val="0"/>
        <w:autoSpaceDN w:val="0"/>
        <w:adjustRightInd w:val="0"/>
        <w:spacing w:line="360" w:lineRule="auto"/>
        <w:ind w:right="420"/>
        <w:jc w:val="right"/>
        <w:rPr>
          <w:rFonts w:ascii="Times New Roman" w:hAnsi="Times New Roman" w:cs="Times New Roman"/>
          <w:szCs w:val="21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AC205EA"/>
    <w:multiLevelType w:val="multilevel"/>
    <w:tmpl w:val="2AC205EA"/>
    <w:lvl w:ilvl="0" w:tentative="0">
      <w:start w:val="1"/>
      <w:numFmt w:val="decimal"/>
      <w:lvlText w:val="%1.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CEA2025"/>
    <w:multiLevelType w:val="multilevel"/>
    <w:tmpl w:val="6CEA2025"/>
    <w:lvl w:ilvl="0" w:tentative="0">
      <w:start w:val="7"/>
      <w:numFmt w:val="none"/>
      <w:pStyle w:val="11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lvlText w:val="%2"/>
      <w:lvlJc w:val="left"/>
      <w:pPr>
        <w:ind w:left="0" w:firstLine="0"/>
      </w:pPr>
      <w:rPr>
        <w:rFonts w:hint="default" w:ascii="Times New Roman" w:hAnsi="Times New Roman" w:cs="Times New Roman"/>
        <w:b/>
        <w:i w:val="0"/>
        <w:sz w:val="21"/>
      </w:rPr>
    </w:lvl>
    <w:lvl w:ilvl="2" w:tentative="0">
      <w:start w:val="1"/>
      <w:numFmt w:val="decimal"/>
      <w:pStyle w:val="12"/>
      <w:suff w:val="nothing"/>
      <w:lvlText w:val="%1%2.%3　"/>
      <w:lvlJc w:val="left"/>
      <w:pPr>
        <w:ind w:left="822" w:hanging="113"/>
      </w:pPr>
      <w:rPr>
        <w:rFonts w:hint="default" w:ascii="Times New Roman" w:hAnsi="Times New Roman" w:eastAsia="黑体" w:cs="Times New Roman"/>
        <w:b/>
        <w:i w:val="0"/>
        <w:sz w:val="21"/>
      </w:rPr>
    </w:lvl>
    <w:lvl w:ilvl="3" w:tentative="0">
      <w:start w:val="1"/>
      <w:numFmt w:val="decimal"/>
      <w:pStyle w:val="13"/>
      <w:suff w:val="nothing"/>
      <w:lvlText w:val="%1%2.%3.%4　"/>
      <w:lvlJc w:val="left"/>
      <w:pPr>
        <w:ind w:left="2496" w:hanging="227"/>
      </w:pPr>
      <w:rPr>
        <w:rFonts w:hint="default" w:ascii="Times New Roman" w:hAnsi="Times New Roman" w:eastAsia="黑体" w:cs="Times New Roman"/>
        <w:b/>
        <w:i w:val="0"/>
        <w:color w:val="auto"/>
        <w:sz w:val="21"/>
      </w:rPr>
    </w:lvl>
    <w:lvl w:ilvl="4" w:tentative="0">
      <w:start w:val="1"/>
      <w:numFmt w:val="decimal"/>
      <w:pStyle w:val="14"/>
      <w:isLgl/>
      <w:suff w:val="nothing"/>
      <w:lvlText w:val="%1%2.%3.%4.%5　"/>
      <w:lvlJc w:val="left"/>
      <w:pPr>
        <w:ind w:left="113" w:hanging="113"/>
      </w:pPr>
      <w:rPr>
        <w:rFonts w:hint="default" w:ascii="Times New Roman" w:hAnsi="Times New Roman" w:eastAsia="宋体" w:cs="Times New Roman"/>
        <w:b/>
        <w:i w:val="0"/>
        <w:sz w:val="21"/>
        <w:szCs w:val="21"/>
      </w:rPr>
    </w:lvl>
    <w:lvl w:ilvl="5" w:tentative="0">
      <w:start w:val="1"/>
      <w:numFmt w:val="decimal"/>
      <w:pStyle w:val="15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pStyle w:val="16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0B3"/>
    <w:rsid w:val="000317E8"/>
    <w:rsid w:val="0027048C"/>
    <w:rsid w:val="0032229A"/>
    <w:rsid w:val="004C3CFA"/>
    <w:rsid w:val="00767E35"/>
    <w:rsid w:val="00772D59"/>
    <w:rsid w:val="008C328E"/>
    <w:rsid w:val="009A00B3"/>
    <w:rsid w:val="00C17554"/>
    <w:rsid w:val="00CF2164"/>
    <w:rsid w:val="00F90222"/>
    <w:rsid w:val="04C10622"/>
    <w:rsid w:val="3CD236A7"/>
    <w:rsid w:val="66A1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uiPriority w:val="99"/>
    <w:rPr>
      <w:sz w:val="18"/>
      <w:szCs w:val="18"/>
    </w:rPr>
  </w:style>
  <w:style w:type="character" w:customStyle="1" w:styleId="8">
    <w:name w:val="页脚 Char"/>
    <w:basedOn w:val="6"/>
    <w:link w:val="3"/>
    <w:uiPriority w:val="99"/>
    <w:rPr>
      <w:sz w:val="18"/>
      <w:szCs w:val="18"/>
    </w:rPr>
  </w:style>
  <w:style w:type="character" w:customStyle="1" w:styleId="9">
    <w:name w:val="标题 1 Char"/>
    <w:basedOn w:val="6"/>
    <w:link w:val="2"/>
    <w:uiPriority w:val="9"/>
    <w:rPr>
      <w:b/>
      <w:bCs/>
      <w:kern w:val="44"/>
      <w:sz w:val="44"/>
      <w:szCs w:val="44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paragraph" w:customStyle="1" w:styleId="11">
    <w:name w:val="前言、引言标题"/>
    <w:next w:val="1"/>
    <w:qFormat/>
    <w:uiPriority w:val="0"/>
    <w:pPr>
      <w:numPr>
        <w:ilvl w:val="0"/>
        <w:numId w:val="1"/>
      </w:numPr>
      <w:shd w:val="clear" w:color="FFFFFF" w:fill="FFFFFF"/>
      <w:spacing w:before="640" w:after="560"/>
      <w:jc w:val="center"/>
      <w:outlineLvl w:val="0"/>
    </w:pPr>
    <w:rPr>
      <w:rFonts w:ascii="黑体" w:hAnsi="Times New Roman" w:eastAsia="黑体" w:cs="Times New Roman"/>
      <w:kern w:val="0"/>
      <w:sz w:val="32"/>
      <w:szCs w:val="20"/>
      <w:lang w:val="en-US" w:eastAsia="zh-CN" w:bidi="ar-SA"/>
    </w:rPr>
  </w:style>
  <w:style w:type="paragraph" w:customStyle="1" w:styleId="12">
    <w:name w:val="一级条标题"/>
    <w:basedOn w:val="1"/>
    <w:next w:val="1"/>
    <w:qFormat/>
    <w:uiPriority w:val="0"/>
    <w:pPr>
      <w:widowControl/>
      <w:numPr>
        <w:ilvl w:val="2"/>
        <w:numId w:val="1"/>
      </w:numPr>
      <w:outlineLvl w:val="2"/>
    </w:pPr>
    <w:rPr>
      <w:rFonts w:ascii="黑体" w:hAnsi="Times New Roman" w:eastAsia="黑体" w:cs="Times New Roman"/>
      <w:kern w:val="0"/>
      <w:szCs w:val="20"/>
      <w:lang w:val="zh-CN"/>
    </w:rPr>
  </w:style>
  <w:style w:type="paragraph" w:customStyle="1" w:styleId="13">
    <w:name w:val="二级条标题"/>
    <w:basedOn w:val="12"/>
    <w:next w:val="1"/>
    <w:qFormat/>
    <w:uiPriority w:val="0"/>
    <w:pPr>
      <w:numPr>
        <w:ilvl w:val="3"/>
      </w:numPr>
      <w:outlineLvl w:val="3"/>
    </w:pPr>
  </w:style>
  <w:style w:type="paragraph" w:customStyle="1" w:styleId="14">
    <w:name w:val="三级条标题"/>
    <w:basedOn w:val="13"/>
    <w:next w:val="1"/>
    <w:qFormat/>
    <w:uiPriority w:val="0"/>
    <w:pPr>
      <w:numPr>
        <w:ilvl w:val="4"/>
      </w:numPr>
      <w:outlineLvl w:val="4"/>
    </w:pPr>
  </w:style>
  <w:style w:type="paragraph" w:customStyle="1" w:styleId="15">
    <w:name w:val="四级条标题"/>
    <w:basedOn w:val="14"/>
    <w:next w:val="1"/>
    <w:qFormat/>
    <w:uiPriority w:val="0"/>
    <w:pPr>
      <w:numPr>
        <w:ilvl w:val="5"/>
      </w:numPr>
      <w:outlineLvl w:val="5"/>
    </w:pPr>
  </w:style>
  <w:style w:type="paragraph" w:customStyle="1" w:styleId="16">
    <w:name w:val="五级条标题"/>
    <w:basedOn w:val="15"/>
    <w:next w:val="1"/>
    <w:qFormat/>
    <w:uiPriority w:val="0"/>
    <w:pPr>
      <w:numPr>
        <w:ilvl w:val="6"/>
      </w:numPr>
      <w:outlineLvl w:val="6"/>
    </w:pPr>
  </w:style>
  <w:style w:type="character" w:customStyle="1" w:styleId="17">
    <w:name w:val="表格名称 Char"/>
    <w:link w:val="18"/>
    <w:qFormat/>
    <w:uiPriority w:val="0"/>
    <w:rPr>
      <w:rFonts w:eastAsia="黑体"/>
      <w:sz w:val="18"/>
    </w:rPr>
  </w:style>
  <w:style w:type="paragraph" w:customStyle="1" w:styleId="18">
    <w:name w:val="表格名称"/>
    <w:basedOn w:val="1"/>
    <w:link w:val="17"/>
    <w:qFormat/>
    <w:uiPriority w:val="0"/>
    <w:pPr>
      <w:widowControl/>
      <w:jc w:val="center"/>
    </w:pPr>
    <w:rPr>
      <w:rFonts w:eastAsia="黑体"/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253</Words>
  <Characters>1446</Characters>
  <Lines>12</Lines>
  <Paragraphs>3</Paragraphs>
  <TotalTime>0</TotalTime>
  <ScaleCrop>false</ScaleCrop>
  <LinksUpToDate>false</LinksUpToDate>
  <CharactersWithSpaces>1696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2026-05-15T03:34:00Z</dcterms:created>
  <dc:creator>微软用户</dc:creator>
  <cp:lastModifiedBy>陈晓</cp:lastModifiedBy>
  <dcterms:modified xsi:type="dcterms:W3CDTF">2026-05-25T01:25:18Z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2BCBD63244964CA5AE61AB8465899EC4_13</vt:lpwstr>
  </property>
</Properties>
</file>