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before="100" w:beforeLines="0" w:beforeAutospacing="1" w:after="100" w:afterLines="0" w:afterAutospacing="1" w:line="300" w:lineRule="auto"/>
        <w:ind w:firstLine="560" w:firstLineChars="200"/>
        <w:jc w:val="center"/>
        <w:rPr>
          <w:rFonts w:hint="eastAsia"/>
          <w:snapToGrid w:val="0"/>
          <w:kern w:val="0"/>
          <w:sz w:val="28"/>
          <w:szCs w:val="28"/>
        </w:rPr>
      </w:pPr>
    </w:p>
    <w:p>
      <w:pPr>
        <w:snapToGrid w:val="0"/>
        <w:spacing w:before="100" w:beforeLines="0" w:beforeAutospacing="1" w:after="100" w:afterLines="0" w:afterAutospacing="1" w:line="300" w:lineRule="auto"/>
        <w:ind w:firstLine="560" w:firstLineChars="200"/>
        <w:jc w:val="center"/>
        <w:rPr>
          <w:rFonts w:hint="eastAsia"/>
          <w:snapToGrid w:val="0"/>
          <w:kern w:val="0"/>
          <w:sz w:val="28"/>
          <w:szCs w:val="28"/>
        </w:rPr>
      </w:pPr>
    </w:p>
    <w:p>
      <w:pPr>
        <w:snapToGrid w:val="0"/>
        <w:spacing w:before="100" w:beforeLines="0" w:beforeAutospacing="1" w:after="100" w:afterLines="0" w:afterAutospacing="1" w:line="300" w:lineRule="auto"/>
        <w:jc w:val="center"/>
        <w:rPr>
          <w:rFonts w:hint="eastAsia" w:ascii="黑体" w:hAnsi="黑体" w:eastAsia="黑体" w:cs="黑体"/>
          <w:b/>
          <w:bCs/>
          <w:snapToGrid w:val="0"/>
          <w:kern w:val="0"/>
          <w:sz w:val="44"/>
          <w:szCs w:val="44"/>
        </w:rPr>
      </w:pPr>
      <w:r>
        <w:rPr>
          <w:rFonts w:hint="eastAsia" w:ascii="黑体" w:hAnsi="黑体" w:eastAsia="黑体" w:cs="黑体"/>
          <w:b/>
          <w:bCs/>
          <w:snapToGrid w:val="0"/>
          <w:kern w:val="0"/>
          <w:sz w:val="44"/>
          <w:szCs w:val="44"/>
        </w:rPr>
        <w:t>钦州供电局本部2026年档案室密集架采购</w:t>
      </w:r>
    </w:p>
    <w:p>
      <w:pPr>
        <w:snapToGrid w:val="0"/>
        <w:spacing w:before="100" w:beforeLines="0" w:beforeAutospacing="1" w:after="100" w:afterLines="0" w:afterAutospacing="1" w:line="300" w:lineRule="auto"/>
        <w:jc w:val="center"/>
        <w:rPr>
          <w:rFonts w:hint="eastAsia" w:ascii="黑体" w:hAnsi="黑体" w:eastAsia="黑体" w:cs="黑体"/>
          <w:b/>
          <w:bCs/>
          <w:snapToGrid w:val="0"/>
          <w:kern w:val="0"/>
          <w:sz w:val="44"/>
          <w:szCs w:val="44"/>
        </w:rPr>
      </w:pPr>
      <w:r>
        <w:rPr>
          <w:rFonts w:hint="eastAsia" w:ascii="黑体" w:hAnsi="黑体" w:eastAsia="黑体" w:cs="黑体"/>
          <w:b/>
          <w:bCs/>
          <w:snapToGrid w:val="0"/>
          <w:kern w:val="0"/>
          <w:sz w:val="44"/>
          <w:szCs w:val="44"/>
        </w:rPr>
        <w:t>项目技术规范书</w:t>
      </w:r>
    </w:p>
    <w:p>
      <w:pPr>
        <w:snapToGrid w:val="0"/>
        <w:spacing w:before="100" w:beforeLines="0" w:beforeAutospacing="1" w:after="100" w:afterLines="0" w:afterAutospacing="1" w:line="300" w:lineRule="auto"/>
        <w:jc w:val="center"/>
        <w:rPr>
          <w:rFonts w:hint="eastAsia"/>
          <w:snapToGrid w:val="0"/>
          <w:kern w:val="0"/>
          <w:sz w:val="48"/>
          <w:szCs w:val="48"/>
        </w:rPr>
      </w:pPr>
    </w:p>
    <w:p>
      <w:pPr>
        <w:snapToGrid w:val="0"/>
        <w:spacing w:before="100" w:beforeLines="0" w:beforeAutospacing="1" w:after="100" w:afterLines="0" w:afterAutospacing="1" w:line="300" w:lineRule="auto"/>
        <w:ind w:firstLine="964" w:firstLineChars="200"/>
        <w:jc w:val="center"/>
        <w:rPr>
          <w:rFonts w:hint="eastAsia"/>
          <w:b/>
          <w:snapToGrid w:val="0"/>
          <w:kern w:val="0"/>
          <w:sz w:val="48"/>
          <w:szCs w:val="48"/>
        </w:rPr>
      </w:pPr>
    </w:p>
    <w:p>
      <w:pPr>
        <w:pStyle w:val="22"/>
        <w:rPr>
          <w:rFonts w:hint="eastAsia"/>
          <w:b/>
          <w:snapToGrid w:val="0"/>
          <w:kern w:val="0"/>
          <w:sz w:val="48"/>
          <w:szCs w:val="48"/>
        </w:rPr>
      </w:pPr>
    </w:p>
    <w:p>
      <w:pPr>
        <w:rPr>
          <w:rFonts w:hint="eastAsia"/>
          <w:b/>
          <w:snapToGrid w:val="0"/>
          <w:kern w:val="0"/>
          <w:sz w:val="48"/>
          <w:szCs w:val="48"/>
        </w:rPr>
      </w:pPr>
    </w:p>
    <w:p>
      <w:pPr>
        <w:pStyle w:val="22"/>
        <w:rPr>
          <w:rFonts w:hint="eastAsia"/>
          <w:b/>
          <w:snapToGrid w:val="0"/>
          <w:kern w:val="0"/>
          <w:sz w:val="48"/>
          <w:szCs w:val="48"/>
        </w:rPr>
      </w:pPr>
    </w:p>
    <w:p>
      <w:pPr>
        <w:rPr>
          <w:rFonts w:hint="eastAsia"/>
          <w:b/>
          <w:snapToGrid w:val="0"/>
          <w:kern w:val="0"/>
          <w:sz w:val="48"/>
          <w:szCs w:val="48"/>
        </w:rPr>
      </w:pPr>
    </w:p>
    <w:p>
      <w:pPr>
        <w:pStyle w:val="22"/>
        <w:rPr>
          <w:rFonts w:hint="eastAsia"/>
        </w:rPr>
      </w:pPr>
    </w:p>
    <w:p>
      <w:pPr>
        <w:snapToGrid w:val="0"/>
        <w:spacing w:before="100" w:beforeLines="0" w:beforeAutospacing="1" w:after="100" w:afterLines="0" w:afterAutospacing="1" w:line="300" w:lineRule="auto"/>
        <w:ind w:firstLine="560" w:firstLineChars="200"/>
        <w:rPr>
          <w:rFonts w:hint="eastAsia"/>
          <w:snapToGrid w:val="0"/>
          <w:kern w:val="0"/>
          <w:sz w:val="28"/>
          <w:szCs w:val="28"/>
        </w:rPr>
      </w:pPr>
    </w:p>
    <w:p>
      <w:pPr>
        <w:snapToGrid w:val="0"/>
        <w:spacing w:before="100" w:beforeLines="0" w:beforeAutospacing="1" w:after="100" w:afterLines="0" w:afterAutospacing="1" w:line="300" w:lineRule="auto"/>
        <w:ind w:firstLine="560" w:firstLineChars="200"/>
        <w:rPr>
          <w:rFonts w:hint="eastAsia"/>
          <w:snapToGrid w:val="0"/>
          <w:kern w:val="0"/>
          <w:sz w:val="28"/>
          <w:szCs w:val="28"/>
        </w:rPr>
      </w:pPr>
    </w:p>
    <w:p>
      <w:pPr>
        <w:snapToGrid w:val="0"/>
        <w:spacing w:before="100" w:beforeLines="0" w:beforeAutospacing="1" w:after="100" w:afterLines="0" w:afterAutospacing="1" w:line="300" w:lineRule="auto"/>
        <w:ind w:firstLine="560" w:firstLineChars="200"/>
        <w:rPr>
          <w:rFonts w:hint="eastAsia"/>
          <w:snapToGrid w:val="0"/>
          <w:kern w:val="0"/>
          <w:sz w:val="28"/>
          <w:szCs w:val="28"/>
        </w:rPr>
      </w:pPr>
    </w:p>
    <w:p>
      <w:pPr>
        <w:snapToGrid w:val="0"/>
        <w:spacing w:before="100" w:beforeLines="0" w:beforeAutospacing="1" w:after="100" w:afterLines="0" w:afterAutospacing="1" w:line="300" w:lineRule="auto"/>
        <w:ind w:firstLine="2520" w:firstLineChars="900"/>
        <w:rPr>
          <w:rFonts w:hint="default" w:eastAsia="宋体"/>
          <w:snapToGrid w:val="0"/>
          <w:kern w:val="0"/>
          <w:sz w:val="28"/>
          <w:szCs w:val="28"/>
          <w:lang w:val="en-US" w:eastAsia="zh-CN"/>
        </w:rPr>
      </w:pPr>
      <w:r>
        <w:rPr>
          <w:rFonts w:hint="eastAsia"/>
          <w:snapToGrid w:val="0"/>
          <w:kern w:val="0"/>
          <w:sz w:val="28"/>
          <w:szCs w:val="28"/>
          <w:lang w:val="en-US" w:eastAsia="zh-CN"/>
        </w:rPr>
        <w:t>广西电网有限责任公司钦州供电局</w:t>
      </w:r>
    </w:p>
    <w:p>
      <w:pPr>
        <w:ind w:firstLine="3920" w:firstLineChars="1400"/>
        <w:jc w:val="both"/>
        <w:rPr>
          <w:rFonts w:hint="eastAsia" w:ascii="宋体" w:hAnsi="宋体" w:eastAsia="宋体" w:cs="宋体"/>
          <w:sz w:val="32"/>
          <w:szCs w:val="32"/>
          <w:highlight w:val="none"/>
          <w:lang w:val="en-US" w:eastAsia="zh-CN"/>
        </w:rPr>
      </w:pPr>
      <w:r>
        <w:rPr>
          <w:rFonts w:hint="eastAsia" w:ascii="宋体" w:hAnsi="宋体" w:eastAsia="宋体" w:cs="宋体"/>
          <w:sz w:val="28"/>
          <w:szCs w:val="28"/>
          <w:highlight w:val="none"/>
          <w:lang w:val="en-US" w:eastAsia="zh-CN"/>
        </w:rPr>
        <w:t>2026年3月</w:t>
      </w:r>
    </w:p>
    <w:p>
      <w:pPr>
        <w:snapToGrid w:val="0"/>
        <w:spacing w:before="100" w:beforeLines="0" w:beforeAutospacing="1" w:after="100" w:afterLines="0" w:afterAutospacing="1" w:line="300" w:lineRule="auto"/>
        <w:ind w:firstLine="560" w:firstLineChars="200"/>
        <w:rPr>
          <w:rFonts w:hint="eastAsia"/>
          <w:snapToGrid w:val="0"/>
          <w:kern w:val="0"/>
          <w:sz w:val="28"/>
          <w:szCs w:val="28"/>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firstLineChars="200"/>
        <w:textAlignment w:val="auto"/>
        <w:rPr>
          <w:rFonts w:hint="eastAsia" w:ascii="宋体" w:hAnsi="宋体" w:eastAsia="宋体" w:cs="宋体"/>
          <w:b/>
          <w:bCs w:val="0"/>
          <w:color w:val="auto"/>
          <w:sz w:val="24"/>
          <w:szCs w:val="24"/>
          <w:highlight w:val="none"/>
        </w:rPr>
      </w:pPr>
      <w:r>
        <w:rPr>
          <w:b/>
          <w:snapToGrid w:val="0"/>
          <w:color w:val="000000"/>
          <w:kern w:val="0"/>
          <w:sz w:val="32"/>
          <w:szCs w:val="32"/>
        </w:rPr>
        <w:br w:type="page"/>
      </w:r>
      <w:r>
        <w:rPr>
          <w:rFonts w:hint="eastAsia" w:ascii="宋体" w:hAnsi="宋体" w:eastAsia="宋体" w:cs="宋体"/>
          <w:b/>
          <w:snapToGrid w:val="0"/>
          <w:color w:val="000000"/>
          <w:kern w:val="0"/>
          <w:sz w:val="24"/>
          <w:szCs w:val="24"/>
          <w:lang w:val="en-US" w:eastAsia="zh-CN"/>
        </w:rPr>
        <w:t>1.</w:t>
      </w:r>
      <w:r>
        <w:rPr>
          <w:rFonts w:hint="eastAsia" w:ascii="宋体" w:hAnsi="宋体" w:eastAsia="宋体" w:cs="宋体"/>
          <w:b/>
          <w:bCs w:val="0"/>
          <w:color w:val="auto"/>
          <w:sz w:val="24"/>
          <w:szCs w:val="24"/>
          <w:highlight w:val="none"/>
        </w:rPr>
        <w:t>总则</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本规范书适用于</w:t>
      </w:r>
      <w:r>
        <w:rPr>
          <w:rFonts w:hint="eastAsia" w:ascii="宋体" w:hAnsi="宋体" w:eastAsia="宋体" w:cs="宋体"/>
          <w:color w:val="auto"/>
          <w:sz w:val="24"/>
          <w:szCs w:val="24"/>
          <w:highlight w:val="none"/>
          <w:lang w:val="en-US" w:eastAsia="zh-CN"/>
        </w:rPr>
        <w:t>钦州供电局本部2026年档案室密集架采购项目</w:t>
      </w:r>
      <w:r>
        <w:rPr>
          <w:rFonts w:hint="eastAsia" w:ascii="宋体" w:hAnsi="宋体" w:eastAsia="宋体" w:cs="宋体"/>
          <w:color w:val="auto"/>
          <w:sz w:val="24"/>
          <w:szCs w:val="24"/>
          <w:highlight w:val="none"/>
        </w:rPr>
        <w:t>的技术性能、要求等。</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本规范书中提出的是最低限度的技术要求，并未对一切技术细节作出规定，也未充分引述有关的技术标准和规范的条文，</w:t>
      </w:r>
      <w:r>
        <w:rPr>
          <w:rFonts w:hint="eastAsia" w:ascii="宋体" w:hAnsi="宋体" w:eastAsia="宋体" w:cs="宋体"/>
          <w:color w:val="auto"/>
          <w:sz w:val="24"/>
          <w:szCs w:val="24"/>
          <w:highlight w:val="none"/>
          <w:lang w:eastAsia="zh-CN"/>
        </w:rPr>
        <w:t>投标方</w:t>
      </w:r>
      <w:r>
        <w:rPr>
          <w:rFonts w:hint="eastAsia" w:ascii="宋体" w:hAnsi="宋体" w:eastAsia="宋体" w:cs="宋体"/>
          <w:color w:val="auto"/>
          <w:sz w:val="24"/>
          <w:szCs w:val="24"/>
          <w:highlight w:val="none"/>
        </w:rPr>
        <w:t>应提供符合本规范书和国家标准要求的高质量产品。</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如果投标方没有以书面形式对本招标文件技术规范的条文提出差异，则意味着投标方提供的服务完全符合本招标文件的要求。若有与本招标文件要求不一致的地方，必须逐项在“技术差异表”中列出。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本规范书经供需双方确认后作为订货合同的技术附件，与合同正文具有同等法律效力。</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color w:val="auto"/>
          <w:sz w:val="24"/>
          <w:szCs w:val="24"/>
          <w:highlight w:val="none"/>
        </w:rPr>
      </w:pP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本规范书未尽事宜，由供需双方协商确定。</w:t>
      </w:r>
      <w:bookmarkStart w:id="8" w:name="_GoBack"/>
      <w:bookmarkEnd w:id="8"/>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2" w:firstLineChars="200"/>
        <w:textAlignment w:val="auto"/>
        <w:rPr>
          <w:rFonts w:hint="eastAsia" w:ascii="宋体" w:hAnsi="宋体" w:eastAsia="宋体" w:cs="宋体"/>
          <w:b/>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2" w:firstLineChars="200"/>
        <w:textAlignment w:val="auto"/>
        <w:rPr>
          <w:rFonts w:hint="eastAsia" w:ascii="宋体" w:hAnsi="宋体" w:eastAsia="宋体" w:cs="宋体"/>
          <w:b/>
          <w:sz w:val="24"/>
          <w:szCs w:val="24"/>
          <w:lang w:eastAsia="zh-CN"/>
        </w:rPr>
      </w:pPr>
      <w:r>
        <w:rPr>
          <w:rFonts w:hint="eastAsia" w:ascii="宋体" w:hAnsi="宋体" w:eastAsia="宋体" w:cs="宋体"/>
          <w:b/>
          <w:sz w:val="24"/>
          <w:szCs w:val="24"/>
          <w:lang w:val="en-US" w:eastAsia="zh-CN"/>
        </w:rPr>
        <w:t>2.</w:t>
      </w:r>
      <w:r>
        <w:rPr>
          <w:rFonts w:hint="eastAsia" w:ascii="宋体" w:hAnsi="宋体" w:eastAsia="宋体" w:cs="宋体"/>
          <w:b/>
          <w:bCs/>
          <w:kern w:val="0"/>
          <w:sz w:val="24"/>
          <w:szCs w:val="24"/>
        </w:rPr>
        <w:t>项目</w:t>
      </w:r>
      <w:r>
        <w:rPr>
          <w:rFonts w:hint="eastAsia" w:ascii="宋体" w:hAnsi="宋体" w:eastAsia="宋体" w:cs="宋体"/>
          <w:b/>
          <w:bCs/>
          <w:kern w:val="0"/>
          <w:sz w:val="24"/>
          <w:szCs w:val="24"/>
          <w:lang w:eastAsia="zh-CN"/>
        </w:rPr>
        <w:t>设备</w:t>
      </w:r>
      <w:r>
        <w:rPr>
          <w:rFonts w:hint="eastAsia" w:ascii="宋体" w:hAnsi="宋体" w:eastAsia="宋体" w:cs="宋体"/>
          <w:b/>
          <w:bCs/>
          <w:kern w:val="0"/>
          <w:sz w:val="24"/>
          <w:szCs w:val="24"/>
        </w:rPr>
        <w:t>名称</w:t>
      </w:r>
      <w:r>
        <w:rPr>
          <w:rFonts w:hint="eastAsia" w:ascii="宋体" w:hAnsi="宋体" w:eastAsia="宋体" w:cs="宋体"/>
          <w:b/>
          <w:sz w:val="24"/>
          <w:szCs w:val="24"/>
          <w:lang w:eastAsia="zh-CN"/>
        </w:rPr>
        <w:t>和</w:t>
      </w:r>
      <w:r>
        <w:rPr>
          <w:rFonts w:hint="eastAsia" w:ascii="宋体" w:hAnsi="宋体" w:eastAsia="宋体" w:cs="宋体"/>
          <w:b/>
          <w:sz w:val="24"/>
          <w:szCs w:val="24"/>
        </w:rPr>
        <w:t>规格</w:t>
      </w:r>
      <w:r>
        <w:rPr>
          <w:rFonts w:hint="eastAsia" w:ascii="宋体" w:hAnsi="宋体" w:eastAsia="宋体" w:cs="宋体"/>
          <w:b/>
          <w:sz w:val="24"/>
          <w:szCs w:val="24"/>
          <w:lang w:eastAsia="zh-CN"/>
        </w:rPr>
        <w:t>要求</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b w:val="0"/>
          <w:bCs w:val="0"/>
          <w:sz w:val="24"/>
          <w:szCs w:val="24"/>
          <w:lang w:eastAsia="zh-CN"/>
        </w:rPr>
      </w:pPr>
      <w:r>
        <w:rPr>
          <w:rFonts w:hint="eastAsia" w:ascii="宋体" w:hAnsi="宋体" w:eastAsia="宋体" w:cs="宋体"/>
          <w:b w:val="0"/>
          <w:bCs w:val="0"/>
          <w:sz w:val="24"/>
          <w:szCs w:val="24"/>
          <w:lang w:val="en-US" w:eastAsia="zh-CN"/>
        </w:rPr>
        <w:t>1）</w:t>
      </w:r>
      <w:r>
        <w:rPr>
          <w:rFonts w:hint="eastAsia" w:ascii="宋体" w:hAnsi="宋体" w:eastAsia="宋体" w:cs="宋体"/>
          <w:b w:val="0"/>
          <w:bCs w:val="0"/>
          <w:i w:val="0"/>
          <w:iCs w:val="0"/>
          <w:color w:val="auto"/>
          <w:kern w:val="0"/>
          <w:sz w:val="24"/>
          <w:szCs w:val="24"/>
          <w:u w:val="none"/>
          <w:lang w:val="en-US" w:eastAsia="zh-CN" w:bidi="ar"/>
        </w:rPr>
        <w:t>密集架：长3600*宽600*高2200</w:t>
      </w:r>
      <w:r>
        <w:rPr>
          <w:rFonts w:hint="eastAsia" w:ascii="宋体" w:hAnsi="宋体" w:eastAsia="宋体" w:cs="宋体"/>
          <w:b w:val="0"/>
          <w:bCs w:val="0"/>
          <w:sz w:val="24"/>
          <w:szCs w:val="24"/>
          <w:lang w:val="en-US" w:eastAsia="zh-CN"/>
        </w:rPr>
        <w:t>*10</w:t>
      </w:r>
      <w:r>
        <w:rPr>
          <w:rFonts w:hint="eastAsia" w:ascii="宋体" w:hAnsi="宋体" w:eastAsia="宋体" w:cs="宋体"/>
          <w:b w:val="0"/>
          <w:bCs w:val="0"/>
          <w:sz w:val="24"/>
          <w:szCs w:val="24"/>
        </w:rPr>
        <w:t>列</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每列4组，每组5层，双面存放</w:t>
      </w:r>
      <w:r>
        <w:rPr>
          <w:rFonts w:hint="eastAsia" w:ascii="宋体" w:hAnsi="宋体" w:eastAsia="宋体" w:cs="宋体"/>
          <w:b w:val="0"/>
          <w:bCs w:val="0"/>
          <w:sz w:val="24"/>
          <w:szCs w:val="24"/>
        </w:rPr>
        <w:t>结构</w:t>
      </w:r>
      <w:r>
        <w:rPr>
          <w:rFonts w:hint="eastAsia" w:ascii="宋体" w:hAnsi="宋体" w:eastAsia="宋体" w:cs="宋体"/>
          <w:b w:val="0"/>
          <w:bCs w:val="0"/>
          <w:sz w:val="24"/>
          <w:szCs w:val="24"/>
          <w:lang w:eastAsia="zh-CN"/>
        </w:rPr>
        <w:t>。</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sz w:val="24"/>
          <w:szCs w:val="24"/>
          <w:lang w:val="en-US" w:eastAsia="zh-CN"/>
        </w:rPr>
        <w:t>2）</w:t>
      </w:r>
      <w:r>
        <w:rPr>
          <w:rFonts w:hint="eastAsia" w:ascii="宋体" w:hAnsi="宋体" w:eastAsia="宋体" w:cs="宋体"/>
          <w:b w:val="0"/>
          <w:bCs w:val="0"/>
          <w:i w:val="0"/>
          <w:iCs w:val="0"/>
          <w:color w:val="auto"/>
          <w:kern w:val="0"/>
          <w:sz w:val="24"/>
          <w:szCs w:val="24"/>
          <w:u w:val="none"/>
          <w:lang w:val="en-US" w:eastAsia="zh-CN" w:bidi="ar"/>
        </w:rPr>
        <w:t>智能密集架软件管理系统：1套</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sz w:val="24"/>
          <w:szCs w:val="24"/>
          <w:lang w:val="en-US" w:eastAsia="zh-CN"/>
        </w:rPr>
        <w:t>3）固定（奖牌、奖杯荣誉)</w:t>
      </w:r>
      <w:r>
        <w:rPr>
          <w:rFonts w:hint="eastAsia" w:ascii="宋体" w:hAnsi="宋体" w:eastAsia="宋体" w:cs="宋体"/>
          <w:b w:val="0"/>
          <w:bCs w:val="0"/>
          <w:i w:val="0"/>
          <w:iCs w:val="0"/>
          <w:color w:val="auto"/>
          <w:kern w:val="0"/>
          <w:sz w:val="24"/>
          <w:szCs w:val="24"/>
          <w:u w:val="none"/>
          <w:lang w:val="en-US" w:eastAsia="zh-CN" w:bidi="ar"/>
        </w:rPr>
        <w:t>密集架</w:t>
      </w:r>
      <w:r>
        <w:rPr>
          <w:rFonts w:hint="eastAsia" w:ascii="宋体" w:hAnsi="宋体" w:eastAsia="宋体" w:cs="宋体"/>
          <w:b w:val="0"/>
          <w:bCs w:val="0"/>
          <w:snapToGrid w:val="0"/>
          <w:color w:val="auto"/>
          <w:kern w:val="0"/>
          <w:sz w:val="24"/>
          <w:szCs w:val="24"/>
          <w:lang w:eastAsia="zh-CN"/>
        </w:rPr>
        <w:t>；</w:t>
      </w:r>
      <w:r>
        <w:rPr>
          <w:rFonts w:hint="eastAsia" w:ascii="宋体" w:hAnsi="宋体" w:eastAsia="宋体" w:cs="宋体"/>
          <w:b w:val="0"/>
          <w:bCs w:val="0"/>
          <w:i w:val="0"/>
          <w:iCs w:val="0"/>
          <w:color w:val="auto"/>
          <w:kern w:val="0"/>
          <w:sz w:val="24"/>
          <w:szCs w:val="24"/>
          <w:u w:val="none"/>
          <w:lang w:val="en-US" w:eastAsia="zh-CN" w:bidi="ar"/>
        </w:rPr>
        <w:t>长4000*宽600*高1900</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列</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每列4组，每组4层，单面靠墙，配玻璃门。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default" w:ascii="宋体" w:hAnsi="宋体" w:eastAsia="宋体" w:cs="宋体"/>
          <w:b w:val="0"/>
          <w:bCs w:val="0"/>
          <w:i w:val="0"/>
          <w:iCs w:val="0"/>
          <w:color w:val="auto"/>
          <w:kern w:val="0"/>
          <w:sz w:val="24"/>
          <w:szCs w:val="24"/>
          <w:u w:val="none"/>
          <w:lang w:val="en-US" w:eastAsia="zh-CN" w:bidi="ar"/>
        </w:rPr>
      </w:pPr>
      <w:r>
        <w:rPr>
          <w:rFonts w:hint="eastAsia" w:ascii="宋体" w:hAnsi="宋体" w:eastAsia="宋体" w:cs="宋体"/>
          <w:sz w:val="24"/>
          <w:szCs w:val="24"/>
          <w:lang w:val="en-US" w:eastAsia="zh-CN"/>
        </w:rPr>
        <w:t>4）固定（奖牌、奖杯荣誉)</w:t>
      </w:r>
      <w:r>
        <w:rPr>
          <w:rFonts w:hint="eastAsia" w:ascii="宋体" w:hAnsi="宋体" w:eastAsia="宋体" w:cs="宋体"/>
          <w:b w:val="0"/>
          <w:bCs w:val="0"/>
          <w:i w:val="0"/>
          <w:iCs w:val="0"/>
          <w:color w:val="auto"/>
          <w:kern w:val="0"/>
          <w:sz w:val="24"/>
          <w:szCs w:val="24"/>
          <w:u w:val="none"/>
          <w:lang w:val="en-US" w:eastAsia="zh-CN" w:bidi="ar"/>
        </w:rPr>
        <w:t>密集架</w:t>
      </w:r>
      <w:r>
        <w:rPr>
          <w:rFonts w:hint="eastAsia" w:ascii="宋体" w:hAnsi="宋体" w:eastAsia="宋体" w:cs="宋体"/>
          <w:b w:val="0"/>
          <w:bCs w:val="0"/>
          <w:snapToGrid w:val="0"/>
          <w:color w:val="auto"/>
          <w:kern w:val="0"/>
          <w:sz w:val="24"/>
          <w:szCs w:val="24"/>
          <w:lang w:eastAsia="zh-CN"/>
        </w:rPr>
        <w:t>；</w:t>
      </w:r>
      <w:r>
        <w:rPr>
          <w:rFonts w:hint="eastAsia" w:ascii="宋体" w:hAnsi="宋体" w:eastAsia="宋体" w:cs="宋体"/>
          <w:b w:val="0"/>
          <w:bCs w:val="0"/>
          <w:i w:val="0"/>
          <w:iCs w:val="0"/>
          <w:color w:val="auto"/>
          <w:kern w:val="0"/>
          <w:sz w:val="24"/>
          <w:szCs w:val="24"/>
          <w:u w:val="none"/>
          <w:lang w:val="en-US" w:eastAsia="zh-CN" w:bidi="ar"/>
        </w:rPr>
        <w:t>长5000*宽600*高1900</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列</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每列5组，每组4层，单面靠墙，配玻璃门。</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firstLine="480" w:firstLineChars="200"/>
        <w:textAlignment w:val="auto"/>
        <w:rPr>
          <w:rFonts w:hint="eastAsia" w:ascii="宋体" w:hAnsi="宋体" w:eastAsia="宋体" w:cs="宋体"/>
          <w:b w:val="0"/>
          <w:bCs w:val="0"/>
          <w:i w:val="0"/>
          <w:iCs w:val="0"/>
          <w:color w:val="auto"/>
          <w:kern w:val="0"/>
          <w:sz w:val="24"/>
          <w:szCs w:val="24"/>
          <w:u w:val="none"/>
          <w:lang w:val="en-US" w:eastAsia="zh-CN" w:bidi="ar"/>
        </w:rPr>
      </w:pPr>
    </w:p>
    <w:p>
      <w:pPr>
        <w:pStyle w:val="3"/>
        <w:pageBreakBefore w:val="0"/>
        <w:widowControl w:val="0"/>
        <w:numPr>
          <w:ilvl w:val="1"/>
          <w:numId w:val="0"/>
        </w:numPr>
        <w:kinsoku/>
        <w:wordWrap/>
        <w:overflowPunct/>
        <w:topLinePunct w:val="0"/>
        <w:autoSpaceDE/>
        <w:autoSpaceDN/>
        <w:bidi w:val="0"/>
        <w:spacing w:before="0" w:beforeLines="0" w:beforeAutospacing="0" w:after="0" w:afterLines="0" w:afterAutospacing="0" w:line="360" w:lineRule="auto"/>
        <w:ind w:left="0" w:firstLine="482" w:firstLineChars="200"/>
        <w:rPr>
          <w:rFonts w:hint="eastAsia" w:ascii="宋体" w:hAnsi="宋体" w:eastAsia="宋体" w:cs="宋体"/>
          <w:color w:val="auto"/>
          <w:sz w:val="24"/>
          <w:szCs w:val="24"/>
        </w:rPr>
      </w:pPr>
      <w:bookmarkStart w:id="0" w:name="_Toc479145853"/>
      <w:r>
        <w:rPr>
          <w:rFonts w:hint="eastAsia" w:ascii="宋体" w:hAnsi="宋体" w:eastAsia="宋体" w:cs="宋体"/>
          <w:color w:val="auto"/>
          <w:sz w:val="24"/>
          <w:szCs w:val="24"/>
        </w:rPr>
        <w:t>3. 技术要求</w:t>
      </w:r>
      <w:bookmarkEnd w:id="0"/>
    </w:p>
    <w:p>
      <w:pPr>
        <w:pageBreakBefore w:val="0"/>
        <w:widowControl w:val="0"/>
        <w:tabs>
          <w:tab w:val="left" w:pos="567"/>
          <w:tab w:val="left" w:pos="1266"/>
        </w:tabs>
        <w:kinsoku/>
        <w:wordWrap/>
        <w:overflowPunct/>
        <w:topLinePunct w:val="0"/>
        <w:autoSpaceDE/>
        <w:autoSpaceDN/>
        <w:bidi w:val="0"/>
        <w:snapToGrid w:val="0"/>
        <w:spacing w:beforeAutospacing="0" w:afterAutospacing="0" w:line="360" w:lineRule="auto"/>
        <w:ind w:left="0" w:firstLine="482" w:firstLineChars="200"/>
        <w:rPr>
          <w:rFonts w:hint="eastAsia" w:ascii="宋体" w:hAnsi="宋体" w:eastAsia="宋体" w:cs="宋体"/>
          <w:b/>
          <w:bCs w:val="0"/>
          <w:snapToGrid w:val="0"/>
          <w:color w:val="auto"/>
          <w:kern w:val="0"/>
          <w:sz w:val="24"/>
          <w:szCs w:val="24"/>
        </w:rPr>
      </w:pPr>
      <w:r>
        <w:rPr>
          <w:rFonts w:hint="eastAsia" w:ascii="宋体" w:hAnsi="宋体" w:eastAsia="宋体" w:cs="宋体"/>
          <w:b/>
          <w:bCs w:val="0"/>
          <w:snapToGrid w:val="0"/>
          <w:color w:val="auto"/>
          <w:kern w:val="0"/>
          <w:sz w:val="24"/>
          <w:szCs w:val="24"/>
        </w:rPr>
        <w:t xml:space="preserve">3.1 </w:t>
      </w:r>
      <w:r>
        <w:rPr>
          <w:rFonts w:hint="eastAsia" w:ascii="宋体" w:hAnsi="宋体" w:eastAsia="宋体" w:cs="宋体"/>
          <w:b/>
          <w:bCs w:val="0"/>
          <w:color w:val="auto"/>
          <w:sz w:val="24"/>
          <w:szCs w:val="24"/>
          <w:lang w:eastAsia="zh-CN"/>
        </w:rPr>
        <w:t>密集</w:t>
      </w:r>
      <w:r>
        <w:rPr>
          <w:rFonts w:hint="eastAsia" w:ascii="宋体" w:hAnsi="宋体" w:eastAsia="宋体" w:cs="宋体"/>
          <w:b/>
          <w:bCs w:val="0"/>
          <w:color w:val="auto"/>
          <w:sz w:val="24"/>
          <w:szCs w:val="24"/>
          <w:lang w:val="en-US" w:eastAsia="zh-CN"/>
        </w:rPr>
        <w:t>架</w:t>
      </w:r>
      <w:r>
        <w:rPr>
          <w:rFonts w:hint="eastAsia" w:ascii="宋体" w:hAnsi="宋体" w:eastAsia="宋体" w:cs="宋体"/>
          <w:b/>
          <w:bCs w:val="0"/>
          <w:snapToGrid w:val="0"/>
          <w:color w:val="auto"/>
          <w:kern w:val="0"/>
          <w:sz w:val="24"/>
          <w:szCs w:val="24"/>
        </w:rPr>
        <w:t>技术要求：</w:t>
      </w:r>
    </w:p>
    <w:p>
      <w:pPr>
        <w:pStyle w:val="13"/>
        <w:numPr>
          <w:ilvl w:val="0"/>
          <w:numId w:val="0"/>
        </w:numPr>
        <w:outlineLvl w:val="1"/>
        <w:rPr>
          <w:rFonts w:hint="eastAsia" w:ascii="仿宋" w:hAnsi="仿宋" w:eastAsia="仿宋" w:cs="仿宋"/>
          <w:b/>
          <w:bCs/>
          <w:sz w:val="28"/>
          <w:szCs w:val="28"/>
          <w:lang w:val="en-US" w:eastAsia="zh-CN"/>
        </w:rPr>
      </w:pPr>
      <w:bookmarkStart w:id="1" w:name="_Toc30737"/>
      <w:r>
        <w:rPr>
          <w:rFonts w:hint="eastAsia" w:ascii="仿宋" w:hAnsi="仿宋" w:eastAsia="仿宋" w:cs="仿宋"/>
          <w:b/>
          <w:bCs/>
          <w:sz w:val="28"/>
          <w:szCs w:val="28"/>
          <w:lang w:val="en-US" w:eastAsia="zh-CN"/>
        </w:rPr>
        <w:t>3.1.1设备参数（密集架）</w:t>
      </w:r>
      <w:bookmarkEnd w:id="1"/>
    </w:p>
    <w:tbl>
      <w:tblPr>
        <w:tblStyle w:val="23"/>
        <w:tblW w:w="9420" w:type="dxa"/>
        <w:jc w:val="center"/>
        <w:tblLayout w:type="fixed"/>
        <w:tblCellMar>
          <w:top w:w="0" w:type="dxa"/>
          <w:left w:w="108" w:type="dxa"/>
          <w:bottom w:w="0" w:type="dxa"/>
          <w:right w:w="108" w:type="dxa"/>
        </w:tblCellMar>
      </w:tblPr>
      <w:tblGrid>
        <w:gridCol w:w="803"/>
        <w:gridCol w:w="1471"/>
        <w:gridCol w:w="4591"/>
        <w:gridCol w:w="571"/>
        <w:gridCol w:w="897"/>
        <w:gridCol w:w="1087"/>
      </w:tblGrid>
      <w:tr>
        <w:tblPrEx>
          <w:tblCellMar>
            <w:top w:w="0" w:type="dxa"/>
            <w:left w:w="108" w:type="dxa"/>
            <w:bottom w:w="0" w:type="dxa"/>
            <w:right w:w="108" w:type="dxa"/>
          </w:tblCellMar>
        </w:tblPrEx>
        <w:trPr>
          <w:trHeight w:val="0" w:hRule="atLeast"/>
          <w:jc w:val="center"/>
        </w:trPr>
        <w:tc>
          <w:tcPr>
            <w:tcW w:w="8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both"/>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序号</w:t>
            </w:r>
          </w:p>
        </w:tc>
        <w:tc>
          <w:tcPr>
            <w:tcW w:w="14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产品名称</w:t>
            </w:r>
          </w:p>
        </w:tc>
        <w:tc>
          <w:tcPr>
            <w:tcW w:w="459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eastAsia" w:ascii="仿宋" w:hAnsi="仿宋" w:eastAsia="仿宋" w:cs="仿宋"/>
                <w:b/>
                <w:bCs/>
                <w:i w:val="0"/>
                <w:iCs w:val="0"/>
                <w:color w:val="000000"/>
                <w:sz w:val="21"/>
                <w:szCs w:val="21"/>
                <w:highlight w:val="none"/>
                <w:u w:val="none"/>
              </w:rPr>
            </w:pPr>
            <w:r>
              <w:rPr>
                <w:rFonts w:hint="eastAsia" w:ascii="仿宋" w:hAnsi="仿宋" w:eastAsia="仿宋" w:cs="仿宋"/>
                <w:b/>
                <w:bCs/>
                <w:i w:val="0"/>
                <w:iCs w:val="0"/>
                <w:color w:val="000000"/>
                <w:kern w:val="0"/>
                <w:sz w:val="21"/>
                <w:szCs w:val="21"/>
                <w:highlight w:val="none"/>
                <w:u w:val="none"/>
                <w:lang w:val="en-US" w:eastAsia="zh-CN" w:bidi="ar"/>
              </w:rPr>
              <w:t>规格型号（mm）</w:t>
            </w:r>
          </w:p>
        </w:tc>
        <w:tc>
          <w:tcPr>
            <w:tcW w:w="5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both"/>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单位</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eastAsia" w:ascii="仿宋" w:hAnsi="仿宋" w:eastAsia="仿宋" w:cs="仿宋"/>
                <w:b/>
                <w:bCs/>
                <w:i w:val="0"/>
                <w:iCs w:val="0"/>
                <w:color w:val="000000"/>
                <w:sz w:val="24"/>
                <w:szCs w:val="24"/>
                <w:highlight w:val="none"/>
                <w:u w:val="none"/>
              </w:rPr>
            </w:pPr>
            <w:r>
              <w:rPr>
                <w:rFonts w:hint="eastAsia" w:ascii="仿宋" w:hAnsi="仿宋" w:eastAsia="仿宋" w:cs="仿宋"/>
                <w:b/>
                <w:bCs/>
                <w:i w:val="0"/>
                <w:iCs w:val="0"/>
                <w:color w:val="000000"/>
                <w:kern w:val="0"/>
                <w:sz w:val="24"/>
                <w:szCs w:val="24"/>
                <w:highlight w:val="none"/>
                <w:u w:val="none"/>
                <w:lang w:val="en-US" w:eastAsia="zh-CN" w:bidi="ar"/>
              </w:rPr>
              <w:t>数量</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eastAsia" w:ascii="仿宋" w:hAnsi="仿宋" w:eastAsia="仿宋" w:cs="仿宋"/>
                <w:b/>
                <w:bCs/>
                <w:i w:val="0"/>
                <w:iCs w:val="0"/>
                <w:color w:val="000000"/>
                <w:sz w:val="24"/>
                <w:szCs w:val="24"/>
                <w:highlight w:val="none"/>
                <w:u w:val="none"/>
                <w:lang w:val="en-US" w:eastAsia="zh-CN"/>
              </w:rPr>
            </w:pPr>
            <w:r>
              <w:rPr>
                <w:rFonts w:hint="eastAsia" w:ascii="仿宋" w:hAnsi="仿宋" w:eastAsia="仿宋" w:cs="仿宋"/>
                <w:b/>
                <w:bCs/>
                <w:i w:val="0"/>
                <w:iCs w:val="0"/>
                <w:color w:val="000000"/>
                <w:sz w:val="24"/>
                <w:szCs w:val="24"/>
                <w:highlight w:val="none"/>
                <w:u w:val="none"/>
                <w:lang w:val="en-US" w:eastAsia="zh-CN"/>
              </w:rPr>
              <w:t>备注</w:t>
            </w:r>
          </w:p>
        </w:tc>
      </w:tr>
      <w:tr>
        <w:tblPrEx>
          <w:tblCellMar>
            <w:top w:w="0" w:type="dxa"/>
            <w:left w:w="108" w:type="dxa"/>
            <w:bottom w:w="0" w:type="dxa"/>
            <w:right w:w="108" w:type="dxa"/>
          </w:tblCellMar>
        </w:tblPrEx>
        <w:trPr>
          <w:trHeight w:val="90" w:hRule="atLeast"/>
          <w:jc w:val="center"/>
        </w:trPr>
        <w:tc>
          <w:tcPr>
            <w:tcW w:w="803" w:type="dxa"/>
            <w:tcBorders>
              <w:top w:val="single" w:color="000000" w:sz="4" w:space="0"/>
              <w:left w:val="single" w:color="000000" w:sz="4" w:space="0"/>
              <w:bottom w:val="single" w:color="000000" w:sz="4" w:space="0"/>
              <w:right w:val="single" w:color="000000" w:sz="4" w:space="0"/>
            </w:tcBorders>
            <w:shd w:val="clear" w:color="auto" w:fill="C7DAF1"/>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eastAsia" w:ascii="仿宋" w:hAnsi="仿宋" w:eastAsia="仿宋" w:cs="仿宋"/>
                <w:b/>
                <w:bCs/>
                <w:i w:val="0"/>
                <w:iCs w:val="0"/>
                <w:color w:val="000000"/>
                <w:kern w:val="2"/>
                <w:sz w:val="24"/>
                <w:szCs w:val="24"/>
                <w:highlight w:val="none"/>
                <w:u w:val="none"/>
                <w:lang w:val="en-US" w:eastAsia="zh-CN" w:bidi="ar-SA"/>
              </w:rPr>
            </w:pPr>
            <w:r>
              <w:rPr>
                <w:rFonts w:hint="eastAsia" w:ascii="仿宋" w:hAnsi="仿宋" w:eastAsia="仿宋" w:cs="仿宋"/>
                <w:b/>
                <w:bCs/>
                <w:i w:val="0"/>
                <w:iCs w:val="0"/>
                <w:color w:val="000000"/>
                <w:kern w:val="2"/>
                <w:sz w:val="24"/>
                <w:szCs w:val="24"/>
                <w:highlight w:val="none"/>
                <w:u w:val="none"/>
                <w:lang w:val="en-US" w:eastAsia="zh-CN" w:bidi="ar-SA"/>
              </w:rPr>
              <w:t>1</w:t>
            </w:r>
          </w:p>
        </w:tc>
        <w:tc>
          <w:tcPr>
            <w:tcW w:w="6062" w:type="dxa"/>
            <w:gridSpan w:val="2"/>
            <w:tcBorders>
              <w:top w:val="single" w:color="000000" w:sz="4" w:space="0"/>
              <w:left w:val="single" w:color="000000" w:sz="4" w:space="0"/>
              <w:bottom w:val="single" w:color="000000" w:sz="4" w:space="0"/>
              <w:right w:val="single" w:color="auto" w:sz="4" w:space="0"/>
            </w:tcBorders>
            <w:shd w:val="clear" w:color="auto" w:fill="C7DAF1"/>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eastAsia" w:ascii="仿宋" w:hAnsi="仿宋" w:eastAsia="仿宋" w:cs="仿宋"/>
                <w:b/>
                <w:bCs/>
                <w:i w:val="0"/>
                <w:iCs w:val="0"/>
                <w:color w:val="000000"/>
                <w:kern w:val="2"/>
                <w:sz w:val="21"/>
                <w:szCs w:val="21"/>
                <w:highlight w:val="none"/>
                <w:u w:val="none"/>
                <w:lang w:val="en-US" w:eastAsia="zh-CN" w:bidi="ar-SA"/>
              </w:rPr>
            </w:pPr>
            <w:r>
              <w:rPr>
                <w:rFonts w:hint="eastAsia" w:ascii="仿宋" w:hAnsi="仿宋" w:eastAsia="仿宋" w:cs="仿宋"/>
                <w:b w:val="0"/>
                <w:bCs w:val="0"/>
                <w:i w:val="0"/>
                <w:iCs w:val="0"/>
                <w:color w:val="000000"/>
                <w:kern w:val="0"/>
                <w:sz w:val="21"/>
                <w:szCs w:val="21"/>
                <w:highlight w:val="none"/>
                <w:u w:val="none"/>
                <w:lang w:val="en-US" w:eastAsia="zh-CN" w:bidi="ar"/>
              </w:rPr>
              <w:t>密集柜</w:t>
            </w:r>
          </w:p>
        </w:tc>
        <w:tc>
          <w:tcPr>
            <w:tcW w:w="571" w:type="dxa"/>
            <w:tcBorders>
              <w:top w:val="single" w:color="000000" w:sz="4" w:space="0"/>
              <w:left w:val="single" w:color="auto" w:sz="4" w:space="0"/>
              <w:bottom w:val="single" w:color="000000" w:sz="4" w:space="0"/>
              <w:right w:val="single" w:color="000000" w:sz="4" w:space="0"/>
            </w:tcBorders>
            <w:shd w:val="clear" w:color="auto" w:fill="C7DAF1"/>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eastAsia"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面</w:t>
            </w:r>
          </w:p>
        </w:tc>
        <w:tc>
          <w:tcPr>
            <w:tcW w:w="897" w:type="dxa"/>
            <w:tcBorders>
              <w:top w:val="single" w:color="000000" w:sz="4" w:space="0"/>
              <w:left w:val="single" w:color="000000" w:sz="4" w:space="0"/>
              <w:bottom w:val="single" w:color="000000" w:sz="4" w:space="0"/>
              <w:right w:val="single" w:color="000000" w:sz="4" w:space="0"/>
            </w:tcBorders>
            <w:shd w:val="clear" w:color="auto" w:fill="C7DAF1"/>
            <w:noWrap w:val="0"/>
            <w:vAlign w:val="center"/>
          </w:tcPr>
          <w:p>
            <w:pPr>
              <w:keepNext w:val="0"/>
              <w:keepLines w:val="0"/>
              <w:pageBreakBefore w:val="0"/>
              <w:kinsoku/>
              <w:wordWrap/>
              <w:overflowPunct/>
              <w:topLinePunct w:val="0"/>
              <w:autoSpaceDE/>
              <w:autoSpaceDN/>
              <w:bidi w:val="0"/>
              <w:adjustRightInd/>
              <w:snapToGrid w:val="0"/>
              <w:spacing w:after="0" w:line="240" w:lineRule="auto"/>
              <w:ind w:left="0" w:leftChars="0" w:right="0" w:rightChars="0" w:firstLine="0" w:firstLineChars="0"/>
              <w:jc w:val="center"/>
              <w:rPr>
                <w:rFonts w:hint="default" w:ascii="仿宋" w:hAnsi="仿宋" w:eastAsia="仿宋" w:cs="仿宋"/>
                <w:i w:val="0"/>
                <w:iCs w:val="0"/>
                <w:color w:val="000000"/>
                <w:sz w:val="24"/>
                <w:szCs w:val="24"/>
                <w:highlight w:val="none"/>
                <w:u w:val="none"/>
                <w:lang w:val="en-US"/>
              </w:rPr>
            </w:pPr>
            <w:r>
              <w:rPr>
                <w:rFonts w:hint="eastAsia" w:ascii="仿宋" w:hAnsi="仿宋" w:eastAsia="仿宋" w:cs="仿宋"/>
                <w:b/>
                <w:bCs/>
                <w:i w:val="0"/>
                <w:iCs w:val="0"/>
                <w:color w:val="000000"/>
                <w:kern w:val="0"/>
                <w:sz w:val="24"/>
                <w:szCs w:val="24"/>
                <w:highlight w:val="none"/>
                <w:u w:val="none"/>
                <w:lang w:val="en-US" w:eastAsia="zh-CN" w:bidi="ar"/>
              </w:rPr>
              <w:t>49</w:t>
            </w:r>
          </w:p>
        </w:tc>
        <w:tc>
          <w:tcPr>
            <w:tcW w:w="1087" w:type="dxa"/>
            <w:tcBorders>
              <w:top w:val="single" w:color="000000" w:sz="4" w:space="0"/>
              <w:left w:val="single" w:color="000000" w:sz="4" w:space="0"/>
              <w:bottom w:val="single" w:color="000000" w:sz="4" w:space="0"/>
              <w:right w:val="single" w:color="000000" w:sz="4" w:space="0"/>
            </w:tcBorders>
            <w:shd w:val="clear" w:color="auto" w:fill="C7DAF1"/>
            <w:noWrap w:val="0"/>
            <w:vAlign w:val="center"/>
          </w:tcPr>
          <w:p>
            <w:pPr>
              <w:keepNext w:val="0"/>
              <w:keepLines w:val="0"/>
              <w:pageBreakBefore w:val="0"/>
              <w:kinsoku/>
              <w:wordWrap/>
              <w:overflowPunct/>
              <w:topLinePunct w:val="0"/>
              <w:autoSpaceDE/>
              <w:autoSpaceDN/>
              <w:bidi w:val="0"/>
              <w:adjustRightInd/>
              <w:snapToGrid w:val="0"/>
              <w:spacing w:after="0" w:line="240" w:lineRule="auto"/>
              <w:ind w:left="0" w:leftChars="0" w:right="0" w:rightChars="0" w:firstLine="0" w:firstLineChars="0"/>
              <w:jc w:val="center"/>
              <w:rPr>
                <w:rFonts w:hint="eastAsia" w:ascii="仿宋" w:hAnsi="仿宋" w:eastAsia="仿宋" w:cs="仿宋"/>
                <w:b/>
                <w:bCs/>
                <w:i w:val="0"/>
                <w:iCs w:val="0"/>
                <w:color w:val="000000"/>
                <w:kern w:val="0"/>
                <w:sz w:val="24"/>
                <w:szCs w:val="24"/>
                <w:highlight w:val="none"/>
                <w:u w:val="none"/>
                <w:lang w:val="en-US" w:eastAsia="zh-CN" w:bidi="ar"/>
              </w:rPr>
            </w:pPr>
          </w:p>
        </w:tc>
      </w:tr>
      <w:tr>
        <w:tblPrEx>
          <w:tblCellMar>
            <w:top w:w="0" w:type="dxa"/>
            <w:left w:w="108" w:type="dxa"/>
            <w:bottom w:w="0" w:type="dxa"/>
            <w:right w:w="108" w:type="dxa"/>
          </w:tblCellMar>
        </w:tblPrEx>
        <w:trPr>
          <w:trHeight w:val="0" w:hRule="atLeast"/>
          <w:jc w:val="center"/>
        </w:trPr>
        <w:tc>
          <w:tcPr>
            <w:tcW w:w="8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default" w:ascii="仿宋" w:hAnsi="仿宋" w:eastAsia="仿宋" w:cs="仿宋"/>
                <w:b/>
                <w:bCs/>
                <w:i w:val="0"/>
                <w:iCs w:val="0"/>
                <w:color w:val="000000"/>
                <w:sz w:val="24"/>
                <w:szCs w:val="24"/>
                <w:highlight w:val="none"/>
                <w:u w:val="none"/>
                <w:lang w:val="en-US"/>
              </w:rPr>
            </w:pPr>
            <w:r>
              <w:rPr>
                <w:rFonts w:hint="eastAsia" w:ascii="仿宋" w:hAnsi="仿宋" w:eastAsia="仿宋" w:cs="仿宋"/>
                <w:b/>
                <w:bCs/>
                <w:i w:val="0"/>
                <w:iCs w:val="0"/>
                <w:color w:val="000000"/>
                <w:kern w:val="0"/>
                <w:sz w:val="24"/>
                <w:szCs w:val="24"/>
                <w:highlight w:val="none"/>
                <w:u w:val="none"/>
                <w:lang w:eastAsia="zh-CN" w:bidi="ar"/>
              </w:rPr>
              <w:t>1</w:t>
            </w:r>
            <w:r>
              <w:rPr>
                <w:rFonts w:hint="eastAsia" w:ascii="仿宋" w:hAnsi="仿宋" w:eastAsia="仿宋" w:cs="仿宋"/>
                <w:b/>
                <w:bCs/>
                <w:i w:val="0"/>
                <w:iCs w:val="0"/>
                <w:color w:val="000000"/>
                <w:kern w:val="0"/>
                <w:sz w:val="24"/>
                <w:szCs w:val="24"/>
                <w:highlight w:val="none"/>
                <w:u w:val="none"/>
                <w:lang w:val="en-US" w:eastAsia="zh-CN" w:bidi="ar"/>
              </w:rPr>
              <w:t>.1</w:t>
            </w:r>
          </w:p>
        </w:tc>
        <w:tc>
          <w:tcPr>
            <w:tcW w:w="14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智能密集架</w:t>
            </w:r>
          </w:p>
        </w:tc>
        <w:tc>
          <w:tcPr>
            <w:tcW w:w="45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规格：</w:t>
            </w:r>
            <w:r>
              <w:rPr>
                <w:rFonts w:hint="eastAsia" w:ascii="仿宋" w:hAnsi="仿宋" w:eastAsia="仿宋" w:cs="仿宋"/>
                <w:b w:val="0"/>
                <w:bCs w:val="0"/>
                <w:i w:val="0"/>
                <w:iCs w:val="0"/>
                <w:color w:val="auto"/>
                <w:kern w:val="0"/>
                <w:sz w:val="21"/>
                <w:szCs w:val="21"/>
                <w:u w:val="none"/>
                <w:lang w:val="en-US" w:eastAsia="zh-CN" w:bidi="ar"/>
              </w:rPr>
              <w:t>长3600*宽600*高2200</w:t>
            </w:r>
            <w:r>
              <w:rPr>
                <w:rFonts w:hint="eastAsia" w:ascii="仿宋" w:hAnsi="仿宋" w:eastAsia="仿宋" w:cs="仿宋"/>
                <w:b w:val="0"/>
                <w:bCs w:val="0"/>
                <w:sz w:val="21"/>
                <w:szCs w:val="21"/>
                <w:lang w:val="en-US" w:eastAsia="zh-CN"/>
              </w:rPr>
              <w:t>*10</w:t>
            </w:r>
            <w:r>
              <w:rPr>
                <w:rFonts w:hint="eastAsia" w:ascii="仿宋" w:hAnsi="仿宋" w:eastAsia="仿宋" w:cs="仿宋"/>
                <w:b w:val="0"/>
                <w:bCs w:val="0"/>
                <w:sz w:val="21"/>
                <w:szCs w:val="21"/>
              </w:rPr>
              <w:t>列</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lang w:val="en-US" w:eastAsia="zh-CN"/>
              </w:rPr>
              <w:t>每列4组，每组5层，双面存放</w:t>
            </w:r>
            <w:r>
              <w:rPr>
                <w:rFonts w:hint="eastAsia" w:ascii="仿宋" w:hAnsi="仿宋" w:eastAsia="仿宋" w:cs="仿宋"/>
                <w:b w:val="0"/>
                <w:bCs w:val="0"/>
                <w:sz w:val="21"/>
                <w:szCs w:val="21"/>
              </w:rPr>
              <w:t>结构</w:t>
            </w:r>
            <w:r>
              <w:rPr>
                <w:rFonts w:hint="eastAsia" w:ascii="仿宋" w:hAnsi="仿宋" w:eastAsia="仿宋" w:cs="仿宋"/>
                <w:b w:val="0"/>
                <w:bCs w:val="0"/>
                <w:sz w:val="21"/>
                <w:szCs w:val="21"/>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密集架钢制部份性能、配置及技术参数的详细描述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1、生产过程中材料、工艺均采用国家标准执行， 符合相关技术规范：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（1）QB/T 4767-2014《家具用钢构件》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"https://www.so.com/link?m=bAfkYenLpjqAlb8qC1/xUqS9zxserP1fk6iHfT2YkaQNM+woynjOMqqIOiJak5bReVaqa7n7UhEpVHhZL8Nh007HbN6UZo9Vuw45HJgAy40W0o7MTOfigZblOop+HgLDNudmCxg6FvZG5jSQV" \t "https://www.so.com/_blank" </w:instrText>
            </w:r>
            <w:r>
              <w:rPr>
                <w:rFonts w:hint="eastAsia" w:ascii="仿宋" w:hAnsi="仿宋" w:eastAsia="仿宋" w:cs="仿宋"/>
                <w:sz w:val="21"/>
                <w:szCs w:val="21"/>
              </w:rPr>
              <w:fldChar w:fldCharType="separate"/>
            </w:r>
            <w:r>
              <w:rPr>
                <w:rFonts w:hint="eastAsia" w:ascii="仿宋" w:hAnsi="仿宋" w:eastAsia="仿宋" w:cs="仿宋"/>
                <w:sz w:val="21"/>
                <w:szCs w:val="21"/>
              </w:rPr>
              <w:t>GB/T 5213-2019《冷轧低碳钢板及钢带</w:t>
            </w:r>
            <w:r>
              <w:rPr>
                <w:rFonts w:hint="eastAsia" w:ascii="仿宋" w:hAnsi="仿宋" w:eastAsia="仿宋" w:cs="仿宋"/>
                <w:sz w:val="21"/>
                <w:szCs w:val="21"/>
              </w:rPr>
              <w:fldChar w:fldCharType="end"/>
            </w:r>
            <w:r>
              <w:rPr>
                <w:rFonts w:hint="eastAsia" w:ascii="仿宋" w:hAnsi="仿宋" w:eastAsia="仿宋" w:cs="仿宋"/>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（3）GB/T 13667.3-2013、GB/T 35607-2017、GB/T 10125-2012、HJ 2547-2016、GB/T 4957-2003、GB/T 1732-1993、GB/T</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1720-1979、GB/T 10357.4-2013《技术条件》等国家标准技术参数。</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bCs/>
                <w:color w:val="auto"/>
                <w:kern w:val="2"/>
                <w:sz w:val="21"/>
                <w:szCs w:val="21"/>
                <w:highlight w:val="none"/>
              </w:rPr>
            </w:pPr>
            <w:r>
              <w:rPr>
                <w:rFonts w:hint="eastAsia" w:ascii="仿宋" w:hAnsi="仿宋" w:eastAsia="仿宋" w:cs="仿宋"/>
                <w:color w:val="auto"/>
                <w:kern w:val="2"/>
                <w:sz w:val="21"/>
                <w:szCs w:val="21"/>
                <w:highlight w:val="none"/>
                <w:lang w:val="en-US" w:eastAsia="zh-CN"/>
              </w:rPr>
              <w:t>3.</w:t>
            </w:r>
            <w:r>
              <w:rPr>
                <w:rFonts w:hint="eastAsia" w:ascii="仿宋" w:hAnsi="仿宋" w:eastAsia="仿宋" w:cs="仿宋"/>
                <w:color w:val="auto"/>
                <w:kern w:val="2"/>
                <w:sz w:val="21"/>
                <w:szCs w:val="21"/>
                <w:highlight w:val="none"/>
              </w:rPr>
              <w:t>2、</w:t>
            </w:r>
            <w:r>
              <w:rPr>
                <w:rFonts w:hint="eastAsia" w:ascii="仿宋" w:hAnsi="仿宋" w:eastAsia="仿宋" w:cs="仿宋"/>
                <w:b/>
                <w:bCs/>
                <w:color w:val="auto"/>
                <w:kern w:val="2"/>
                <w:sz w:val="21"/>
                <w:szCs w:val="21"/>
                <w:highlight w:val="none"/>
              </w:rPr>
              <w:t>密集架技术要求：</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 主要由导轨、底盘、传动机构和架体（包括双P型立柱、双菱形孔挂板、U型档棒、双P型搁板、顶板、门面及加固筋侧板、不锈钢镶嵌式磁条）等零（部）件组成。架顶设有防尘装置，列与列之间装有20mm最新型插入式抗老化橡塑磁性密封条闭合。门面列装有锁具，中间移动列装有制动装置，每团体密集架闭合后两边可用总锁锁住，形成一个封闭的整体。每列架体侧板上设有制动装置，底部设有防鼠、防倾倒装置，因而整个架体具有良好的防尘、防鼠、防潮、防火、防盗、防倾倒和保密功能。</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 传动机构主要由精铸滚轮、传动轴、连接管、调心轴承、精密滚子摩托车链条，机械式离合摇手柄、多级速比1：6精制链轮等零（部）件组成。为了驱动轻便、平稳，采用中轴带动两根边轴传动方式，手柄摇动轻便、灵活、耐用、美观、无噪声、手柄摇动时能自动挂挡，架体处于从动或不动状态时，摇柄自行停于垂直位置，手柄可折叠，避免了通行障碍。</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val="0"/>
                <w:bCs w:val="0"/>
                <w:sz w:val="21"/>
                <w:szCs w:val="21"/>
              </w:rPr>
            </w:pPr>
            <w:r>
              <w:rPr>
                <w:rFonts w:hint="eastAsia" w:ascii="仿宋" w:hAnsi="仿宋" w:eastAsia="仿宋" w:cs="仿宋"/>
                <w:sz w:val="21"/>
                <w:szCs w:val="21"/>
              </w:rPr>
              <w:t>(3) 底梁、轴承档、夹紧块</w:t>
            </w:r>
            <w:r>
              <w:rPr>
                <w:rFonts w:hint="eastAsia" w:ascii="仿宋" w:hAnsi="仿宋" w:eastAsia="仿宋" w:cs="仿宋"/>
                <w:kern w:val="0"/>
                <w:sz w:val="21"/>
                <w:szCs w:val="21"/>
              </w:rPr>
              <w:t>：采用 3.0mm 优质热轧钢板，</w:t>
            </w:r>
            <w:r>
              <w:rPr>
                <w:rFonts w:hint="eastAsia" w:ascii="仿宋" w:hAnsi="仿宋" w:eastAsia="仿宋" w:cs="仿宋"/>
                <w:sz w:val="21"/>
                <w:szCs w:val="21"/>
              </w:rPr>
              <w:t>底盘采用分段焊接后整体组装式，连接牢固、运输、安装方便，底盘各段连接采用Ml0螺栓紧固，滚轮横梁采用四折成型，确保在外力作用下无任何变形情况发生。底梁下部装有防倒支架以防架体倾倒。底盘两端封头横梁与纵梁牢固焊接，在直角处上、下两平面均焊上三角形加强板，有效保证底盘架体不扭曲、错位、变形，架体在轨移动轻便、平滑、平整。</w:t>
            </w:r>
            <w:r>
              <w:rPr>
                <w:rFonts w:hint="eastAsia" w:ascii="仿宋" w:hAnsi="仿宋" w:eastAsia="仿宋" w:cs="仿宋"/>
                <w:b w:val="0"/>
                <w:bCs w:val="0"/>
                <w:sz w:val="21"/>
                <w:szCs w:val="21"/>
                <w:lang w:val="en-US" w:eastAsia="zh-CN"/>
              </w:rPr>
              <w:t>密集架产品符合</w:t>
            </w:r>
            <w:r>
              <w:rPr>
                <w:rFonts w:hint="eastAsia" w:ascii="仿宋" w:hAnsi="仿宋" w:eastAsia="仿宋" w:cs="仿宋"/>
                <w:b w:val="0"/>
                <w:bCs w:val="0"/>
                <w:sz w:val="21"/>
                <w:szCs w:val="21"/>
              </w:rPr>
              <w:t>①硬度≥0.6；②冲击强度（冲击高度500mm，应无剥落、裂纹、皱纹）；③附着力 ≤1 级；④耐腐蚀≥1000h；⑤甲醛释放量≤0.05mg/m</w:t>
            </w:r>
            <w:r>
              <w:rPr>
                <w:rFonts w:hint="eastAsia" w:ascii="仿宋" w:hAnsi="仿宋" w:eastAsia="仿宋" w:cs="仿宋"/>
                <w:b w:val="0"/>
                <w:bCs w:val="0"/>
                <w:sz w:val="21"/>
                <w:szCs w:val="21"/>
                <w:vertAlign w:val="superscript"/>
              </w:rPr>
              <w:t>3</w:t>
            </w:r>
            <w:r>
              <w:rPr>
                <w:rFonts w:hint="eastAsia" w:ascii="仿宋" w:hAnsi="仿宋" w:eastAsia="仿宋" w:cs="仿宋"/>
                <w:b w:val="0"/>
                <w:bCs w:val="0"/>
                <w:sz w:val="21"/>
                <w:szCs w:val="21"/>
              </w:rPr>
              <w:t xml:space="preserve"> 、苯≤0.05mg/m</w:t>
            </w:r>
            <w:r>
              <w:rPr>
                <w:rFonts w:hint="eastAsia" w:ascii="仿宋" w:hAnsi="仿宋" w:eastAsia="仿宋" w:cs="仿宋"/>
                <w:b w:val="0"/>
                <w:bCs w:val="0"/>
                <w:sz w:val="21"/>
                <w:szCs w:val="21"/>
                <w:vertAlign w:val="superscript"/>
              </w:rPr>
              <w:t>3</w:t>
            </w:r>
            <w:r>
              <w:rPr>
                <w:rFonts w:hint="eastAsia" w:ascii="仿宋" w:hAnsi="仿宋" w:eastAsia="仿宋" w:cs="仿宋"/>
                <w:b w:val="0"/>
                <w:bCs w:val="0"/>
                <w:sz w:val="21"/>
                <w:szCs w:val="21"/>
              </w:rPr>
              <w:t xml:space="preserve"> 、甲苯≤0.1mg/m</w:t>
            </w:r>
            <w:r>
              <w:rPr>
                <w:rFonts w:hint="eastAsia" w:ascii="仿宋" w:hAnsi="仿宋" w:eastAsia="仿宋" w:cs="仿宋"/>
                <w:b w:val="0"/>
                <w:bCs w:val="0"/>
                <w:sz w:val="21"/>
                <w:szCs w:val="21"/>
                <w:vertAlign w:val="superscript"/>
              </w:rPr>
              <w:t>3</w:t>
            </w:r>
            <w:r>
              <w:rPr>
                <w:rFonts w:hint="eastAsia" w:ascii="仿宋" w:hAnsi="仿宋" w:eastAsia="仿宋" w:cs="仿宋"/>
                <w:b w:val="0"/>
                <w:bCs w:val="0"/>
                <w:sz w:val="21"/>
                <w:szCs w:val="21"/>
              </w:rPr>
              <w:t xml:space="preserve"> 、二甲苯≤0.1mg/m</w:t>
            </w:r>
            <w:r>
              <w:rPr>
                <w:rFonts w:hint="eastAsia" w:ascii="仿宋" w:hAnsi="仿宋" w:eastAsia="仿宋" w:cs="仿宋"/>
                <w:b w:val="0"/>
                <w:bCs w:val="0"/>
                <w:sz w:val="21"/>
                <w:szCs w:val="21"/>
                <w:vertAlign w:val="superscript"/>
              </w:rPr>
              <w:t>3</w:t>
            </w:r>
            <w:r>
              <w:rPr>
                <w:rFonts w:hint="eastAsia" w:ascii="仿宋" w:hAnsi="仿宋" w:eastAsia="仿宋" w:cs="仿宋"/>
                <w:b w:val="0"/>
                <w:bCs w:val="0"/>
                <w:sz w:val="21"/>
                <w:szCs w:val="21"/>
              </w:rPr>
              <w:t xml:space="preserve"> 、总挥发性有机化合物TVOC≤0.3mg/m</w:t>
            </w:r>
            <w:r>
              <w:rPr>
                <w:rFonts w:hint="eastAsia" w:ascii="仿宋" w:hAnsi="仿宋" w:eastAsia="仿宋" w:cs="仿宋"/>
                <w:b w:val="0"/>
                <w:bCs w:val="0"/>
                <w:sz w:val="21"/>
                <w:szCs w:val="21"/>
                <w:vertAlign w:val="superscript"/>
              </w:rPr>
              <w:t>3</w:t>
            </w:r>
            <w:r>
              <w:rPr>
                <w:rFonts w:hint="eastAsia" w:ascii="仿宋" w:hAnsi="仿宋" w:eastAsia="仿宋" w:cs="仿宋"/>
                <w:b w:val="0"/>
                <w:bCs w:val="0"/>
                <w:sz w:val="21"/>
                <w:szCs w:val="21"/>
              </w:rPr>
              <w:t xml:space="preserve"> ；⑥可迁移元素：铅＜0.5mg/kg、镉＜0.5mg/kg、汞＜0.5mg/kg、铬＜0.5mg/kg、锑＜0.5mg/kg、钡＜0.5mg/kg、砷＜0.5mg/kg、硒＜0.5mg/kg；⑦装配要求；⑧搁板静载荷(载荷值：900N)；⑨全静载荷；⑩载重运行；⑪防尘门打开时的空载稳定性；⑫防尘门打开时的加载稳定性（1000N）；⑬活动部件关闭时的空载稳定性；⑭活动部件关闭时的加载稳定性；⑮搁板水平加载稳定性（100N）；⑯中性盐雾1000小时,达到10级；⑰覆盖层厚度。</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(4) 轨道：导轨采用20*20mm实心方钢，轨道板采用3.0mm优质热轧钢板。</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sz w:val="21"/>
                <w:szCs w:val="21"/>
              </w:rPr>
              <w:t>(5) 立柱（</w:t>
            </w:r>
            <w:r>
              <w:rPr>
                <w:rFonts w:hint="eastAsia" w:ascii="仿宋" w:hAnsi="仿宋" w:eastAsia="仿宋" w:cs="仿宋"/>
                <w:b/>
                <w:bCs/>
                <w:sz w:val="21"/>
                <w:szCs w:val="21"/>
              </w:rPr>
              <w:t>双P型立柱）</w:t>
            </w:r>
            <w:r>
              <w:rPr>
                <w:rFonts w:hint="eastAsia" w:ascii="仿宋" w:hAnsi="仿宋" w:eastAsia="仿宋" w:cs="仿宋"/>
                <w:sz w:val="21"/>
                <w:szCs w:val="21"/>
              </w:rPr>
              <w:t>：采用1.5mm优质冷轧钢板一次滚压成型，立柱正面49mm，</w:t>
            </w:r>
            <w:r>
              <w:rPr>
                <w:rFonts w:hint="eastAsia" w:ascii="仿宋" w:hAnsi="仿宋" w:eastAsia="仿宋" w:cs="仿宋"/>
                <w:sz w:val="21"/>
                <w:szCs w:val="21"/>
                <w:lang w:val="en-US" w:eastAsia="zh-CN"/>
              </w:rPr>
              <w:t>正面压两条筋，深度为2mm，宽度为6mm，</w:t>
            </w:r>
            <w:r>
              <w:rPr>
                <w:rFonts w:hint="eastAsia" w:ascii="仿宋" w:hAnsi="仿宋" w:eastAsia="仿宋" w:cs="仿宋"/>
                <w:sz w:val="21"/>
                <w:szCs w:val="21"/>
              </w:rPr>
              <w:t>两截面38mm，允许公差±0.3mm。</w:t>
            </w:r>
            <w:r>
              <w:rPr>
                <w:rFonts w:hint="eastAsia" w:ascii="仿宋" w:hAnsi="仿宋" w:eastAsia="仿宋" w:cs="仿宋"/>
                <w:sz w:val="21"/>
                <w:szCs w:val="21"/>
                <w:lang w:val="en-US" w:eastAsia="zh-CN"/>
              </w:rPr>
              <w:t>两侧面各压两条筋，深度为2mm，宽度为6mm，</w:t>
            </w:r>
            <w:r>
              <w:rPr>
                <w:rFonts w:hint="eastAsia" w:ascii="仿宋" w:hAnsi="仿宋" w:eastAsia="仿宋" w:cs="仿宋"/>
                <w:sz w:val="21"/>
                <w:szCs w:val="21"/>
              </w:rPr>
              <w:t>压筋立柱设计更人性，外形美观，结构新颖，承重能力强，钢性足。立柱均匀冲孔，层数和间距可按需要调整。立柱</w:t>
            </w:r>
            <w:r>
              <w:rPr>
                <w:rFonts w:hint="eastAsia" w:ascii="仿宋" w:hAnsi="仿宋" w:eastAsia="仿宋" w:cs="仿宋"/>
                <w:b w:val="0"/>
                <w:bCs w:val="0"/>
                <w:sz w:val="21"/>
                <w:szCs w:val="21"/>
              </w:rPr>
              <w:t>（双P型立柱）产品符合GB/T 3325-2017、GB/T 35607-2017、GB/T 10125-2012、GB/T 4957-2003、GB/T 1732-1993标准；标准要求；内容至少包括：</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1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①</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耐腐蚀≥1000小时；</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2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②</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冲击强度（冲击高度500mm，应无剥落、裂纹、皱纹）；</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3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③</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硬度≥3H；</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4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④</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附着力 ≤1 级；</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5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⑤</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可迁移元素：铅＜0.5mg/kg、镉＜0.5mg/kg、汞＜0.5mg/kg、铬＜0.5mg/kg、锑＜0.5mg/kg、钡＜0.5mg/kg、砷＜0.5mg/kg、硒＜0.5mg/kg；</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6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⑥</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中性盐雾1000h，达到10级 ；</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7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⑦</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覆盖层厚度；</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val="0"/>
                <w:bCs w:val="0"/>
                <w:sz w:val="21"/>
                <w:szCs w:val="21"/>
              </w:rPr>
            </w:pPr>
            <w:r>
              <w:rPr>
                <w:rFonts w:hint="eastAsia" w:ascii="仿宋" w:hAnsi="仿宋" w:eastAsia="仿宋" w:cs="仿宋"/>
                <w:sz w:val="21"/>
                <w:szCs w:val="21"/>
              </w:rPr>
              <w:t>(6) 挂板（</w:t>
            </w:r>
            <w:r>
              <w:rPr>
                <w:rFonts w:hint="eastAsia" w:ascii="仿宋" w:hAnsi="仿宋" w:eastAsia="仿宋" w:cs="仿宋"/>
                <w:b/>
                <w:bCs/>
                <w:sz w:val="21"/>
                <w:szCs w:val="21"/>
              </w:rPr>
              <w:t>双菱形孔挂板）</w:t>
            </w:r>
            <w:r>
              <w:rPr>
                <w:rFonts w:hint="eastAsia" w:ascii="仿宋" w:hAnsi="仿宋" w:eastAsia="仿宋" w:cs="仿宋"/>
                <w:sz w:val="21"/>
                <w:szCs w:val="21"/>
              </w:rPr>
              <w:t>：采用1.</w:t>
            </w:r>
            <w:r>
              <w:rPr>
                <w:rFonts w:hint="eastAsia" w:ascii="仿宋" w:hAnsi="仿宋" w:eastAsia="仿宋" w:cs="仿宋"/>
                <w:sz w:val="21"/>
                <w:szCs w:val="21"/>
                <w:lang w:val="en-US" w:eastAsia="zh-CN"/>
              </w:rPr>
              <w:t>0</w:t>
            </w:r>
            <w:r>
              <w:rPr>
                <w:rFonts w:hint="eastAsia" w:ascii="仿宋" w:hAnsi="仿宋" w:eastAsia="仿宋" w:cs="仿宋"/>
                <w:sz w:val="21"/>
                <w:szCs w:val="21"/>
              </w:rPr>
              <w:t>mm优质冷轧钢板，一体成型两个菱形孔使整体坚固耐用，</w:t>
            </w:r>
            <w:r>
              <w:rPr>
                <w:rFonts w:hint="eastAsia" w:ascii="仿宋" w:hAnsi="仿宋" w:eastAsia="仿宋" w:cs="仿宋"/>
                <w:b w:val="0"/>
                <w:bCs w:val="0"/>
                <w:sz w:val="21"/>
                <w:szCs w:val="21"/>
              </w:rPr>
              <w:t>菱形的尺寸</w:t>
            </w:r>
            <w:r>
              <w:rPr>
                <w:rFonts w:hint="eastAsia" w:ascii="仿宋" w:hAnsi="仿宋" w:eastAsia="仿宋" w:cs="仿宋"/>
                <w:b w:val="0"/>
                <w:bCs w:val="0"/>
                <w:sz w:val="21"/>
                <w:szCs w:val="21"/>
                <w:lang w:val="en-US" w:eastAsia="zh-CN"/>
              </w:rPr>
              <w:t>为长116mm</w:t>
            </w:r>
            <w:r>
              <w:rPr>
                <w:rFonts w:hint="eastAsia" w:ascii="仿宋" w:hAnsi="仿宋" w:eastAsia="仿宋" w:cs="仿宋"/>
                <w:b w:val="0"/>
                <w:bCs w:val="0"/>
                <w:sz w:val="21"/>
                <w:szCs w:val="21"/>
              </w:rPr>
              <w:t>x</w:t>
            </w:r>
            <w:r>
              <w:rPr>
                <w:rFonts w:hint="eastAsia" w:ascii="仿宋" w:hAnsi="仿宋" w:eastAsia="仿宋" w:cs="仿宋"/>
                <w:b w:val="0"/>
                <w:bCs w:val="0"/>
                <w:sz w:val="21"/>
                <w:szCs w:val="21"/>
                <w:lang w:val="en-US" w:eastAsia="zh-CN"/>
              </w:rPr>
              <w:t>宽50mm，深度为2mm，正面拉筋长130mm，宽7mm，深2mm，</w:t>
            </w:r>
            <w:r>
              <w:rPr>
                <w:rFonts w:hint="eastAsia" w:ascii="仿宋" w:hAnsi="仿宋" w:eastAsia="仿宋" w:cs="仿宋"/>
                <w:sz w:val="21"/>
                <w:szCs w:val="21"/>
              </w:rPr>
              <w:t>挂板中间档棒孔为I 型结构，档棒插入方孔后可挂扣在U形上，可防止档棒两端滑落，组装后平整、牢固。承重性好，外观新颖，可防止搁板前后窜动，通用性互换性好。表面再采用酸洗磷化后进行喷塑处理，外形美观，色泽鲜亮，使基本材质不会腐蚀，经久耐用。挂板与立柱之间连接方式采用四挂钩扣接，强度高，承重性能更优越，挂板与立柱对接处更牢固。（详见附图）。</w:t>
            </w:r>
            <w:r>
              <w:rPr>
                <w:rFonts w:hint="eastAsia" w:ascii="仿宋" w:hAnsi="仿宋" w:eastAsia="仿宋" w:cs="仿宋"/>
                <w:b w:val="0"/>
                <w:bCs w:val="0"/>
                <w:sz w:val="21"/>
                <w:szCs w:val="21"/>
              </w:rPr>
              <w:t>（双菱形孔挂板）产品符合GB/T 3325-2017、GB/T 35607-2017、GB/T 10125-2012、GB/T 4957-2003、GB/T 1732-1993标准要求；内容至少包括：</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1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①</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耐腐蚀≥1000小时；</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2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②</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冲击强度（冲击高度500mm，应无剥落、裂纹、皱纹）；</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3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③</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硬度≥3H；</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4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④</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附着力 ≤1 级；</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5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⑤</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可迁移元素：铅＜0.5mg/kg、镉＜0.5mg/kg、汞＜0.5mg/kg、铬＜0.5mg/kg、锑＜0.5mg/kg、钡＜0.5mg/kg、砷＜0.5mg/kg、硒＜0.5mg/kg；</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6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⑥</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中性盐雾1000h，达到10级 ；</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7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⑦</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覆盖层厚度；</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tbl>
            <w:tblPr>
              <w:tblStyle w:val="23"/>
              <w:tblW w:w="0" w:type="auto"/>
              <w:jc w:val="center"/>
              <w:tblLayout w:type="fixed"/>
              <w:tblCellMar>
                <w:top w:w="0" w:type="dxa"/>
                <w:left w:w="108" w:type="dxa"/>
                <w:bottom w:w="0" w:type="dxa"/>
                <w:right w:w="108" w:type="dxa"/>
              </w:tblCellMar>
            </w:tblPr>
            <w:tblGrid>
              <w:gridCol w:w="3580"/>
            </w:tblGrid>
            <w:tr>
              <w:tblPrEx>
                <w:tblCellMar>
                  <w:top w:w="0" w:type="dxa"/>
                  <w:left w:w="108" w:type="dxa"/>
                  <w:bottom w:w="0" w:type="dxa"/>
                  <w:right w:w="108" w:type="dxa"/>
                </w:tblCellMar>
              </w:tblPrEx>
              <w:trPr>
                <w:trHeight w:val="608" w:hRule="atLeast"/>
                <w:jc w:val="center"/>
              </w:trPr>
              <w:tc>
                <w:tcPr>
                  <w:tcW w:w="358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效果图1</w:t>
                  </w:r>
                </w:p>
              </w:tc>
            </w:tr>
            <w:tr>
              <w:tblPrEx>
                <w:tblCellMar>
                  <w:top w:w="0" w:type="dxa"/>
                  <w:left w:w="108" w:type="dxa"/>
                  <w:bottom w:w="0" w:type="dxa"/>
                  <w:right w:w="108" w:type="dxa"/>
                </w:tblCellMar>
              </w:tblPrEx>
              <w:trPr>
                <w:trHeight w:val="1656" w:hRule="atLeast"/>
                <w:jc w:val="center"/>
              </w:trPr>
              <w:tc>
                <w:tcPr>
                  <w:tcW w:w="358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drawing>
                      <wp:inline distT="0" distB="0" distL="114300" distR="114300">
                        <wp:extent cx="1442720" cy="907415"/>
                        <wp:effectExtent l="0" t="0" r="5080" b="6985"/>
                        <wp:docPr id="1" name="图片 1" descr="ecbae64ad9736b03f3356a75464be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cbae64ad9736b03f3356a75464be206"/>
                                <pic:cNvPicPr>
                                  <a:picLocks noChangeAspect="1"/>
                                </pic:cNvPicPr>
                              </pic:nvPicPr>
                              <pic:blipFill>
                                <a:blip r:embed="rId8"/>
                                <a:stretch>
                                  <a:fillRect/>
                                </a:stretch>
                              </pic:blipFill>
                              <pic:spPr>
                                <a:xfrm>
                                  <a:off x="0" y="0"/>
                                  <a:ext cx="1442720" cy="907415"/>
                                </a:xfrm>
                                <a:prstGeom prst="rect">
                                  <a:avLst/>
                                </a:prstGeom>
                                <a:noFill/>
                                <a:ln>
                                  <a:noFill/>
                                </a:ln>
                              </pic:spPr>
                            </pic:pic>
                          </a:graphicData>
                        </a:graphic>
                      </wp:inline>
                    </w:drawing>
                  </w:r>
                </w:p>
              </w:tc>
            </w:tr>
          </w:tbl>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val="0"/>
                <w:bCs w:val="0"/>
                <w:sz w:val="21"/>
                <w:szCs w:val="21"/>
              </w:rPr>
            </w:pPr>
            <w:r>
              <w:rPr>
                <w:rFonts w:hint="eastAsia" w:ascii="仿宋" w:hAnsi="仿宋" w:eastAsia="仿宋" w:cs="仿宋"/>
                <w:sz w:val="21"/>
                <w:szCs w:val="21"/>
              </w:rPr>
              <w:t xml:space="preserve">(7) </w:t>
            </w:r>
            <w:r>
              <w:rPr>
                <w:rFonts w:hint="eastAsia" w:ascii="仿宋" w:hAnsi="仿宋" w:eastAsia="仿宋" w:cs="仿宋"/>
                <w:b w:val="0"/>
                <w:bCs w:val="0"/>
                <w:sz w:val="21"/>
                <w:szCs w:val="21"/>
              </w:rPr>
              <w:t>搁板（双P型搁板）：采用1.</w:t>
            </w:r>
            <w:r>
              <w:rPr>
                <w:rFonts w:hint="eastAsia" w:ascii="仿宋" w:hAnsi="仿宋" w:eastAsia="仿宋" w:cs="仿宋"/>
                <w:b w:val="0"/>
                <w:bCs w:val="0"/>
                <w:sz w:val="21"/>
                <w:szCs w:val="21"/>
                <w:lang w:val="en-US" w:eastAsia="zh-CN"/>
              </w:rPr>
              <w:t>0</w:t>
            </w:r>
            <w:r>
              <w:rPr>
                <w:rFonts w:hint="eastAsia" w:ascii="仿宋" w:hAnsi="仿宋" w:eastAsia="仿宋" w:cs="仿宋"/>
                <w:b w:val="0"/>
                <w:bCs w:val="0"/>
                <w:sz w:val="21"/>
                <w:szCs w:val="21"/>
              </w:rPr>
              <w:t>mm优质冷轧钢板，侧面两边菱形压纹一次滚压成型，菱形的尺寸</w:t>
            </w:r>
            <w:r>
              <w:rPr>
                <w:rFonts w:hint="eastAsia" w:ascii="仿宋" w:hAnsi="仿宋" w:eastAsia="仿宋" w:cs="仿宋"/>
                <w:b w:val="0"/>
                <w:bCs w:val="0"/>
                <w:sz w:val="21"/>
                <w:szCs w:val="21"/>
                <w:lang w:val="en-US" w:eastAsia="zh-CN"/>
              </w:rPr>
              <w:t>为</w:t>
            </w:r>
            <w:r>
              <w:rPr>
                <w:rFonts w:hint="eastAsia" w:ascii="仿宋" w:hAnsi="仿宋" w:eastAsia="仿宋" w:cs="仿宋"/>
                <w:b w:val="0"/>
                <w:bCs w:val="0"/>
                <w:sz w:val="21"/>
                <w:szCs w:val="21"/>
              </w:rPr>
              <w:t>20</w:t>
            </w:r>
            <w:r>
              <w:rPr>
                <w:rFonts w:hint="eastAsia" w:ascii="仿宋" w:hAnsi="仿宋" w:eastAsia="仿宋" w:cs="仿宋"/>
                <w:b w:val="0"/>
                <w:bCs w:val="0"/>
                <w:sz w:val="21"/>
                <w:szCs w:val="21"/>
                <w:lang w:val="en-US" w:eastAsia="zh-CN"/>
              </w:rPr>
              <w:t>mm</w:t>
            </w:r>
            <w:r>
              <w:rPr>
                <w:rFonts w:hint="eastAsia" w:ascii="仿宋" w:hAnsi="仿宋" w:eastAsia="仿宋" w:cs="仿宋"/>
                <w:b w:val="0"/>
                <w:bCs w:val="0"/>
                <w:sz w:val="21"/>
                <w:szCs w:val="21"/>
              </w:rPr>
              <w:t>x15</w:t>
            </w:r>
            <w:r>
              <w:rPr>
                <w:rFonts w:hint="eastAsia" w:ascii="仿宋" w:hAnsi="仿宋" w:eastAsia="仿宋" w:cs="仿宋"/>
                <w:b w:val="0"/>
                <w:bCs w:val="0"/>
                <w:sz w:val="21"/>
                <w:szCs w:val="21"/>
                <w:lang w:val="en-US" w:eastAsia="zh-CN"/>
              </w:rPr>
              <w:t>mm</w:t>
            </w:r>
            <w:r>
              <w:rPr>
                <w:rFonts w:hint="eastAsia" w:ascii="仿宋" w:hAnsi="仿宋" w:eastAsia="仿宋" w:cs="仿宋"/>
                <w:b w:val="0"/>
                <w:bCs w:val="0"/>
                <w:sz w:val="21"/>
                <w:szCs w:val="21"/>
              </w:rPr>
              <w:t>，</w:t>
            </w:r>
            <w:r>
              <w:rPr>
                <w:rFonts w:hint="eastAsia" w:ascii="仿宋" w:hAnsi="仿宋" w:eastAsia="仿宋" w:cs="仿宋"/>
                <w:b w:val="0"/>
                <w:bCs w:val="0"/>
                <w:sz w:val="21"/>
                <w:szCs w:val="21"/>
                <w:lang w:eastAsia="zh-CN"/>
              </w:rPr>
              <w:t>深度为</w:t>
            </w:r>
            <w:r>
              <w:rPr>
                <w:rFonts w:hint="eastAsia" w:ascii="仿宋" w:hAnsi="仿宋" w:eastAsia="仿宋" w:cs="仿宋"/>
                <w:b w:val="0"/>
                <w:bCs w:val="0"/>
                <w:sz w:val="21"/>
                <w:szCs w:val="21"/>
                <w:lang w:val="en-US" w:eastAsia="zh-CN"/>
              </w:rPr>
              <w:t>2mm,</w:t>
            </w:r>
            <w:r>
              <w:rPr>
                <w:rFonts w:hint="eastAsia" w:ascii="仿宋" w:hAnsi="仿宋" w:eastAsia="仿宋" w:cs="仿宋"/>
                <w:b w:val="0"/>
                <w:bCs w:val="0"/>
                <w:sz w:val="21"/>
                <w:szCs w:val="21"/>
              </w:rPr>
              <w:t>菱形与菱形的间</w:t>
            </w:r>
            <w:r>
              <w:rPr>
                <w:rFonts w:hint="eastAsia" w:ascii="仿宋" w:hAnsi="仿宋" w:eastAsia="仿宋" w:cs="仿宋"/>
                <w:b w:val="0"/>
                <w:bCs w:val="0"/>
                <w:sz w:val="21"/>
                <w:szCs w:val="21"/>
                <w:lang w:val="en-US" w:eastAsia="zh-CN"/>
              </w:rPr>
              <w:t>距为5mm</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托板正面压8筋，</w:t>
            </w:r>
            <w:r>
              <w:rPr>
                <w:rFonts w:hint="eastAsia" w:ascii="仿宋" w:hAnsi="仿宋" w:eastAsia="仿宋" w:cs="仿宋"/>
                <w:b w:val="0"/>
                <w:bCs w:val="0"/>
                <w:sz w:val="21"/>
                <w:szCs w:val="21"/>
                <w:lang w:val="en-US" w:eastAsia="zh-CN"/>
              </w:rPr>
              <w:t>筋宽度为6mm，筋深为2mm，筋间距为4mm，两侧筋与边的间距为28mm，</w:t>
            </w:r>
            <w:r>
              <w:rPr>
                <w:rFonts w:hint="eastAsia" w:ascii="仿宋" w:hAnsi="仿宋" w:eastAsia="仿宋" w:cs="仿宋"/>
                <w:b w:val="0"/>
                <w:bCs w:val="0"/>
                <w:sz w:val="21"/>
                <w:szCs w:val="21"/>
              </w:rPr>
              <w:t>隔板外形美观，结构新颖，承重能力强，钢性足。表面采用酸洗磷化后进行喷塑处理，外形美观，结构新颖，色泽鲜亮，使基材不会腐蚀。（详见附图） 搁板（双P型搁板）产品符合GB/T 3325-2017、GB/T 35607-2017、GB/T 10125-2012、GB/T 4957-2003、GB/T 1732-1993标准；内容至少包括：</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1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①</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耐腐蚀≥1000小时；</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2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②</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冲击强度（冲击高度500mm，应无剥落、裂纹、皱纹）；</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3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③</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硬度≥3H；</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4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④</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附着力 ≤1 级；</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5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⑤</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可迁移元素：铅＜0.5mg/kg、镉＜0.5mg/kg、汞＜0.5mg/kg、铬＜0.5mg/kg、锑＜0.5mg/kg、钡＜0.5mg/kg、砷＜0.5mg/kg、硒＜0.5mg/kg；</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6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⑥</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中性盐雾1000h，达到10级 ；</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7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⑦</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覆盖层厚度；</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tbl>
            <w:tblPr>
              <w:tblStyle w:val="23"/>
              <w:tblW w:w="0" w:type="auto"/>
              <w:jc w:val="center"/>
              <w:tblLayout w:type="fixed"/>
              <w:tblCellMar>
                <w:top w:w="0" w:type="dxa"/>
                <w:left w:w="108" w:type="dxa"/>
                <w:bottom w:w="0" w:type="dxa"/>
                <w:right w:w="108" w:type="dxa"/>
              </w:tblCellMar>
            </w:tblPr>
            <w:tblGrid>
              <w:gridCol w:w="2750"/>
            </w:tblGrid>
            <w:tr>
              <w:tblPrEx>
                <w:tblCellMar>
                  <w:top w:w="0" w:type="dxa"/>
                  <w:left w:w="108" w:type="dxa"/>
                  <w:bottom w:w="0" w:type="dxa"/>
                  <w:right w:w="108" w:type="dxa"/>
                </w:tblCellMar>
              </w:tblPrEx>
              <w:trPr>
                <w:trHeight w:val="446" w:hRule="atLeast"/>
                <w:jc w:val="center"/>
              </w:trPr>
              <w:tc>
                <w:tcPr>
                  <w:tcW w:w="2750" w:type="dxa"/>
                  <w:tcBorders>
                    <w:tl2br w:val="nil"/>
                    <w:tr2bl w:val="nil"/>
                  </w:tcBorders>
                  <w:noWrap w:val="0"/>
                  <w:vAlign w:val="center"/>
                </w:tcPr>
                <w:p>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效果图</w:t>
                  </w:r>
                </w:p>
              </w:tc>
            </w:tr>
            <w:tr>
              <w:tblPrEx>
                <w:tblCellMar>
                  <w:top w:w="0" w:type="dxa"/>
                  <w:left w:w="108" w:type="dxa"/>
                  <w:bottom w:w="0" w:type="dxa"/>
                  <w:right w:w="108" w:type="dxa"/>
                </w:tblCellMar>
              </w:tblPrEx>
              <w:trPr>
                <w:trHeight w:val="1095" w:hRule="atLeast"/>
                <w:jc w:val="center"/>
              </w:trPr>
              <w:tc>
                <w:tcPr>
                  <w:tcW w:w="2750" w:type="dxa"/>
                  <w:tcBorders>
                    <w:tl2br w:val="nil"/>
                    <w:tr2bl w:val="nil"/>
                  </w:tcBorders>
                  <w:noWrap w:val="0"/>
                  <w:vAlign w:val="center"/>
                </w:tcPr>
                <w:p>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drawing>
                      <wp:inline distT="0" distB="0" distL="114300" distR="114300">
                        <wp:extent cx="1604010" cy="890270"/>
                        <wp:effectExtent l="0" t="0" r="11430" b="8890"/>
                        <wp:docPr id="2" name="图片 2" descr="/private/var/mobile/Containers/Data/Application/401E5B87-8792-4F19-96E0-ED29CEBBF7EF/tmp/insert_image_tmp_dir/2022-03-15 08:51:30.529000.png2022-03-15 08:51:30.529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private/var/mobile/Containers/Data/Application/401E5B87-8792-4F19-96E0-ED29CEBBF7EF/tmp/insert_image_tmp_dir/2022-03-15 08:51:30.529000.png2022-03-15 08:51:30.529000"/>
                                <pic:cNvPicPr>
                                  <a:picLocks noChangeAspect="1"/>
                                </pic:cNvPicPr>
                              </pic:nvPicPr>
                              <pic:blipFill>
                                <a:blip r:embed="rId9"/>
                                <a:stretch>
                                  <a:fillRect/>
                                </a:stretch>
                              </pic:blipFill>
                              <pic:spPr>
                                <a:xfrm>
                                  <a:off x="0" y="0"/>
                                  <a:ext cx="1604010" cy="890270"/>
                                </a:xfrm>
                                <a:prstGeom prst="rect">
                                  <a:avLst/>
                                </a:prstGeom>
                                <a:noFill/>
                                <a:ln>
                                  <a:noFill/>
                                </a:ln>
                              </pic:spPr>
                            </pic:pic>
                          </a:graphicData>
                        </a:graphic>
                      </wp:inline>
                    </w:drawing>
                  </w:r>
                </w:p>
              </w:tc>
            </w:tr>
          </w:tbl>
          <w:p>
            <w:pPr>
              <w:adjustRightInd w:val="0"/>
              <w:snapToGrid w:val="0"/>
              <w:spacing w:line="240" w:lineRule="auto"/>
              <w:ind w:firstLine="420" w:firstLineChars="200"/>
              <w:rPr>
                <w:rFonts w:hint="eastAsia" w:ascii="仿宋" w:hAnsi="仿宋" w:eastAsia="仿宋" w:cs="仿宋"/>
                <w:sz w:val="21"/>
                <w:szCs w:val="21"/>
              </w:rPr>
            </w:pP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firstLine="422" w:firstLineChars="200"/>
              <w:textAlignment w:val="auto"/>
              <w:rPr>
                <w:rFonts w:hint="eastAsia" w:ascii="仿宋" w:hAnsi="仿宋" w:eastAsia="仿宋" w:cs="仿宋"/>
                <w:b w:val="0"/>
                <w:bCs w:val="0"/>
                <w:sz w:val="21"/>
                <w:szCs w:val="21"/>
              </w:rPr>
            </w:pPr>
            <w:r>
              <w:rPr>
                <w:rFonts w:hint="eastAsia" w:ascii="仿宋" w:hAnsi="仿宋" w:eastAsia="仿宋" w:cs="仿宋"/>
                <w:b/>
                <w:bCs/>
                <w:sz w:val="21"/>
                <w:szCs w:val="21"/>
              </w:rPr>
              <w:t>(8)</w:t>
            </w:r>
            <w:r>
              <w:rPr>
                <w:rFonts w:hint="eastAsia" w:ascii="仿宋" w:hAnsi="仿宋" w:eastAsia="仿宋" w:cs="仿宋"/>
                <w:sz w:val="21"/>
                <w:szCs w:val="21"/>
              </w:rPr>
              <w:t>档棒（</w:t>
            </w:r>
            <w:r>
              <w:rPr>
                <w:rFonts w:hint="eastAsia" w:ascii="仿宋" w:hAnsi="仿宋" w:eastAsia="仿宋" w:cs="仿宋"/>
                <w:b/>
                <w:bCs/>
                <w:sz w:val="21"/>
                <w:szCs w:val="21"/>
              </w:rPr>
              <w:t>U型挡棒）</w:t>
            </w:r>
            <w:r>
              <w:rPr>
                <w:rFonts w:hint="eastAsia" w:ascii="仿宋" w:hAnsi="仿宋" w:eastAsia="仿宋" w:cs="仿宋"/>
                <w:sz w:val="21"/>
                <w:szCs w:val="21"/>
              </w:rPr>
              <w:t>：采用1.0mm优质冷轧钢板下冲折一体成型，设计为挂扣式挡棒，当档棒插入挂板方孔后，将档棒上的异形孔挂扣在挂板方孔梯形上，使档棒与挂板通过机械组合达到锁紧功能。在档棒宽度方向压有一条圆弧筋，</w:t>
            </w:r>
            <w:r>
              <w:rPr>
                <w:rFonts w:hint="eastAsia" w:ascii="仿宋" w:hAnsi="仿宋" w:eastAsia="仿宋" w:cs="仿宋"/>
                <w:sz w:val="21"/>
                <w:szCs w:val="21"/>
                <w:lang w:val="en-US" w:eastAsia="zh-CN"/>
              </w:rPr>
              <w:t>宽度为6mm，深为1mm，</w:t>
            </w:r>
            <w:r>
              <w:rPr>
                <w:rFonts w:hint="eastAsia" w:ascii="仿宋" w:hAnsi="仿宋" w:eastAsia="仿宋" w:cs="仿宋"/>
                <w:sz w:val="21"/>
                <w:szCs w:val="21"/>
              </w:rPr>
              <w:t>增强档棒的承重。四挂扣式挡棒设计更人性，不容易脱落，隔挡能力强，钢性足，挤压不易变形，完全有效的可以防止物体前后窜动。表面采用酸洗磷化后进行喷塑处理，外形美观，结构新颖，色泽鲜亮，使基材不会腐蚀。档棒</w:t>
            </w:r>
            <w:r>
              <w:rPr>
                <w:rFonts w:hint="eastAsia" w:ascii="仿宋" w:hAnsi="仿宋" w:eastAsia="仿宋" w:cs="仿宋"/>
                <w:b w:val="0"/>
                <w:bCs w:val="0"/>
                <w:sz w:val="21"/>
                <w:szCs w:val="21"/>
              </w:rPr>
              <w:t>（U型档棒）需满足：GB/T 3325-2017、GB/T 35607-2017、GB/T 10125-2012、GB/T 4957-2003、GB/T 1732-1993标准要求；内容至少包括：</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1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①</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耐腐蚀≥1000小时；</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2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②</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冲击强度（冲击高度500mm，应无剥落、裂纹、皱纹）；</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3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③</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硬度≥3H；</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4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④</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附着力 ≤1 级；</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5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⑤</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可迁移元素：铅＜0.5mg/kg、镉＜0.5mg/kg、汞＜0.5mg/kg、铬＜0.5mg/kg、锑＜0.5mg/kg、钡＜0.5mg/kg、砷＜0.5mg/kg、硒＜0.5mg/kg；</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6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⑥</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中性盐雾1000h，达到10级 ；</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7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⑦</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覆盖层厚度；</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p>
            <w:pPr>
              <w:pStyle w:val="5"/>
              <w:spacing w:line="240" w:lineRule="auto"/>
              <w:ind w:firstLine="0"/>
              <w:rPr>
                <w:rFonts w:hint="eastAsia" w:ascii="仿宋" w:hAnsi="仿宋" w:eastAsia="仿宋" w:cs="仿宋"/>
                <w:sz w:val="21"/>
                <w:szCs w:val="21"/>
              </w:rPr>
            </w:pPr>
          </w:p>
          <w:p>
            <w:pPr>
              <w:spacing w:line="240" w:lineRule="auto"/>
              <w:rPr>
                <w:rFonts w:hint="eastAsia" w:ascii="仿宋" w:hAnsi="仿宋" w:eastAsia="仿宋" w:cs="仿宋"/>
                <w:sz w:val="21"/>
                <w:szCs w:val="21"/>
              </w:rPr>
            </w:pPr>
          </w:p>
          <w:tbl>
            <w:tblPr>
              <w:tblStyle w:val="23"/>
              <w:tblW w:w="0" w:type="auto"/>
              <w:jc w:val="center"/>
              <w:tblLayout w:type="fixed"/>
              <w:tblCellMar>
                <w:top w:w="0" w:type="dxa"/>
                <w:left w:w="108" w:type="dxa"/>
                <w:bottom w:w="0" w:type="dxa"/>
                <w:right w:w="108" w:type="dxa"/>
              </w:tblCellMar>
            </w:tblPr>
            <w:tblGrid>
              <w:gridCol w:w="2584"/>
            </w:tblGrid>
            <w:tr>
              <w:tblPrEx>
                <w:tblCellMar>
                  <w:top w:w="0" w:type="dxa"/>
                  <w:left w:w="108" w:type="dxa"/>
                  <w:bottom w:w="0" w:type="dxa"/>
                  <w:right w:w="108" w:type="dxa"/>
                </w:tblCellMar>
              </w:tblPrEx>
              <w:trPr>
                <w:trHeight w:val="391" w:hRule="atLeast"/>
                <w:jc w:val="center"/>
              </w:trPr>
              <w:tc>
                <w:tcPr>
                  <w:tcW w:w="2584" w:type="dxa"/>
                  <w:tcBorders>
                    <w:tl2br w:val="nil"/>
                    <w:tr2bl w:val="nil"/>
                  </w:tcBorders>
                  <w:noWrap w:val="0"/>
                  <w:vAlign w:val="center"/>
                </w:tcPr>
                <w:p>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效果图</w:t>
                  </w:r>
                </w:p>
              </w:tc>
            </w:tr>
            <w:tr>
              <w:tblPrEx>
                <w:tblCellMar>
                  <w:top w:w="0" w:type="dxa"/>
                  <w:left w:w="108" w:type="dxa"/>
                  <w:bottom w:w="0" w:type="dxa"/>
                  <w:right w:w="108" w:type="dxa"/>
                </w:tblCellMar>
              </w:tblPrEx>
              <w:trPr>
                <w:trHeight w:val="1575" w:hRule="atLeast"/>
                <w:jc w:val="center"/>
              </w:trPr>
              <w:tc>
                <w:tcPr>
                  <w:tcW w:w="2584" w:type="dxa"/>
                  <w:tcBorders>
                    <w:tl2br w:val="nil"/>
                    <w:tr2bl w:val="nil"/>
                  </w:tcBorders>
                  <w:noWrap w:val="0"/>
                  <w:vAlign w:val="center"/>
                </w:tcPr>
                <w:p>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drawing>
                      <wp:inline distT="0" distB="0" distL="114300" distR="114300">
                        <wp:extent cx="1416685" cy="871220"/>
                        <wp:effectExtent l="0" t="0" r="635" b="12700"/>
                        <wp:docPr id="3" name="图片 3" descr="/private/var/mobile/Containers/Data/Application/401E5B87-8792-4F19-96E0-ED29CEBBF7EF/tmp/insert_image_tmp_dir/2022-03-15 08:52:17.892000.png2022-03-15 08:52:17.892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private/var/mobile/Containers/Data/Application/401E5B87-8792-4F19-96E0-ED29CEBBF7EF/tmp/insert_image_tmp_dir/2022-03-15 08:52:17.892000.png2022-03-15 08:52:17.892000"/>
                                <pic:cNvPicPr>
                                  <a:picLocks noChangeAspect="1"/>
                                </pic:cNvPicPr>
                              </pic:nvPicPr>
                              <pic:blipFill>
                                <a:blip r:embed="rId10"/>
                                <a:stretch>
                                  <a:fillRect/>
                                </a:stretch>
                              </pic:blipFill>
                              <pic:spPr>
                                <a:xfrm>
                                  <a:off x="0" y="0"/>
                                  <a:ext cx="1416685" cy="871220"/>
                                </a:xfrm>
                                <a:prstGeom prst="rect">
                                  <a:avLst/>
                                </a:prstGeom>
                                <a:noFill/>
                                <a:ln>
                                  <a:noFill/>
                                </a:ln>
                              </pic:spPr>
                            </pic:pic>
                          </a:graphicData>
                        </a:graphic>
                      </wp:inline>
                    </w:drawing>
                  </w:r>
                </w:p>
              </w:tc>
            </w:tr>
          </w:tbl>
          <w:p>
            <w:pPr>
              <w:pStyle w:val="39"/>
              <w:spacing w:line="240" w:lineRule="auto"/>
              <w:ind w:firstLine="0"/>
              <w:rPr>
                <w:rFonts w:hint="eastAsia" w:ascii="仿宋" w:hAnsi="仿宋" w:eastAsia="仿宋" w:cs="仿宋"/>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val="0"/>
                <w:bCs w:val="0"/>
                <w:sz w:val="21"/>
                <w:szCs w:val="21"/>
              </w:rPr>
            </w:pPr>
            <w:r>
              <w:rPr>
                <w:rFonts w:hint="eastAsia" w:ascii="仿宋" w:hAnsi="仿宋" w:eastAsia="仿宋" w:cs="仿宋"/>
                <w:sz w:val="21"/>
                <w:szCs w:val="21"/>
              </w:rPr>
              <w:t xml:space="preserve"> （9）侧板(</w:t>
            </w:r>
            <w:r>
              <w:rPr>
                <w:rFonts w:hint="eastAsia" w:ascii="仿宋" w:hAnsi="仿宋" w:eastAsia="仿宋" w:cs="仿宋"/>
                <w:b/>
                <w:bCs/>
                <w:sz w:val="21"/>
                <w:szCs w:val="21"/>
              </w:rPr>
              <w:t>加固筋侧板）</w:t>
            </w:r>
            <w:r>
              <w:rPr>
                <w:rFonts w:hint="eastAsia" w:ascii="仿宋" w:hAnsi="仿宋" w:eastAsia="仿宋" w:cs="仿宋"/>
                <w:sz w:val="21"/>
                <w:szCs w:val="21"/>
              </w:rPr>
              <w:t>：采用1.0mm优质冷轧钢板制成,整块侧板，款式新颖、结构独特、造型美观，强度高，正面按压不变形。侧板</w:t>
            </w:r>
            <w:r>
              <w:rPr>
                <w:rFonts w:hint="eastAsia" w:ascii="仿宋" w:hAnsi="仿宋" w:eastAsia="仿宋" w:cs="仿宋"/>
                <w:b w:val="0"/>
                <w:bCs w:val="0"/>
                <w:sz w:val="21"/>
                <w:szCs w:val="21"/>
              </w:rPr>
              <w:t>（加固筋侧板）所投侧板需满足GB/T 3325-2017、GB/T 35607-2017、GB/T 10125-2012、GB/T 4957-2003、GB/T 1732-1993标准要求；内容至少包括：</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1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①</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耐腐蚀≥1000小时；</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2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②</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冲击强度（冲击高度500mm，应无剥落、裂纹、皱纹）；</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3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③</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硬度≥3H；</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4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④</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附着力 ≤1 级；</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5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⑤</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可迁移元素：铅＜0.5mg/kg、镉＜0.5mg/kg、汞＜0.5mg/kg、铬＜0.5mg/kg、锑＜0.5mg/kg、钡＜0.5mg/kg、砷＜0.5mg/kg、硒＜0.5mg/kg；</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6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⑥</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中性盐雾1000h，达到10级 ；</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7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⑦</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覆盖层厚度；</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（10）门板（</w:t>
            </w:r>
            <w:r>
              <w:rPr>
                <w:rFonts w:hint="eastAsia" w:ascii="仿宋" w:hAnsi="仿宋" w:eastAsia="仿宋" w:cs="仿宋"/>
                <w:b/>
                <w:bCs/>
                <w:sz w:val="21"/>
                <w:szCs w:val="21"/>
              </w:rPr>
              <w:t>门面）</w:t>
            </w:r>
            <w:r>
              <w:rPr>
                <w:rFonts w:hint="eastAsia" w:ascii="仿宋" w:hAnsi="仿宋" w:eastAsia="仿宋" w:cs="仿宋"/>
                <w:sz w:val="21"/>
                <w:szCs w:val="21"/>
              </w:rPr>
              <w:t>:采用1.0mm优质冷轧钢板制作而成，线条优美、美观别致、安全可靠、手感舒适、使用方便。门板</w:t>
            </w:r>
            <w:r>
              <w:rPr>
                <w:rFonts w:hint="eastAsia" w:ascii="仿宋" w:hAnsi="仿宋" w:eastAsia="仿宋" w:cs="仿宋"/>
                <w:b/>
                <w:bCs/>
                <w:sz w:val="21"/>
                <w:szCs w:val="21"/>
              </w:rPr>
              <w:t>（门面）</w:t>
            </w:r>
            <w:r>
              <w:rPr>
                <w:rFonts w:hint="eastAsia" w:ascii="仿宋" w:hAnsi="仿宋" w:eastAsia="仿宋" w:cs="仿宋"/>
                <w:b w:val="0"/>
                <w:bCs w:val="0"/>
                <w:sz w:val="21"/>
                <w:szCs w:val="21"/>
              </w:rPr>
              <w:t>需满足GB/T 3325-2017、GB/T 35607-2017、GB/T 10125-2012、GB/T 4957-2003、GB/T 1732-1993标准要求；内容至少包括：</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1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①</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耐腐蚀≥1000小时；</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2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②</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冲击强度（冲击高度500mm，应无剥落、裂纹、皱纹）；</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3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③</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硬度≥3H；</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4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④</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附着力 ≤1 级；</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5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⑤</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可迁移元素：铅＜0.5mg/kg、镉＜0.5mg/kg、汞＜0.5mg/kg、铬＜0.5mg/kg、锑＜0.5mg/kg、钡＜0.5mg/kg、砷＜0.5mg/kg、硒＜0.5mg/kg；</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6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⑥</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中性盐雾1000h，达到10级 ；</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7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⑦</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覆盖层厚度；</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（11）顶板：采用 1.0mm 优质冷轧钢板一次成型，顶板使用螺栓紧固于立柱上端既能加强存储设备的整体刚性又能起到防尘、防水的作用。</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(12) 防倾倒装置：安装在底盘外侧底部，通过四点固定使路轨与底盘连接整体，防倒性能好，结构设计合理。</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(13) 防鼠板装置：架体合拢后底盘之间缝隙小于 2mm，使灰尘与老鼠无法进入。</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b w:val="0"/>
                <w:bCs w:val="0"/>
                <w:sz w:val="21"/>
                <w:szCs w:val="21"/>
              </w:rPr>
            </w:pPr>
            <w:r>
              <w:rPr>
                <w:rFonts w:hint="eastAsia" w:ascii="仿宋" w:hAnsi="仿宋" w:eastAsia="仿宋" w:cs="仿宋"/>
                <w:b w:val="0"/>
                <w:bCs w:val="0"/>
                <w:sz w:val="21"/>
                <w:szCs w:val="21"/>
              </w:rPr>
              <w:t>（14）密封条（不锈钢镶嵌式密封条）：采用优质304不锈钢插入式抗老化橡塑磁性密封条，美观大方。密封条（不锈钢镶嵌式密封条）需满足：QB/T 4463-2013标准要求；内容至少包括：①耐干热性；②耐磨性；③耐开裂性（耐龟裂性）≥1级；④耐老化性；⑤耐冷热循环性；⑥耐光色牢度（灰色样卡）≥4级；⑦甲醛释放量≤0.5mg/L；</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p>
            <w:pPr>
              <w:pageBreakBefore w:val="0"/>
              <w:widowControl w:val="0"/>
              <w:kinsoku/>
              <w:wordWrap/>
              <w:overflowPunct/>
              <w:topLinePunct w:val="0"/>
              <w:autoSpaceDE/>
              <w:autoSpaceDN/>
              <w:bidi w:val="0"/>
              <w:adjustRightInd w:val="0"/>
              <w:snapToGrid w:val="0"/>
              <w:spacing w:line="24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(15) 搁板、挂板可沿立柱垂直方向调整高度，层高可任意调节，可根据需要增加或减少层数。</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(16) 承重量：单列架体每层搁板上均布载重400N,双面搁板每层上均布静载荷800N，负载质量精度为额定值的±1%, 24小时卸载后，无裂纹及永久变形。</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(17)集中锁定功能：每列设有锁紧装置，当工作人员进入存储设备工作时，将锁紧装置扭到锁紧位置，此时其他人员无法摇动存储设备，以保证架内人员的安全。每组存储设备边列装有锁具，其闭合锁住后，形成一个封闭的整体。</w:t>
            </w:r>
          </w:p>
          <w:p>
            <w:pPr>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数字拨盘智能密集锁</w:t>
            </w:r>
          </w:p>
          <w:p>
            <w:pPr>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锁体尺寸：70*104.5mm</w:t>
            </w:r>
          </w:p>
          <w:p>
            <w:pPr>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锁体材质：锌合金</w:t>
            </w:r>
          </w:p>
          <w:p>
            <w:pPr>
              <w:pStyle w:val="17"/>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旋钮材质：锌合金+ABS</w:t>
            </w:r>
          </w:p>
          <w:p>
            <w:pPr>
              <w:keepNext w:val="0"/>
              <w:keepLines w:val="0"/>
              <w:widowControl/>
              <w:suppressLineNumbers w:val="0"/>
              <w:spacing w:line="240" w:lineRule="auto"/>
              <w:jc w:val="left"/>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sz w:val="21"/>
                <w:szCs w:val="21"/>
                <w:lang w:val="en-US" w:eastAsia="zh-CN"/>
              </w:rPr>
              <w:t>多功能手摇柄:外形美观实用，表面镀铬处理，将安装于主侧板上的总锁、制动装置与摇柄合三为一 ，使摇柄具有锁止、制动及驱动三大功能，可无钥匙密码开锁。</w:t>
            </w:r>
            <w:r>
              <w:rPr>
                <w:rFonts w:hint="eastAsia" w:ascii="仿宋" w:hAnsi="仿宋" w:eastAsia="仿宋" w:cs="仿宋"/>
                <w:b w:val="0"/>
                <w:bCs w:val="0"/>
                <w:color w:val="000000"/>
                <w:kern w:val="0"/>
                <w:sz w:val="21"/>
                <w:szCs w:val="21"/>
                <w:lang w:val="en-US" w:eastAsia="zh-CN" w:bidi="ar"/>
              </w:rPr>
              <w:t>数字拨盘智能密码锁</w:t>
            </w:r>
            <w:r>
              <w:rPr>
                <w:rFonts w:hint="eastAsia" w:ascii="仿宋" w:hAnsi="仿宋" w:eastAsia="仿宋" w:cs="仿宋"/>
                <w:b w:val="0"/>
                <w:bCs w:val="0"/>
                <w:sz w:val="21"/>
                <w:szCs w:val="21"/>
              </w:rPr>
              <w:t>需满足：</w:t>
            </w:r>
            <w:r>
              <w:rPr>
                <w:rFonts w:hint="eastAsia" w:ascii="仿宋" w:hAnsi="仿宋" w:eastAsia="仿宋" w:cs="仿宋"/>
                <w:b w:val="0"/>
                <w:bCs w:val="0"/>
                <w:color w:val="000000"/>
                <w:kern w:val="0"/>
                <w:sz w:val="21"/>
                <w:szCs w:val="21"/>
                <w:lang w:val="en-US" w:eastAsia="zh-CN" w:bidi="ar"/>
              </w:rPr>
              <w:t>QB/T 1621-2015《家具锁》、GB 28481-2012《塑料家具中有害物质限量》、GB/T 16422.2-2022 《塑料 实验室 光源暴露试验方法 第 2 部分: 氙弧灯》、GB/T 250-2008 《纺织品 色牢度试验 评定变色用灰色样卡》、QB/T 3826-1999《轻工产品金属镀层和化学处理层的耐腐蚀试验方法 中性盐雾试验(NSS)法》检测标准；检测内空包括：</w:t>
            </w:r>
            <w:r>
              <w:rPr>
                <w:rFonts w:hint="eastAsia" w:ascii="仿宋" w:hAnsi="仿宋" w:eastAsia="仿宋" w:cs="仿宋"/>
                <w:b w:val="0"/>
                <w:bCs w:val="0"/>
                <w:sz w:val="21"/>
                <w:szCs w:val="21"/>
              </w:rPr>
              <w:t>①</w:t>
            </w:r>
            <w:r>
              <w:rPr>
                <w:rFonts w:hint="eastAsia" w:ascii="仿宋" w:hAnsi="仿宋" w:eastAsia="仿宋" w:cs="仿宋"/>
                <w:b w:val="0"/>
                <w:bCs w:val="0"/>
                <w:color w:val="auto"/>
                <w:kern w:val="2"/>
                <w:sz w:val="21"/>
                <w:szCs w:val="21"/>
                <w:highlight w:val="none"/>
                <w:lang w:val="en-US" w:eastAsia="zh-CN" w:bidi="ar-SA"/>
              </w:rPr>
              <w:t>邻苯二甲酸酯（DBP、BBP、DEHP、DNOP、DINP、DIDP）未检出；</w:t>
            </w:r>
            <w:r>
              <w:rPr>
                <w:rFonts w:hint="eastAsia" w:ascii="仿宋" w:hAnsi="仿宋" w:eastAsia="仿宋" w:cs="仿宋"/>
                <w:b w:val="0"/>
                <w:bCs w:val="0"/>
                <w:sz w:val="21"/>
                <w:szCs w:val="21"/>
              </w:rPr>
              <w:t>②</w:t>
            </w:r>
            <w:r>
              <w:rPr>
                <w:rFonts w:hint="eastAsia" w:ascii="仿宋" w:hAnsi="仿宋" w:eastAsia="仿宋" w:cs="仿宋"/>
                <w:b w:val="0"/>
                <w:bCs w:val="0"/>
                <w:color w:val="000000"/>
                <w:kern w:val="0"/>
                <w:sz w:val="21"/>
                <w:szCs w:val="21"/>
                <w:lang w:val="en-US" w:eastAsia="zh-CN" w:bidi="ar"/>
              </w:rPr>
              <w:t>中性盐雾试验（1200h）：涂层本身的耐蚀能力：10级、 涂层对基体金属的防蚀能力：10 级；</w:t>
            </w:r>
            <w:r>
              <w:rPr>
                <w:rFonts w:hint="eastAsia" w:ascii="仿宋" w:hAnsi="仿宋" w:eastAsia="仿宋" w:cs="仿宋"/>
                <w:b w:val="0"/>
                <w:bCs w:val="0"/>
                <w:sz w:val="21"/>
                <w:szCs w:val="21"/>
              </w:rPr>
              <w:t>③</w:t>
            </w:r>
            <w:r>
              <w:rPr>
                <w:rFonts w:hint="eastAsia" w:ascii="仿宋" w:hAnsi="仿宋" w:eastAsia="仿宋" w:cs="仿宋"/>
                <w:b w:val="0"/>
                <w:bCs w:val="0"/>
                <w:color w:val="000000"/>
                <w:kern w:val="0"/>
                <w:sz w:val="21"/>
                <w:szCs w:val="21"/>
                <w:lang w:val="en-US" w:eastAsia="zh-CN" w:bidi="ar"/>
              </w:rPr>
              <w:t>耐老化性：室外用：1000h，外观颜色变色评级≥3 级；</w:t>
            </w:r>
            <w:r>
              <w:rPr>
                <w:rFonts w:hint="eastAsia" w:ascii="仿宋" w:hAnsi="仿宋" w:eastAsia="仿宋" w:cs="仿宋"/>
                <w:b w:val="0"/>
                <w:bCs w:val="0"/>
                <w:sz w:val="21"/>
                <w:szCs w:val="21"/>
              </w:rPr>
              <w:t>④</w:t>
            </w:r>
            <w:r>
              <w:rPr>
                <w:rFonts w:hint="eastAsia" w:ascii="仿宋" w:hAnsi="仿宋" w:eastAsia="仿宋" w:cs="仿宋"/>
                <w:b w:val="0"/>
                <w:bCs w:val="0"/>
                <w:color w:val="000000"/>
                <w:kern w:val="0"/>
                <w:sz w:val="21"/>
                <w:szCs w:val="21"/>
                <w:lang w:val="en-US" w:eastAsia="zh-CN" w:bidi="ar"/>
              </w:rPr>
              <w:t>外观质量：锁头、钥匙；电镀件；涂层件；电镀件耐腐蚀：电镀件外露表面经 12h 的中性盐雾试验后，应达到外观评级 RA6 级的规定；涂层件附着力：应达到 GB/T 9286 中 2 级的规定；</w:t>
            </w:r>
            <w:r>
              <w:rPr>
                <w:rFonts w:hint="eastAsia" w:ascii="仿宋" w:hAnsi="仿宋" w:eastAsia="仿宋" w:cs="仿宋"/>
                <w:b w:val="0"/>
                <w:bCs w:val="0"/>
                <w:sz w:val="21"/>
                <w:szCs w:val="21"/>
              </w:rPr>
              <w:t>⑤</w:t>
            </w:r>
            <w:r>
              <w:rPr>
                <w:rFonts w:hint="eastAsia" w:ascii="仿宋" w:hAnsi="仿宋" w:eastAsia="仿宋" w:cs="仿宋"/>
                <w:b w:val="0"/>
                <w:bCs w:val="0"/>
                <w:color w:val="000000"/>
                <w:kern w:val="0"/>
                <w:sz w:val="21"/>
                <w:szCs w:val="21"/>
                <w:lang w:val="en-US" w:eastAsia="zh-CN" w:bidi="ar"/>
              </w:rPr>
              <w:t>保密度：钥匙牙花（个）：弹子锁：锁头直径＜20mm：4 个 5 个 、弹子锁-锁头直径≥20mm：4 个 5 个、 叶片锁：5 个 6 个；钥匙不同牙花数（种） ≥：弹子锁-锁头直径＜20mm：200  750 、弹子锁-锁头直径≥20mm：500  2500 、叶片锁：150  500、</w:t>
            </w:r>
            <w:r>
              <w:rPr>
                <w:rFonts w:hint="eastAsia" w:ascii="仿宋" w:hAnsi="仿宋" w:eastAsia="仿宋" w:cs="仿宋"/>
                <w:b w:val="0"/>
                <w:bCs w:val="0"/>
                <w:sz w:val="21"/>
                <w:szCs w:val="21"/>
              </w:rPr>
              <w:t>⑥</w:t>
            </w:r>
            <w:r>
              <w:rPr>
                <w:rFonts w:hint="eastAsia" w:ascii="仿宋" w:hAnsi="仿宋" w:eastAsia="仿宋" w:cs="仿宋"/>
                <w:b w:val="0"/>
                <w:bCs w:val="0"/>
                <w:color w:val="000000"/>
                <w:kern w:val="0"/>
                <w:sz w:val="21"/>
                <w:szCs w:val="21"/>
                <w:lang w:val="en-US" w:eastAsia="zh-CN" w:bidi="ar"/>
              </w:rPr>
              <w:t>互开率（%）：弹子锁-锁头直径＜20mm：0.575  0.612 、弹子锁-锁头直径≥20mm：0.327  0.245 、叶片锁：1.379 0.612；密码锁的编码数：不应少于 900 个；密码锁开锁：除设定编码外，应无法开锁；弹子锁锁头结构：应具有不小于 1 项的防拨安全装置；锁舌伸出长度：不应小于 6mm ；</w:t>
            </w:r>
            <w:r>
              <w:rPr>
                <w:rFonts w:hint="eastAsia" w:ascii="仿宋" w:hAnsi="仿宋" w:eastAsia="仿宋" w:cs="仿宋"/>
                <w:b w:val="0"/>
                <w:bCs w:val="0"/>
                <w:sz w:val="21"/>
                <w:szCs w:val="21"/>
              </w:rPr>
              <w:t>⑦</w:t>
            </w:r>
            <w:r>
              <w:rPr>
                <w:rFonts w:hint="eastAsia" w:ascii="仿宋" w:hAnsi="仿宋" w:eastAsia="仿宋" w:cs="仿宋"/>
                <w:b w:val="0"/>
                <w:bCs w:val="0"/>
                <w:color w:val="000000"/>
                <w:kern w:val="0"/>
                <w:sz w:val="21"/>
                <w:szCs w:val="21"/>
                <w:lang w:val="en-US" w:eastAsia="zh-CN" w:bidi="ar"/>
              </w:rPr>
              <w:t>灵活度：钥匙插拔、旋转：弹子锁不应大于 6N，叶片锁不应大于 9N、锁舌闭合力：不应大于 50N 、钥匙开启扭矩：不应大于 0.65N·m 、密码锁的操作：密码机构操作应灵活，定位准确， 在设定的编码位置，锁开、关无卡阻现象；</w:t>
            </w:r>
            <w:r>
              <w:rPr>
                <w:rFonts w:hint="eastAsia" w:ascii="仿宋" w:hAnsi="仿宋" w:eastAsia="仿宋" w:cs="仿宋"/>
                <w:b w:val="0"/>
                <w:bCs w:val="0"/>
                <w:color w:val="000000"/>
                <w:kern w:val="0"/>
                <w:sz w:val="21"/>
                <w:szCs w:val="21"/>
                <w:lang w:val="en-US" w:eastAsia="zh-CN" w:bidi="ar"/>
              </w:rPr>
              <w:fldChar w:fldCharType="begin"/>
            </w:r>
            <w:r>
              <w:rPr>
                <w:rFonts w:hint="eastAsia" w:ascii="仿宋" w:hAnsi="仿宋" w:eastAsia="仿宋" w:cs="仿宋"/>
                <w:b w:val="0"/>
                <w:bCs w:val="0"/>
                <w:color w:val="000000"/>
                <w:kern w:val="0"/>
                <w:sz w:val="21"/>
                <w:szCs w:val="21"/>
                <w:lang w:val="en-US" w:eastAsia="zh-CN" w:bidi="ar"/>
              </w:rPr>
              <w:instrText xml:space="preserve"> = 8 \* GB3 \* MERGEFORMAT </w:instrText>
            </w:r>
            <w:r>
              <w:rPr>
                <w:rFonts w:hint="eastAsia" w:ascii="仿宋" w:hAnsi="仿宋" w:eastAsia="仿宋" w:cs="仿宋"/>
                <w:b w:val="0"/>
                <w:bCs w:val="0"/>
                <w:color w:val="000000"/>
                <w:kern w:val="0"/>
                <w:sz w:val="21"/>
                <w:szCs w:val="21"/>
                <w:lang w:val="en-US" w:eastAsia="zh-CN" w:bidi="ar"/>
              </w:rPr>
              <w:fldChar w:fldCharType="separate"/>
            </w:r>
            <w:r>
              <w:rPr>
                <w:rFonts w:hint="eastAsia" w:ascii="仿宋" w:hAnsi="仿宋" w:eastAsia="仿宋" w:cs="仿宋"/>
                <w:b w:val="0"/>
                <w:bCs w:val="0"/>
                <w:sz w:val="21"/>
                <w:szCs w:val="21"/>
              </w:rPr>
              <w:t>⑧</w:t>
            </w:r>
            <w:r>
              <w:rPr>
                <w:rFonts w:hint="eastAsia" w:ascii="仿宋" w:hAnsi="仿宋" w:eastAsia="仿宋" w:cs="仿宋"/>
                <w:b w:val="0"/>
                <w:bCs w:val="0"/>
                <w:color w:val="000000"/>
                <w:kern w:val="0"/>
                <w:sz w:val="21"/>
                <w:szCs w:val="21"/>
                <w:lang w:val="en-US" w:eastAsia="zh-CN" w:bidi="ar"/>
              </w:rPr>
              <w:fldChar w:fldCharType="end"/>
            </w:r>
            <w:r>
              <w:rPr>
                <w:rFonts w:hint="eastAsia" w:ascii="仿宋" w:hAnsi="仿宋" w:eastAsia="仿宋" w:cs="仿宋"/>
                <w:b w:val="0"/>
                <w:bCs w:val="0"/>
                <w:color w:val="000000"/>
                <w:kern w:val="0"/>
                <w:sz w:val="21"/>
                <w:szCs w:val="21"/>
                <w:lang w:val="en-US" w:eastAsia="zh-CN" w:bidi="ar"/>
              </w:rPr>
              <w:t>密码锁使用寿命：密码锁使用寿命不应少于 200000 次。</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p>
            <w:pPr>
              <w:keepNext w:val="0"/>
              <w:keepLines w:val="0"/>
              <w:widowControl/>
              <w:suppressLineNumbers w:val="0"/>
              <w:spacing w:line="240" w:lineRule="auto"/>
              <w:jc w:val="center"/>
              <w:rPr>
                <w:rFonts w:hint="eastAsia" w:ascii="仿宋" w:hAnsi="仿宋" w:eastAsia="仿宋" w:cs="仿宋"/>
                <w:b/>
                <w:bCs/>
                <w:sz w:val="21"/>
                <w:szCs w:val="21"/>
              </w:rPr>
            </w:pPr>
            <w:r>
              <w:rPr>
                <w:rFonts w:hint="eastAsia" w:ascii="仿宋" w:hAnsi="仿宋" w:eastAsia="仿宋" w:cs="仿宋"/>
                <w:sz w:val="21"/>
                <w:szCs w:val="21"/>
                <w:lang w:eastAsia="zh-CN"/>
              </w:rPr>
              <w:drawing>
                <wp:inline distT="0" distB="0" distL="114300" distR="114300">
                  <wp:extent cx="2025015" cy="1447165"/>
                  <wp:effectExtent l="0" t="0" r="1905" b="635"/>
                  <wp:docPr id="4" name="图片 4" descr="73cd67338bcb901ebb2507e7bc1e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73cd67338bcb901ebb2507e7bc1e014"/>
                          <pic:cNvPicPr>
                            <a:picLocks noChangeAspect="1"/>
                          </pic:cNvPicPr>
                        </pic:nvPicPr>
                        <pic:blipFill>
                          <a:blip r:embed="rId11"/>
                          <a:srcRect l="3717" t="14645" r="12968" b="6505"/>
                          <a:stretch>
                            <a:fillRect/>
                          </a:stretch>
                        </pic:blipFill>
                        <pic:spPr>
                          <a:xfrm>
                            <a:off x="0" y="0"/>
                            <a:ext cx="2025015" cy="1447165"/>
                          </a:xfrm>
                          <a:prstGeom prst="rect">
                            <a:avLst/>
                          </a:prstGeom>
                          <a:noFill/>
                          <a:ln>
                            <a:noFill/>
                          </a:ln>
                        </pic:spPr>
                      </pic:pic>
                    </a:graphicData>
                  </a:graphic>
                </wp:inline>
              </w:drawing>
            </w:r>
          </w:p>
          <w:p>
            <w:pPr>
              <w:pStyle w:val="21"/>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firstLine="420" w:firstLineChars="200"/>
              <w:textAlignment w:val="auto"/>
              <w:rPr>
                <w:rFonts w:hint="eastAsia" w:ascii="仿宋" w:hAnsi="仿宋" w:eastAsia="仿宋" w:cs="仿宋"/>
                <w:b w:val="0"/>
                <w:bCs w:val="0"/>
                <w:sz w:val="21"/>
                <w:szCs w:val="21"/>
                <w:lang w:val="en-US" w:eastAsia="zh-CN"/>
              </w:rPr>
            </w:pPr>
            <w:r>
              <w:rPr>
                <w:rFonts w:hint="eastAsia" w:ascii="仿宋" w:hAnsi="仿宋" w:eastAsia="仿宋" w:cs="仿宋"/>
                <w:b w:val="0"/>
                <w:bCs w:val="0"/>
                <w:color w:val="auto"/>
                <w:kern w:val="2"/>
                <w:sz w:val="21"/>
                <w:szCs w:val="21"/>
                <w:highlight w:val="none"/>
                <w:lang w:val="en-US" w:eastAsia="zh-CN" w:bidi="ar-SA"/>
              </w:rPr>
              <w:t>(18)传动摇盘（Q型传动摇盘）:</w:t>
            </w:r>
            <w:r>
              <w:rPr>
                <w:rFonts w:hint="eastAsia" w:ascii="仿宋" w:hAnsi="仿宋" w:eastAsia="仿宋" w:cs="仿宋"/>
                <w:bCs/>
                <w:sz w:val="21"/>
                <w:szCs w:val="21"/>
                <w:highlight w:val="none"/>
                <w:lang w:val="en-US" w:eastAsia="zh-CN"/>
              </w:rPr>
              <w:t>手动折叠摇把,</w:t>
            </w:r>
            <w:r>
              <w:rPr>
                <w:rFonts w:hint="eastAsia" w:ascii="仿宋" w:hAnsi="仿宋" w:eastAsia="仿宋" w:cs="仿宋"/>
                <w:bCs/>
                <w:sz w:val="21"/>
                <w:szCs w:val="21"/>
                <w:highlight w:val="none"/>
              </w:rPr>
              <w:t>采用双向离合结构，摇动任何一列均不会带动其他手柄转动，表面颜色可按需定制。</w:t>
            </w:r>
            <w:r>
              <w:rPr>
                <w:rFonts w:hint="eastAsia" w:ascii="仿宋" w:hAnsi="仿宋" w:eastAsia="仿宋" w:cs="仿宋"/>
                <w:sz w:val="21"/>
                <w:szCs w:val="21"/>
                <w:highlight w:val="none"/>
              </w:rPr>
              <w:t>摇动轻便、操作灵活且节省空间。</w:t>
            </w:r>
            <w:r>
              <w:rPr>
                <w:rFonts w:hint="eastAsia" w:ascii="仿宋" w:hAnsi="仿宋" w:eastAsia="仿宋" w:cs="仿宋"/>
                <w:b w:val="0"/>
                <w:bCs w:val="0"/>
                <w:color w:val="auto"/>
                <w:kern w:val="2"/>
                <w:sz w:val="21"/>
                <w:szCs w:val="21"/>
                <w:highlight w:val="none"/>
                <w:lang w:val="en-US" w:eastAsia="zh-CN" w:bidi="ar-SA"/>
              </w:rPr>
              <w:t>传动摇盘（Q型传动摇盘）产品符合GB/T 16422.2-2022、GB 28481-2012、GB/T 250-2008、GB/T 10357.5-2011标准；检测内容包括：邻苯二甲酸酯（DBP、BBP、DEHP、DNOP、DINP、DIDP）未检出，16种多环芳烃（PAH）总量未检出，推拉构件耐久性试验20万次，耐老化性1000h，外观颜色变色评级3-4级;投标人提供国家认可的省级及以上检验机构出具的带“CMA”和“CNAS”标识的抽样检验报告.</w:t>
            </w:r>
          </w:p>
          <w:p>
            <w:pPr>
              <w:spacing w:line="240" w:lineRule="auto"/>
              <w:rPr>
                <w:rFonts w:hint="eastAsia" w:ascii="仿宋" w:hAnsi="仿宋" w:eastAsia="仿宋" w:cs="仿宋"/>
                <w:sz w:val="21"/>
                <w:szCs w:val="21"/>
              </w:rPr>
            </w:pPr>
            <w:r>
              <w:rPr>
                <w:rFonts w:hint="eastAsia" w:ascii="仿宋" w:hAnsi="仿宋" w:eastAsia="仿宋" w:cs="仿宋"/>
                <w:sz w:val="21"/>
                <w:szCs w:val="21"/>
                <w:lang w:val="en-US" w:eastAsia="zh-CN"/>
              </w:rPr>
              <w:t>3.3、</w:t>
            </w:r>
            <w:r>
              <w:rPr>
                <w:rFonts w:hint="eastAsia" w:ascii="仿宋" w:hAnsi="仿宋" w:eastAsia="仿宋" w:cs="仿宋"/>
                <w:sz w:val="21"/>
                <w:szCs w:val="21"/>
              </w:rPr>
              <w:t>技术标准：</w:t>
            </w:r>
          </w:p>
          <w:p>
            <w:pPr>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(1)每标准节组装后，外形尺寸的极限偏差为±2mm，立柱与导轨的垂直度不大于 2mm。侧面板和中腰带的对缝处的间隙不大于 2mm，门缝间隙均匀并在 1～2mm 之间。</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(2)传动机构应转动灵活、平稳、不得有失灵现象。</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(3)导轨安装平行度偏差不大于 1mm/m，全长不大于 2mm，导轨对接处高低差不大于 0.3mm。</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(4)底梁必须平直，直线度不大于 0.5mm／m，全长不大于 2mm。</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(5)架体安装垂直度偏差小于 2mm，达到横平竖直。</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(6)各零件、组合件表面光滑、平整，不得有尖角、突起。</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(7)所有焊接件焊接牢固，焊痕打磨光滑平整。</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(8)喷塑表面色泽一致，塑面均匀光滑，无划伤。</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(9)产品各零件、组合件之间应能具有互换性。</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(10)搁板上均匀载重 400N，放置 24h 最大挠度小于 4mm，卸载后 2h搁板不得有裂缝，残余变形量不大于0.3mm。</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(11)每标准节在全负载的情况下，各结构件和架体没有明显变形，架体不应产生倾斜现象。</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(12)在全负载的情况下，各列密集架应运动自如，不得有阻滞现象，单列密集架运行，手柄摇力不大于11.5N。</w:t>
            </w:r>
          </w:p>
          <w:p>
            <w:pPr>
              <w:spacing w:line="240" w:lineRule="auto"/>
              <w:rPr>
                <w:rFonts w:hint="eastAsia" w:ascii="仿宋" w:hAnsi="仿宋" w:eastAsia="仿宋" w:cs="仿宋"/>
                <w:sz w:val="21"/>
                <w:szCs w:val="21"/>
              </w:rPr>
            </w:pPr>
            <w:r>
              <w:rPr>
                <w:rFonts w:hint="eastAsia" w:ascii="仿宋" w:hAnsi="仿宋" w:eastAsia="仿宋" w:cs="仿宋"/>
                <w:sz w:val="21"/>
                <w:szCs w:val="21"/>
                <w:lang w:val="en-US" w:eastAsia="zh-CN"/>
              </w:rPr>
              <w:t>3.</w:t>
            </w:r>
            <w:r>
              <w:rPr>
                <w:rFonts w:hint="eastAsia" w:ascii="仿宋" w:hAnsi="仿宋" w:eastAsia="仿宋" w:cs="仿宋"/>
                <w:sz w:val="21"/>
                <w:szCs w:val="21"/>
              </w:rPr>
              <w:t>4、工艺特点：</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(1)制定严格的产品企业标准，并有完善的质量检验制度和控制手段。有高精度的剪板机、折弯机、各种机械加工设备及全自动高压静电喷塑设备，工艺装备齐全。</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(2)所有钣金件、机加工件加工后均打磨毛刺，无裂痕及伤痕。</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(3)所有焊接件均焊接牢固，外表光滑平整。</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(4)每标准节组装后，质量符合技术标准要求。</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(5)产品的全部钣金件均经过严格的酸洗、除锈、磷化等十三道工序处理，选用大型流水线自动前处理喷涂设备。表面喷涂粉末材料采用具有环保性质的高强度树脂粉末。其相关技术性能完全符合档案管理要求，喷涂无死角。经此表面处理的零件耐环境腐蚀性强、涂层牢固、美观大方。表面处理工艺过程如下：预处理一 60℃-80℃热脱脂一冷水清洗一除锈一冷水清洗一中和一冷水清洗一表调一 60℃-70℃热磷化一冷水清洗一 65℃-80℃热钝化一静电喷粉一 180℃固化。漆膜附着力达到防锈能力 20 年以上。</w:t>
            </w:r>
          </w:p>
          <w:p>
            <w:pPr>
              <w:spacing w:line="240" w:lineRule="auto"/>
              <w:ind w:left="0" w:leftChars="0" w:firstLine="489" w:firstLineChars="233"/>
              <w:rPr>
                <w:rFonts w:hint="eastAsia" w:ascii="仿宋" w:hAnsi="仿宋" w:eastAsia="仿宋" w:cs="仿宋"/>
                <w:sz w:val="21"/>
                <w:szCs w:val="21"/>
              </w:rPr>
            </w:pPr>
            <w:r>
              <w:rPr>
                <w:rFonts w:hint="eastAsia" w:ascii="仿宋" w:hAnsi="仿宋" w:eastAsia="仿宋" w:cs="仿宋"/>
                <w:sz w:val="21"/>
                <w:szCs w:val="21"/>
              </w:rPr>
              <w:t>(6)表面处理：各部件在喷涂前，进行硅烷处理，每道工序分槽处理，所用标准件及紧固件均氧化或镀锌处理。冷轧钢板涂层硬度、附着力、耐碱性、耐酸性、耐湿热性、耐盐雾性均符合要求。</w:t>
            </w:r>
          </w:p>
          <w:p>
            <w:pPr>
              <w:pStyle w:val="14"/>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(7)塑粉采用优质环保型高附着力的金属表面纳米抗菌热固性粉末，表面涂层高温固化而成，提高其防锈蚀和抗菌性能。大肠杆菌、金黄色葡萄球菌、肺炎克雷伯氏菌抗细菌率均≥99%。</w:t>
            </w:r>
          </w:p>
          <w:p>
            <w:pPr>
              <w:pStyle w:val="4"/>
              <w:numPr>
                <w:ilvl w:val="0"/>
                <w:numId w:val="0"/>
              </w:numPr>
              <w:bidi w:val="0"/>
              <w:spacing w:line="240" w:lineRule="auto"/>
              <w:ind w:left="720" w:leftChars="0" w:hanging="720" w:firstLineChars="0"/>
              <w:rPr>
                <w:rFonts w:hint="eastAsia" w:ascii="仿宋" w:hAnsi="仿宋" w:eastAsia="仿宋" w:cs="仿宋"/>
                <w:b w:val="0"/>
                <w:bCs w:val="0"/>
                <w:color w:val="auto"/>
                <w:sz w:val="21"/>
                <w:szCs w:val="21"/>
                <w:highlight w:val="none"/>
              </w:rPr>
            </w:pPr>
            <w:bookmarkStart w:id="2" w:name="_Toc26735"/>
            <w:r>
              <w:rPr>
                <w:rFonts w:hint="eastAsia" w:ascii="仿宋" w:hAnsi="仿宋" w:eastAsia="仿宋" w:cs="仿宋"/>
                <w:b w:val="0"/>
                <w:bCs w:val="0"/>
                <w:color w:val="auto"/>
                <w:kern w:val="0"/>
                <w:sz w:val="21"/>
                <w:szCs w:val="21"/>
                <w:lang w:val="en-US" w:eastAsia="zh-CN" w:bidi="ar-SA"/>
              </w:rPr>
              <w:t>1</w:t>
            </w:r>
            <w:r>
              <w:rPr>
                <w:rFonts w:hint="eastAsia" w:ascii="仿宋" w:hAnsi="仿宋" w:eastAsia="仿宋" w:cs="仿宋"/>
                <w:b w:val="0"/>
                <w:bCs w:val="0"/>
                <w:color w:val="auto"/>
                <w:sz w:val="21"/>
                <w:szCs w:val="21"/>
                <w:highlight w:val="none"/>
                <w:lang w:val="en-US" w:eastAsia="zh-CN"/>
              </w:rPr>
              <w:t>附：</w:t>
            </w:r>
            <w:r>
              <w:rPr>
                <w:rFonts w:hint="eastAsia" w:ascii="仿宋" w:hAnsi="仿宋" w:eastAsia="仿宋" w:cs="仿宋"/>
                <w:b w:val="0"/>
                <w:bCs w:val="0"/>
                <w:color w:val="auto"/>
                <w:sz w:val="21"/>
                <w:szCs w:val="21"/>
                <w:highlight w:val="none"/>
              </w:rPr>
              <w:t>密集架配置说明一览表</w:t>
            </w:r>
            <w:bookmarkEnd w:id="2"/>
          </w:p>
          <w:tbl>
            <w:tblPr>
              <w:tblStyle w:val="24"/>
              <w:tblW w:w="45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9"/>
              <w:gridCol w:w="516"/>
              <w:gridCol w:w="465"/>
              <w:gridCol w:w="691"/>
              <w:gridCol w:w="711"/>
              <w:gridCol w:w="14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设备名称</w:t>
                  </w: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设备配置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材料规格</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技术参数</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性能说明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轨道</w:t>
                  </w:r>
                </w:p>
              </w:tc>
              <w:tc>
                <w:tcPr>
                  <w:tcW w:w="981"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方钢</w:t>
                  </w:r>
                </w:p>
              </w:tc>
              <w:tc>
                <w:tcPr>
                  <w:tcW w:w="69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w:t>
                  </w:r>
                  <w:r>
                    <w:rPr>
                      <w:rFonts w:hint="eastAsia" w:ascii="仿宋" w:hAnsi="仿宋" w:eastAsia="仿宋" w:cs="仿宋"/>
                      <w:b w:val="0"/>
                      <w:bCs w:val="0"/>
                      <w:color w:val="auto"/>
                      <w:sz w:val="21"/>
                      <w:szCs w:val="21"/>
                      <w:highlight w:val="none"/>
                      <w:lang w:val="en-US" w:eastAsia="zh-CN"/>
                    </w:rPr>
                    <w:t>0</w:t>
                  </w:r>
                  <w:r>
                    <w:rPr>
                      <w:rFonts w:hint="eastAsia" w:ascii="仿宋" w:hAnsi="仿宋" w:eastAsia="仿宋" w:cs="仿宋"/>
                      <w:b w:val="0"/>
                      <w:bCs w:val="0"/>
                      <w:color w:val="auto"/>
                      <w:sz w:val="21"/>
                      <w:szCs w:val="21"/>
                      <w:highlight w:val="none"/>
                    </w:rPr>
                    <w:t>*</w:t>
                  </w:r>
                  <w:r>
                    <w:rPr>
                      <w:rFonts w:hint="eastAsia" w:ascii="仿宋" w:hAnsi="仿宋" w:eastAsia="仿宋" w:cs="仿宋"/>
                      <w:b w:val="0"/>
                      <w:bCs w:val="0"/>
                      <w:color w:val="auto"/>
                      <w:sz w:val="21"/>
                      <w:szCs w:val="21"/>
                      <w:highlight w:val="none"/>
                      <w:lang w:val="en-US" w:eastAsia="zh-CN"/>
                    </w:rPr>
                    <w:t>20</w:t>
                  </w:r>
                  <w:r>
                    <w:rPr>
                      <w:rFonts w:hint="eastAsia" w:ascii="仿宋" w:hAnsi="仿宋" w:eastAsia="仿宋" w:cs="仿宋"/>
                      <w:b w:val="0"/>
                      <w:bCs w:val="0"/>
                      <w:color w:val="auto"/>
                      <w:sz w:val="21"/>
                      <w:szCs w:val="21"/>
                      <w:highlight w:val="none"/>
                    </w:rPr>
                    <w:t>mm</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color w:val="auto"/>
                      <w:sz w:val="21"/>
                      <w:szCs w:val="21"/>
                      <w:highlight w:val="none"/>
                      <w:lang w:val="en-US" w:eastAsia="zh-CN"/>
                    </w:rPr>
                    <w:t>实心方钢</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表面光洁、平整度高。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eastAsia="zh-CN"/>
                    </w:rPr>
                    <w:t>轨道板</w:t>
                  </w:r>
                </w:p>
              </w:tc>
              <w:tc>
                <w:tcPr>
                  <w:tcW w:w="69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3.0mm</w:t>
                  </w:r>
                </w:p>
              </w:tc>
              <w:tc>
                <w:tcPr>
                  <w:tcW w:w="71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热轧钢板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底盘</w:t>
                  </w: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底梁、轴承档、夹紧块</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热</w:t>
                  </w:r>
                  <w:r>
                    <w:rPr>
                      <w:rFonts w:hint="eastAsia" w:ascii="仿宋" w:hAnsi="仿宋" w:eastAsia="仿宋" w:cs="仿宋"/>
                      <w:b w:val="0"/>
                      <w:bCs w:val="0"/>
                      <w:color w:val="auto"/>
                      <w:sz w:val="21"/>
                      <w:szCs w:val="21"/>
                      <w:highlight w:val="none"/>
                    </w:rPr>
                    <w:t>轧钢板</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底盘采用整体焊接、刚性足、不变形，表面喷塑，分段式结构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架体</w:t>
                  </w: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sz w:val="21"/>
                      <w:szCs w:val="21"/>
                    </w:rPr>
                    <w:t>双P型立柱</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5</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架体结实、坚固、设备新颖，安装规范，每节单面层数和间距可自由调整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lang w:val="en-US"/>
                    </w:rPr>
                  </w:pPr>
                  <w:r>
                    <w:rPr>
                      <w:rFonts w:hint="eastAsia" w:ascii="仿宋" w:hAnsi="仿宋" w:eastAsia="仿宋" w:cs="仿宋"/>
                      <w:sz w:val="21"/>
                      <w:szCs w:val="21"/>
                    </w:rPr>
                    <w:t>双P型搁板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0</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sz w:val="21"/>
                      <w:szCs w:val="21"/>
                    </w:rPr>
                    <w:t>双菱形孔挂板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0</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sz w:val="21"/>
                      <w:szCs w:val="21"/>
                    </w:rPr>
                    <w:t>U型档棒</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1.0</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门面</w:t>
                  </w: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门框</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门板平整、款式新颖，表面亚光喷塑。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24"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bidi="ar-SA"/>
                    </w:rPr>
                    <w:t>密集门板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侧护板</w:t>
                  </w: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侧板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款式新颖，表面亚光喷塑。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传动机构</w:t>
                  </w: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轴承座</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P204</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E级</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精密度高，万向灵活，材料质量好，耐压与耐磨性能好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传动轴</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φ20</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45#圆钢</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传动机构配合精密度高，定位可靠，传动轻便灵活，摇手轻，运行平稳性能达到超过国家标准，表面镀锌处理。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连接钢管</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lang w:eastAsia="zh-CN"/>
                    </w:rPr>
                  </w:pPr>
                  <w:r>
                    <w:rPr>
                      <w:rFonts w:hint="eastAsia" w:ascii="仿宋" w:hAnsi="仿宋" w:eastAsia="仿宋" w:cs="仿宋"/>
                      <w:b w:val="0"/>
                      <w:bCs w:val="0"/>
                      <w:color w:val="auto"/>
                      <w:sz w:val="21"/>
                      <w:szCs w:val="21"/>
                      <w:highlight w:val="none"/>
                    </w:rPr>
                    <w:t>φ2</w:t>
                  </w:r>
                  <w:r>
                    <w:rPr>
                      <w:rFonts w:hint="eastAsia" w:ascii="仿宋" w:hAnsi="仿宋" w:eastAsia="仿宋" w:cs="仿宋"/>
                      <w:b w:val="0"/>
                      <w:bCs w:val="0"/>
                      <w:color w:val="auto"/>
                      <w:sz w:val="21"/>
                      <w:szCs w:val="21"/>
                      <w:highlight w:val="none"/>
                      <w:lang w:val="en-US" w:eastAsia="zh-CN"/>
                    </w:rPr>
                    <w:t>5</w:t>
                  </w:r>
                  <w:r>
                    <w:rPr>
                      <w:rFonts w:hint="eastAsia" w:ascii="仿宋" w:hAnsi="仿宋" w:eastAsia="仿宋" w:cs="仿宋"/>
                      <w:b w:val="0"/>
                      <w:bCs w:val="0"/>
                      <w:color w:val="auto"/>
                      <w:sz w:val="21"/>
                      <w:szCs w:val="21"/>
                      <w:highlight w:val="none"/>
                    </w:rPr>
                    <w:t>*2.</w:t>
                  </w:r>
                  <w:r>
                    <w:rPr>
                      <w:rFonts w:hint="eastAsia" w:ascii="仿宋" w:hAnsi="仿宋" w:eastAsia="仿宋" w:cs="仿宋"/>
                      <w:b w:val="0"/>
                      <w:bCs w:val="0"/>
                      <w:color w:val="auto"/>
                      <w:sz w:val="21"/>
                      <w:szCs w:val="21"/>
                      <w:highlight w:val="none"/>
                      <w:lang w:val="en-US" w:eastAsia="zh-CN"/>
                    </w:rPr>
                    <w:t>5</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无缝钢管</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铁滚轮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HT200</w:t>
                  </w:r>
                </w:p>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铸铁</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链轮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ZG45</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滚齿精制</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摩托车链条</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FR420</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φ8.5</w:t>
                  </w:r>
                </w:p>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节距12.7</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51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摇手体</w:t>
                  </w:r>
                </w:p>
              </w:tc>
              <w:tc>
                <w:tcPr>
                  <w:tcW w:w="465"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sz w:val="21"/>
                      <w:szCs w:val="21"/>
                      <w:lang w:val="en-US" w:eastAsia="zh-CN"/>
                    </w:rPr>
                    <w:t>摇手体</w:t>
                  </w:r>
                </w:p>
              </w:tc>
              <w:tc>
                <w:tcPr>
                  <w:tcW w:w="691" w:type="dxa"/>
                  <w:noWrap w:val="0"/>
                  <w:vAlign w:val="center"/>
                </w:tcPr>
                <w:p>
                  <w:pPr>
                    <w:keepNext w:val="0"/>
                    <w:keepLines w:val="0"/>
                    <w:pageBreakBefore w:val="0"/>
                    <w:widowControl w:val="0"/>
                    <w:kinsoku/>
                    <w:wordWrap/>
                    <w:overflowPunct/>
                    <w:topLinePunct w:val="0"/>
                    <w:autoSpaceDE/>
                    <w:autoSpaceDN/>
                    <w:bidi w:val="0"/>
                    <w:adjustRightInd/>
                    <w:snapToGrid w:val="0"/>
                    <w:spacing w:line="240" w:lineRule="auto"/>
                    <w:textAlignment w:val="auto"/>
                    <w:rPr>
                      <w:rFonts w:hint="eastAsia" w:ascii="仿宋" w:hAnsi="仿宋" w:eastAsia="仿宋" w:cs="仿宋"/>
                      <w:b w:val="0"/>
                      <w:bCs w:val="0"/>
                      <w:color w:val="auto"/>
                      <w:sz w:val="21"/>
                      <w:szCs w:val="21"/>
                      <w:highlight w:val="none"/>
                      <w:lang w:val="en-US"/>
                    </w:rPr>
                  </w:pPr>
                  <w:r>
                    <w:rPr>
                      <w:rFonts w:hint="eastAsia" w:ascii="仿宋" w:hAnsi="仿宋" w:eastAsia="仿宋" w:cs="仿宋"/>
                      <w:b w:val="0"/>
                      <w:bCs w:val="0"/>
                      <w:sz w:val="21"/>
                      <w:szCs w:val="21"/>
                      <w:lang w:val="en-US" w:eastAsia="zh-CN"/>
                    </w:rPr>
                    <w:t>ABS树脂</w:t>
                  </w:r>
                </w:p>
              </w:tc>
              <w:tc>
                <w:tcPr>
                  <w:tcW w:w="711"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color w:val="auto"/>
                      <w:sz w:val="21"/>
                      <w:szCs w:val="21"/>
                      <w:highlight w:val="none"/>
                    </w:rPr>
                    <w:t>ABS树脂材料</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color w:val="auto"/>
                      <w:sz w:val="21"/>
                      <w:szCs w:val="21"/>
                      <w:highlight w:val="none"/>
                    </w:rPr>
                    <w:t>圆盘外表</w:t>
                  </w:r>
                  <w:r>
                    <w:rPr>
                      <w:rFonts w:hint="eastAsia" w:ascii="仿宋" w:hAnsi="仿宋" w:eastAsia="仿宋" w:cs="仿宋"/>
                      <w:color w:val="auto"/>
                      <w:sz w:val="21"/>
                      <w:szCs w:val="21"/>
                      <w:highlight w:val="none"/>
                      <w:lang w:val="en-US" w:eastAsia="zh-CN"/>
                    </w:rPr>
                    <w:t>简洁</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优质塑钢</w:t>
                  </w:r>
                  <w:r>
                    <w:rPr>
                      <w:rFonts w:hint="eastAsia" w:ascii="仿宋" w:hAnsi="仿宋" w:eastAsia="仿宋" w:cs="仿宋"/>
                      <w:color w:val="auto"/>
                      <w:sz w:val="21"/>
                      <w:szCs w:val="21"/>
                      <w:highlight w:val="none"/>
                    </w:rPr>
                    <w:t>使圆盘更加牢固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51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465"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滚轮</w:t>
                  </w:r>
                </w:p>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轴承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711"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制动装置</w:t>
                  </w: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侧列锁定装置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808锁</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每一列均可锁紧，并装锁</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每列均装有制动装置，磁性密封条，操作方便，制动可靠，使用存取安全。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中列制动装置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防护装置</w:t>
                  </w: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防震、防尘装置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20mm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不锈钢</w:t>
                  </w:r>
                </w:p>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镶嵌式磁条</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顶板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每列的接触面均有缓冲及密封装置。具有良好的防震、防尘、防鼠、防光、防潮、防火功能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防尘板、防鼠板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防倾倒装置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表面处理</w:t>
                  </w: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前处理药剂</w:t>
                  </w:r>
                </w:p>
              </w:tc>
              <w:tc>
                <w:tcPr>
                  <w:tcW w:w="1402"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ZN系磷化</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高压静电</w:t>
                  </w:r>
                </w:p>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喷塑</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环氧型聚脂混合粉</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bl>
          <w:p>
            <w:pPr>
              <w:pageBreakBefore w:val="0"/>
              <w:widowControl w:val="0"/>
              <w:tabs>
                <w:tab w:val="left" w:pos="567"/>
                <w:tab w:val="left" w:pos="1266"/>
              </w:tabs>
              <w:kinsoku/>
              <w:wordWrap/>
              <w:overflowPunct/>
              <w:topLinePunct w:val="0"/>
              <w:autoSpaceDE/>
              <w:autoSpaceDN/>
              <w:bidi w:val="0"/>
              <w:snapToGrid w:val="0"/>
              <w:spacing w:beforeAutospacing="0" w:afterAutospacing="0" w:line="240" w:lineRule="auto"/>
              <w:ind w:left="0" w:firstLine="422" w:firstLineChars="200"/>
              <w:rPr>
                <w:rFonts w:hint="eastAsia" w:ascii="仿宋" w:hAnsi="仿宋" w:eastAsia="仿宋" w:cs="仿宋"/>
                <w:b/>
                <w:bCs w:val="0"/>
                <w:snapToGrid w:val="0"/>
                <w:color w:val="auto"/>
                <w:kern w:val="0"/>
                <w:sz w:val="21"/>
                <w:szCs w:val="21"/>
              </w:rPr>
            </w:pPr>
            <w:r>
              <w:rPr>
                <w:rFonts w:hint="eastAsia" w:ascii="仿宋" w:hAnsi="仿宋" w:eastAsia="仿宋" w:cs="仿宋"/>
                <w:b/>
                <w:bCs w:val="0"/>
                <w:snapToGrid w:val="0"/>
                <w:color w:val="auto"/>
                <w:kern w:val="0"/>
                <w:sz w:val="21"/>
                <w:szCs w:val="21"/>
              </w:rPr>
              <w:t>3.</w:t>
            </w:r>
            <w:r>
              <w:rPr>
                <w:rFonts w:hint="eastAsia" w:ascii="仿宋" w:hAnsi="仿宋" w:eastAsia="仿宋" w:cs="仿宋"/>
                <w:b/>
                <w:bCs w:val="0"/>
                <w:snapToGrid w:val="0"/>
                <w:color w:val="auto"/>
                <w:kern w:val="0"/>
                <w:sz w:val="21"/>
                <w:szCs w:val="21"/>
                <w:lang w:val="en-US" w:eastAsia="zh-CN"/>
              </w:rPr>
              <w:t>4</w:t>
            </w:r>
            <w:r>
              <w:rPr>
                <w:rFonts w:hint="eastAsia" w:ascii="仿宋" w:hAnsi="仿宋" w:eastAsia="仿宋" w:cs="仿宋"/>
                <w:b/>
                <w:bCs w:val="0"/>
                <w:snapToGrid w:val="0"/>
                <w:color w:val="auto"/>
                <w:kern w:val="0"/>
                <w:sz w:val="21"/>
                <w:szCs w:val="21"/>
              </w:rPr>
              <w:t>智能档案</w:t>
            </w:r>
            <w:r>
              <w:rPr>
                <w:rFonts w:hint="eastAsia" w:ascii="仿宋" w:hAnsi="仿宋" w:eastAsia="仿宋" w:cs="仿宋"/>
                <w:b/>
                <w:bCs w:val="0"/>
                <w:color w:val="auto"/>
                <w:sz w:val="21"/>
                <w:szCs w:val="21"/>
                <w:lang w:eastAsia="zh-CN"/>
              </w:rPr>
              <w:t>密集</w:t>
            </w:r>
            <w:r>
              <w:rPr>
                <w:rFonts w:hint="eastAsia" w:ascii="仿宋" w:hAnsi="仿宋" w:eastAsia="仿宋" w:cs="仿宋"/>
                <w:b/>
                <w:bCs w:val="0"/>
                <w:color w:val="auto"/>
                <w:sz w:val="21"/>
                <w:szCs w:val="21"/>
                <w:lang w:val="en-US" w:eastAsia="zh-CN"/>
              </w:rPr>
              <w:t>架</w:t>
            </w:r>
            <w:r>
              <w:rPr>
                <w:rFonts w:hint="eastAsia" w:ascii="仿宋" w:hAnsi="仿宋" w:eastAsia="仿宋" w:cs="仿宋"/>
                <w:b/>
                <w:bCs w:val="0"/>
                <w:snapToGrid w:val="0"/>
                <w:color w:val="auto"/>
                <w:kern w:val="0"/>
                <w:sz w:val="21"/>
                <w:szCs w:val="21"/>
              </w:rPr>
              <w:t>系统技术要求：</w:t>
            </w:r>
          </w:p>
          <w:p>
            <w:pPr>
              <w:pStyle w:val="3"/>
              <w:widowControl w:val="0"/>
              <w:numPr>
                <w:ilvl w:val="1"/>
                <w:numId w:val="0"/>
              </w:numPr>
              <w:tabs>
                <w:tab w:val="left" w:pos="2925"/>
              </w:tabs>
              <w:spacing w:before="20" w:after="20" w:line="240" w:lineRule="auto"/>
              <w:jc w:val="both"/>
              <w:rPr>
                <w:rFonts w:hint="eastAsia" w:ascii="仿宋" w:hAnsi="仿宋" w:eastAsia="仿宋" w:cs="仿宋"/>
                <w:bCs w:val="0"/>
                <w:sz w:val="21"/>
                <w:szCs w:val="21"/>
              </w:rPr>
            </w:pPr>
            <w:bookmarkStart w:id="3" w:name="_Toc16898"/>
            <w:r>
              <w:rPr>
                <w:rFonts w:hint="eastAsia" w:ascii="仿宋" w:hAnsi="仿宋" w:eastAsia="仿宋" w:cs="仿宋"/>
                <w:bCs w:val="0"/>
                <w:sz w:val="21"/>
                <w:szCs w:val="21"/>
              </w:rPr>
              <w:t>1系统概述</w:t>
            </w:r>
            <w:bookmarkEnd w:id="3"/>
          </w:p>
          <w:p>
            <w:pPr>
              <w:spacing w:line="240" w:lineRule="auto"/>
              <w:ind w:firstLine="480"/>
              <w:rPr>
                <w:rFonts w:hint="eastAsia" w:ascii="仿宋" w:hAnsi="仿宋" w:eastAsia="仿宋" w:cs="仿宋"/>
                <w:sz w:val="21"/>
                <w:szCs w:val="21"/>
              </w:rPr>
            </w:pPr>
            <w:r>
              <w:rPr>
                <w:rFonts w:hint="eastAsia" w:ascii="仿宋" w:hAnsi="仿宋" w:eastAsia="仿宋" w:cs="仿宋"/>
                <w:sz w:val="21"/>
                <w:szCs w:val="21"/>
                <w:lang w:val="en-US" w:eastAsia="zh-CN"/>
              </w:rPr>
              <w:t>另</w:t>
            </w:r>
            <w:r>
              <w:rPr>
                <w:rFonts w:hint="eastAsia" w:ascii="仿宋" w:hAnsi="仿宋" w:eastAsia="仿宋" w:cs="仿宋"/>
                <w:sz w:val="21"/>
                <w:szCs w:val="21"/>
              </w:rPr>
              <w:t>技术、计算机网络、生物识别技术、数据库和物联网络平台技术，开发一个具有开放体系结构的、易扩充的、易维护的、具有良好人机交互界面的智能档案存储管理平台系统。</w:t>
            </w:r>
          </w:p>
          <w:p>
            <w:pPr>
              <w:spacing w:line="240" w:lineRule="auto"/>
              <w:ind w:firstLine="480"/>
              <w:rPr>
                <w:rFonts w:hint="eastAsia" w:ascii="仿宋" w:hAnsi="仿宋" w:eastAsia="仿宋" w:cs="仿宋"/>
                <w:sz w:val="21"/>
                <w:szCs w:val="21"/>
              </w:rPr>
            </w:pPr>
            <w:r>
              <w:rPr>
                <w:rFonts w:hint="eastAsia" w:ascii="仿宋" w:hAnsi="仿宋" w:eastAsia="仿宋" w:cs="仿宋"/>
                <w:sz w:val="21"/>
                <w:szCs w:val="21"/>
              </w:rPr>
              <w:t>该系统可以快速有效地管理档案资料的出入库、调取、盘点、报表、查询等功能，实现档案部门在管理上“实时感知、实时可查”的总体要求，结合档案库房的实际情况，通过软硬件的开发与部署，全面提高档案资料管理的信息化和智能化水平，并实现管理的高效率、实时性、安全性、科学化、现代化、智能化，从而保障资料的存储安全、有序、高效运转，充分发挥其效能，提高档案管理的效率。</w:t>
            </w:r>
          </w:p>
          <w:p>
            <w:pPr>
              <w:spacing w:line="240" w:lineRule="auto"/>
              <w:ind w:firstLine="480"/>
              <w:rPr>
                <w:rFonts w:hint="eastAsia" w:ascii="仿宋" w:hAnsi="仿宋" w:eastAsia="仿宋" w:cs="仿宋"/>
                <w:sz w:val="21"/>
                <w:szCs w:val="21"/>
              </w:rPr>
            </w:pPr>
            <w:r>
              <w:rPr>
                <w:rFonts w:hint="eastAsia" w:ascii="仿宋" w:hAnsi="仿宋" w:eastAsia="仿宋" w:cs="仿宋"/>
                <w:sz w:val="21"/>
                <w:szCs w:val="21"/>
              </w:rPr>
              <w:t>整个系统功能概述：</w:t>
            </w:r>
          </w:p>
          <w:p>
            <w:pPr>
              <w:spacing w:line="240" w:lineRule="auto"/>
              <w:ind w:firstLine="480"/>
              <w:rPr>
                <w:rFonts w:hint="eastAsia" w:ascii="仿宋" w:hAnsi="仿宋" w:eastAsia="仿宋" w:cs="仿宋"/>
                <w:sz w:val="21"/>
                <w:szCs w:val="21"/>
              </w:rPr>
            </w:pPr>
            <w:r>
              <w:rPr>
                <w:rFonts w:hint="eastAsia" w:ascii="仿宋" w:hAnsi="仿宋" w:eastAsia="仿宋" w:cs="仿宋"/>
                <w:sz w:val="21"/>
                <w:szCs w:val="21"/>
              </w:rPr>
              <w:t>1、实现智能化的架体存储操作，迅速、有效、便捷的开启和关停；</w:t>
            </w:r>
          </w:p>
          <w:p>
            <w:pPr>
              <w:spacing w:line="240" w:lineRule="auto"/>
              <w:ind w:firstLine="480"/>
              <w:rPr>
                <w:rFonts w:hint="eastAsia" w:ascii="仿宋" w:hAnsi="仿宋" w:eastAsia="仿宋" w:cs="仿宋"/>
                <w:sz w:val="21"/>
                <w:szCs w:val="21"/>
              </w:rPr>
            </w:pPr>
            <w:r>
              <w:rPr>
                <w:rFonts w:hint="eastAsia" w:ascii="仿宋" w:hAnsi="仿宋" w:eastAsia="仿宋" w:cs="仿宋"/>
                <w:sz w:val="21"/>
                <w:szCs w:val="21"/>
              </w:rPr>
              <w:t>2、支持RFID的运用，自动识别档案个体的具体定位；</w:t>
            </w:r>
          </w:p>
          <w:p>
            <w:pPr>
              <w:spacing w:line="240" w:lineRule="auto"/>
              <w:ind w:firstLine="480"/>
              <w:rPr>
                <w:rFonts w:hint="eastAsia" w:ascii="仿宋" w:hAnsi="仿宋" w:eastAsia="仿宋" w:cs="仿宋"/>
                <w:sz w:val="21"/>
                <w:szCs w:val="21"/>
              </w:rPr>
            </w:pPr>
            <w:r>
              <w:rPr>
                <w:rFonts w:hint="eastAsia" w:ascii="仿宋" w:hAnsi="仿宋" w:eastAsia="仿宋" w:cs="仿宋"/>
                <w:sz w:val="21"/>
                <w:szCs w:val="21"/>
              </w:rPr>
              <w:t>3、实现多重安全保障的工作区域，确保人员万无一失；</w:t>
            </w:r>
          </w:p>
          <w:p>
            <w:pPr>
              <w:spacing w:line="240" w:lineRule="auto"/>
              <w:ind w:firstLine="480"/>
              <w:rPr>
                <w:rFonts w:hint="eastAsia" w:ascii="仿宋" w:hAnsi="仿宋" w:eastAsia="仿宋" w:cs="仿宋"/>
                <w:sz w:val="21"/>
                <w:szCs w:val="21"/>
              </w:rPr>
            </w:pPr>
            <w:r>
              <w:rPr>
                <w:rFonts w:hint="eastAsia" w:ascii="仿宋" w:hAnsi="仿宋" w:eastAsia="仿宋" w:cs="仿宋"/>
                <w:sz w:val="21"/>
                <w:szCs w:val="21"/>
              </w:rPr>
              <w:t>4、实时的环境及安全监控系统；</w:t>
            </w:r>
          </w:p>
          <w:p>
            <w:pPr>
              <w:spacing w:line="240" w:lineRule="auto"/>
              <w:ind w:firstLine="480"/>
              <w:rPr>
                <w:rFonts w:hint="eastAsia" w:ascii="仿宋" w:hAnsi="仿宋" w:eastAsia="仿宋" w:cs="仿宋"/>
                <w:sz w:val="21"/>
                <w:szCs w:val="21"/>
              </w:rPr>
            </w:pPr>
            <w:r>
              <w:rPr>
                <w:rFonts w:hint="eastAsia" w:ascii="仿宋" w:hAnsi="仿宋" w:eastAsia="仿宋" w:cs="仿宋"/>
                <w:sz w:val="21"/>
                <w:szCs w:val="21"/>
              </w:rPr>
              <w:t>5、实现管理档案、控制架体、RFID盘点多合一的智能系统。</w:t>
            </w:r>
          </w:p>
          <w:p>
            <w:pPr>
              <w:pStyle w:val="22"/>
              <w:spacing w:line="240" w:lineRule="auto"/>
              <w:ind w:left="0" w:leftChars="0" w:firstLine="0" w:firstLineChars="0"/>
              <w:rPr>
                <w:rFonts w:hint="eastAsia" w:ascii="仿宋" w:hAnsi="仿宋" w:eastAsia="仿宋" w:cs="仿宋"/>
                <w:b/>
                <w:sz w:val="21"/>
                <w:szCs w:val="21"/>
              </w:rPr>
            </w:pPr>
            <w:r>
              <w:rPr>
                <w:rFonts w:hint="eastAsia" w:ascii="仿宋" w:hAnsi="仿宋" w:eastAsia="仿宋" w:cs="仿宋"/>
                <w:b/>
                <w:sz w:val="21"/>
                <w:szCs w:val="21"/>
              </w:rPr>
              <w:t>2 技术功能说明</w:t>
            </w:r>
          </w:p>
          <w:p>
            <w:pPr>
              <w:pStyle w:val="22"/>
              <w:spacing w:line="240" w:lineRule="auto"/>
              <w:ind w:left="0" w:leftChars="0" w:firstLine="0" w:firstLineChars="0"/>
              <w:rPr>
                <w:rFonts w:hint="eastAsia" w:ascii="仿宋" w:hAnsi="仿宋" w:eastAsia="仿宋" w:cs="仿宋"/>
                <w:b/>
                <w:sz w:val="21"/>
                <w:szCs w:val="21"/>
              </w:rPr>
            </w:pPr>
          </w:p>
          <w:tbl>
            <w:tblPr>
              <w:tblStyle w:val="24"/>
              <w:tblW w:w="44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3"/>
              <w:gridCol w:w="722"/>
              <w:gridCol w:w="33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功能</w:t>
                  </w: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项目</w:t>
                  </w:r>
                </w:p>
              </w:tc>
              <w:tc>
                <w:tcPr>
                  <w:tcW w:w="3769"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9" w:hRule="atLeast"/>
                <w:jc w:val="center"/>
              </w:trPr>
              <w:tc>
                <w:tcPr>
                  <w:tcW w:w="412" w:type="pct"/>
                  <w:vMerge w:val="restart"/>
                  <w:noWrap w:val="0"/>
                  <w:vAlign w:val="center"/>
                </w:tcPr>
                <w:p>
                  <w:pPr>
                    <w:spacing w:line="240" w:lineRule="auto"/>
                    <w:jc w:val="center"/>
                    <w:rPr>
                      <w:rFonts w:hint="eastAsia" w:ascii="仿宋" w:hAnsi="仿宋" w:eastAsia="仿宋" w:cs="仿宋"/>
                      <w:kern w:val="0"/>
                      <w:sz w:val="21"/>
                      <w:szCs w:val="21"/>
                    </w:rPr>
                  </w:pPr>
                </w:p>
                <w:p>
                  <w:pPr>
                    <w:spacing w:line="240" w:lineRule="auto"/>
                    <w:jc w:val="center"/>
                    <w:rPr>
                      <w:rFonts w:hint="eastAsia" w:ascii="仿宋" w:hAnsi="仿宋" w:eastAsia="仿宋" w:cs="仿宋"/>
                      <w:kern w:val="0"/>
                      <w:sz w:val="21"/>
                      <w:szCs w:val="21"/>
                    </w:rPr>
                  </w:pPr>
                </w:p>
                <w:p>
                  <w:pPr>
                    <w:spacing w:line="240" w:lineRule="auto"/>
                    <w:jc w:val="center"/>
                    <w:rPr>
                      <w:rFonts w:hint="eastAsia" w:ascii="仿宋" w:hAnsi="仿宋" w:eastAsia="仿宋" w:cs="仿宋"/>
                      <w:kern w:val="0"/>
                      <w:sz w:val="21"/>
                      <w:szCs w:val="21"/>
                    </w:rPr>
                  </w:pPr>
                </w:p>
                <w:p>
                  <w:pPr>
                    <w:spacing w:line="240" w:lineRule="auto"/>
                    <w:jc w:val="center"/>
                    <w:rPr>
                      <w:rFonts w:hint="eastAsia" w:ascii="仿宋" w:hAnsi="仿宋" w:eastAsia="仿宋" w:cs="仿宋"/>
                      <w:kern w:val="0"/>
                      <w:sz w:val="21"/>
                      <w:szCs w:val="21"/>
                    </w:rPr>
                  </w:pPr>
                </w:p>
                <w:p>
                  <w:pPr>
                    <w:spacing w:line="240" w:lineRule="auto"/>
                    <w:jc w:val="center"/>
                    <w:rPr>
                      <w:rFonts w:hint="eastAsia" w:ascii="仿宋" w:hAnsi="仿宋" w:eastAsia="仿宋" w:cs="仿宋"/>
                      <w:kern w:val="0"/>
                      <w:sz w:val="21"/>
                      <w:szCs w:val="21"/>
                    </w:rPr>
                  </w:pPr>
                </w:p>
                <w:p>
                  <w:pPr>
                    <w:spacing w:line="240" w:lineRule="auto"/>
                    <w:jc w:val="center"/>
                    <w:rPr>
                      <w:rFonts w:hint="eastAsia" w:ascii="仿宋" w:hAnsi="仿宋" w:eastAsia="仿宋" w:cs="仿宋"/>
                      <w:kern w:val="0"/>
                      <w:sz w:val="21"/>
                      <w:szCs w:val="21"/>
                    </w:rPr>
                  </w:pPr>
                </w:p>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架</w:t>
                  </w:r>
                </w:p>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体</w:t>
                  </w:r>
                </w:p>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基</w:t>
                  </w:r>
                </w:p>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本</w:t>
                  </w:r>
                </w:p>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功</w:t>
                  </w:r>
                </w:p>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能</w:t>
                  </w:r>
                </w:p>
              </w:tc>
              <w:tc>
                <w:tcPr>
                  <w:tcW w:w="818" w:type="pct"/>
                  <w:noWrap w:val="0"/>
                  <w:vAlign w:val="center"/>
                </w:tcPr>
                <w:p>
                  <w:pPr>
                    <w:spacing w:line="240" w:lineRule="auto"/>
                    <w:rPr>
                      <w:rFonts w:hint="eastAsia" w:ascii="仿宋" w:hAnsi="仿宋" w:eastAsia="仿宋" w:cs="仿宋"/>
                      <w:kern w:val="0"/>
                      <w:sz w:val="21"/>
                      <w:szCs w:val="21"/>
                    </w:rPr>
                  </w:pPr>
                </w:p>
                <w:p>
                  <w:pPr>
                    <w:spacing w:line="240" w:lineRule="auto"/>
                    <w:rPr>
                      <w:rFonts w:hint="eastAsia" w:ascii="仿宋" w:hAnsi="仿宋" w:eastAsia="仿宋" w:cs="仿宋"/>
                      <w:kern w:val="0"/>
                      <w:sz w:val="21"/>
                      <w:szCs w:val="21"/>
                    </w:rPr>
                  </w:pPr>
                </w:p>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固定列具备智能化人机交互功能</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固定列触摸屏具有如下人机互动功能：</w:t>
                  </w:r>
                </w:p>
                <w:p>
                  <w:pPr>
                    <w:pStyle w:val="22"/>
                    <w:spacing w:line="240" w:lineRule="auto"/>
                    <w:ind w:left="0" w:leftChars="0" w:firstLine="0" w:firstLineChars="0"/>
                    <w:rPr>
                      <w:rFonts w:hint="eastAsia" w:ascii="仿宋" w:hAnsi="仿宋" w:eastAsia="仿宋" w:cs="仿宋"/>
                      <w:color w:val="000000"/>
                      <w:kern w:val="0"/>
                      <w:sz w:val="21"/>
                      <w:szCs w:val="21"/>
                    </w:rPr>
                  </w:pPr>
                  <w:r>
                    <w:rPr>
                      <w:rFonts w:hint="eastAsia" w:ascii="仿宋" w:hAnsi="仿宋" w:eastAsia="仿宋" w:cs="仿宋"/>
                      <w:color w:val="auto"/>
                      <w:kern w:val="0"/>
                      <w:sz w:val="21"/>
                      <w:szCs w:val="21"/>
                    </w:rPr>
                    <w:t>（1）</w:t>
                  </w:r>
                  <w:r>
                    <w:rPr>
                      <w:rFonts w:hint="eastAsia" w:ascii="仿宋" w:hAnsi="仿宋" w:eastAsia="仿宋" w:cs="仿宋"/>
                      <w:b w:val="0"/>
                      <w:bCs w:val="0"/>
                      <w:color w:val="auto"/>
                      <w:kern w:val="0"/>
                      <w:sz w:val="21"/>
                      <w:szCs w:val="21"/>
                    </w:rPr>
                    <w:t>固定列触摸屏具有用户中心功能，在用户中心可添加、删除用户，可注册设置用户登录密码、九宫格手势密码</w:t>
                  </w:r>
                  <w:r>
                    <w:rPr>
                      <w:rFonts w:hint="eastAsia" w:ascii="仿宋" w:hAnsi="仿宋" w:eastAsia="仿宋" w:cs="仿宋"/>
                      <w:b w:val="0"/>
                      <w:bCs w:val="0"/>
                      <w:color w:val="auto"/>
                      <w:kern w:val="0"/>
                      <w:sz w:val="21"/>
                      <w:szCs w:val="21"/>
                      <w:lang w:eastAsia="zh-CN"/>
                    </w:rPr>
                    <w:t>、</w:t>
                  </w:r>
                  <w:r>
                    <w:rPr>
                      <w:rFonts w:hint="eastAsia" w:ascii="仿宋" w:hAnsi="仿宋" w:eastAsia="仿宋" w:cs="仿宋"/>
                      <w:b/>
                      <w:bCs/>
                      <w:color w:val="000000"/>
                      <w:kern w:val="0"/>
                      <w:sz w:val="21"/>
                      <w:szCs w:val="21"/>
                    </w:rPr>
                    <w:t>指纹信息、人脸信息、RFID身份卡信息、声纹信息。</w:t>
                  </w:r>
                </w:p>
                <w:p>
                  <w:pPr>
                    <w:spacing w:line="240" w:lineRule="auto"/>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（2）智能系统开机时能自动根据实际列数生成对应的密集架3D立体图，可在3D立体图上选择任一列</w:t>
                  </w:r>
                  <w:r>
                    <w:rPr>
                      <w:rFonts w:hint="eastAsia" w:ascii="仿宋" w:hAnsi="仿宋" w:eastAsia="仿宋" w:cs="仿宋"/>
                      <w:b/>
                      <w:bCs/>
                      <w:color w:val="000000"/>
                      <w:kern w:val="0"/>
                      <w:sz w:val="21"/>
                      <w:szCs w:val="21"/>
                      <w:highlight w:val="none"/>
                    </w:rPr>
                    <w:t>上下左右滑动控</w:t>
                  </w:r>
                  <w:r>
                    <w:rPr>
                      <w:rFonts w:hint="eastAsia" w:ascii="仿宋" w:hAnsi="仿宋" w:eastAsia="仿宋" w:cs="仿宋"/>
                      <w:b/>
                      <w:bCs/>
                      <w:color w:val="000000"/>
                      <w:kern w:val="0"/>
                      <w:sz w:val="21"/>
                      <w:szCs w:val="21"/>
                    </w:rPr>
                    <w:t xml:space="preserve">制该列架体的打开、关闭、通风、锁定、查看等操作。      </w:t>
                  </w:r>
                </w:p>
                <w:p>
                  <w:pPr>
                    <w:pStyle w:val="22"/>
                    <w:spacing w:line="240" w:lineRule="auto"/>
                    <w:ind w:left="0" w:leftChars="0" w:firstLine="0" w:firstLineChars="0"/>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（3）密集架移动时，固定列显示屏有实时的、真实的的架体运行位置3D立体图形显示。</w:t>
                  </w:r>
                </w:p>
                <w:p>
                  <w:pPr>
                    <w:pStyle w:val="22"/>
                    <w:spacing w:line="240" w:lineRule="auto"/>
                    <w:ind w:left="0" w:leftChars="0" w:firstLine="0" w:firstLineChars="0"/>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具有系统消息、语音消息、业务消息、系统状态、历史记录的查看功能；具有架体操作、档案查询、温湿度查询、查看列、电子标牌、音量调节等常用功能的快捷菜单，</w:t>
                  </w:r>
                  <w:r>
                    <w:rPr>
                      <w:rFonts w:hint="eastAsia" w:ascii="仿宋" w:hAnsi="仿宋" w:eastAsia="仿宋" w:cs="仿宋"/>
                      <w:b/>
                      <w:bCs/>
                      <w:color w:val="000000"/>
                      <w:kern w:val="0"/>
                      <w:sz w:val="21"/>
                      <w:szCs w:val="21"/>
                    </w:rPr>
                    <w:t>快捷菜单可以3D轮动旋转效果显示。</w:t>
                  </w:r>
                </w:p>
                <w:p>
                  <w:pPr>
                    <w:pStyle w:val="22"/>
                    <w:spacing w:line="240" w:lineRule="auto"/>
                    <w:ind w:left="0" w:leftChars="0" w:firstLine="0" w:firstLineChars="0"/>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w:t>
                  </w:r>
                  <w:r>
                    <w:rPr>
                      <w:rFonts w:hint="eastAsia" w:ascii="仿宋" w:hAnsi="仿宋" w:eastAsia="仿宋" w:cs="仿宋"/>
                      <w:b/>
                      <w:bCs/>
                      <w:color w:val="000000"/>
                      <w:kern w:val="0"/>
                      <w:sz w:val="21"/>
                      <w:szCs w:val="21"/>
                      <w:lang w:val="en-US" w:eastAsia="zh-CN"/>
                    </w:rPr>
                    <w:t>5</w:t>
                  </w:r>
                  <w:r>
                    <w:rPr>
                      <w:rFonts w:hint="eastAsia" w:ascii="仿宋" w:hAnsi="仿宋" w:eastAsia="仿宋" w:cs="仿宋"/>
                      <w:b/>
                      <w:bCs/>
                      <w:color w:val="000000"/>
                      <w:kern w:val="0"/>
                      <w:sz w:val="21"/>
                      <w:szCs w:val="21"/>
                    </w:rPr>
                    <w:t>）具有超高频档案标签扫描开架功能，将贴有标签的档案在RFID扫描平台上进行扫描，系统自动查询对应的档案并将对应列密集架自动打开，标签读写器频率为902MHz-928MHz，读写器功率≤30dBm。</w:t>
                  </w:r>
                </w:p>
                <w:p>
                  <w:pPr>
                    <w:spacing w:line="240" w:lineRule="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6</w:t>
                  </w:r>
                  <w:r>
                    <w:rPr>
                      <w:rFonts w:hint="eastAsia" w:ascii="仿宋" w:hAnsi="仿宋" w:eastAsia="仿宋" w:cs="仿宋"/>
                      <w:color w:val="000000"/>
                      <w:kern w:val="0"/>
                      <w:sz w:val="21"/>
                      <w:szCs w:val="21"/>
                    </w:rPr>
                    <w:t>）档案查询可通过关键词、档案号、标签信息查找到档案所在的位置。</w:t>
                  </w:r>
                </w:p>
                <w:p>
                  <w:pPr>
                    <w:spacing w:line="240" w:lineRule="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7</w:t>
                  </w:r>
                  <w:r>
                    <w:rPr>
                      <w:rFonts w:hint="eastAsia" w:ascii="仿宋" w:hAnsi="仿宋" w:eastAsia="仿宋" w:cs="仿宋"/>
                      <w:color w:val="000000"/>
                      <w:kern w:val="0"/>
                      <w:sz w:val="21"/>
                      <w:szCs w:val="21"/>
                    </w:rPr>
                    <w:t>）图形化查询任意列，以获得该列的档案存储信息。</w:t>
                  </w:r>
                </w:p>
                <w:p>
                  <w:pPr>
                    <w:spacing w:line="240" w:lineRule="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8</w:t>
                  </w:r>
                  <w:r>
                    <w:rPr>
                      <w:rFonts w:hint="eastAsia" w:ascii="仿宋" w:hAnsi="仿宋" w:eastAsia="仿宋" w:cs="仿宋"/>
                      <w:color w:val="000000"/>
                      <w:kern w:val="0"/>
                      <w:sz w:val="21"/>
                      <w:szCs w:val="21"/>
                    </w:rPr>
                    <w:t>）支持环境管理，可显示近24小时温湿度、</w:t>
                  </w:r>
                  <w:r>
                    <w:rPr>
                      <w:rFonts w:hint="eastAsia" w:ascii="仿宋" w:hAnsi="仿宋" w:eastAsia="仿宋" w:cs="仿宋"/>
                      <w:b/>
                      <w:bCs/>
                      <w:color w:val="000000"/>
                      <w:kern w:val="0"/>
                      <w:sz w:val="21"/>
                      <w:szCs w:val="21"/>
                      <w:lang w:val="en-US" w:eastAsia="zh-CN" w:bidi="ar-SA"/>
                    </w:rPr>
                    <w:t>PM2.5、TVOC、甲醛、CO2</w:t>
                  </w:r>
                  <w:r>
                    <w:rPr>
                      <w:rFonts w:hint="eastAsia" w:ascii="仿宋" w:hAnsi="仿宋" w:eastAsia="仿宋" w:cs="仿宋"/>
                      <w:color w:val="000000"/>
                      <w:kern w:val="0"/>
                      <w:sz w:val="21"/>
                      <w:szCs w:val="21"/>
                    </w:rPr>
                    <w:t>数据信息以及数据曲线，曲线可放大缩小查看。</w:t>
                  </w:r>
                  <w:r>
                    <w:rPr>
                      <w:rFonts w:hint="eastAsia" w:ascii="仿宋" w:hAnsi="仿宋" w:eastAsia="仿宋" w:cs="仿宋"/>
                      <w:b/>
                      <w:bCs/>
                      <w:color w:val="000000"/>
                      <w:kern w:val="0"/>
                      <w:sz w:val="21"/>
                      <w:szCs w:val="21"/>
                    </w:rPr>
                    <w:t>环境显示页面可以投射灯光动态颜色变化效果显示环境参数。</w:t>
                  </w:r>
                </w:p>
                <w:p>
                  <w:pPr>
                    <w:spacing w:line="240" w:lineRule="auto"/>
                    <w:rPr>
                      <w:rFonts w:hint="eastAsia" w:ascii="仿宋" w:hAnsi="仿宋" w:eastAsia="仿宋" w:cs="仿宋"/>
                      <w:sz w:val="21"/>
                      <w:szCs w:val="21"/>
                    </w:rPr>
                  </w:pPr>
                  <w:r>
                    <w:rPr>
                      <w:rFonts w:hint="eastAsia" w:ascii="仿宋" w:hAnsi="仿宋" w:eastAsia="仿宋" w:cs="仿宋"/>
                      <w:kern w:val="0"/>
                      <w:sz w:val="21"/>
                      <w:szCs w:val="21"/>
                    </w:rPr>
                    <w:t>（</w:t>
                  </w:r>
                  <w:r>
                    <w:rPr>
                      <w:rFonts w:hint="eastAsia" w:ascii="仿宋" w:hAnsi="仿宋" w:eastAsia="仿宋" w:cs="仿宋"/>
                      <w:kern w:val="0"/>
                      <w:sz w:val="21"/>
                      <w:szCs w:val="21"/>
                      <w:lang w:val="en-US" w:eastAsia="zh-CN"/>
                    </w:rPr>
                    <w:t>9</w:t>
                  </w:r>
                  <w:r>
                    <w:rPr>
                      <w:rFonts w:hint="eastAsia" w:ascii="仿宋" w:hAnsi="仿宋" w:eastAsia="仿宋" w:cs="仿宋"/>
                      <w:kern w:val="0"/>
                      <w:sz w:val="21"/>
                      <w:szCs w:val="21"/>
                    </w:rPr>
                    <w:t>）具有语音开启、声音关闭、系统参数设置等功能；系统参数设置必须输入正确的九宫格手势才能进行设置。</w:t>
                  </w:r>
                </w:p>
                <w:p>
                  <w:pPr>
                    <w:spacing w:line="240" w:lineRule="auto"/>
                    <w:rPr>
                      <w:rFonts w:hint="eastAsia" w:ascii="仿宋" w:hAnsi="仿宋" w:eastAsia="仿宋" w:cs="仿宋"/>
                      <w:kern w:val="0"/>
                      <w:sz w:val="21"/>
                      <w:szCs w:val="21"/>
                      <w:lang w:val="en-US" w:eastAsia="zh-CN"/>
                    </w:rPr>
                  </w:pP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0</w:t>
                  </w:r>
                  <w:r>
                    <w:rPr>
                      <w:rFonts w:hint="eastAsia" w:ascii="仿宋" w:hAnsi="仿宋" w:eastAsia="仿宋" w:cs="仿宋"/>
                      <w:kern w:val="0"/>
                      <w:sz w:val="21"/>
                      <w:szCs w:val="21"/>
                    </w:rPr>
                    <w:t>）系统具有操作帮助功能，可查看详细的用户操作手册（PDF格式）</w:t>
                  </w:r>
                </w:p>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1</w:t>
                  </w:r>
                  <w:r>
                    <w:rPr>
                      <w:rFonts w:hint="eastAsia" w:ascii="仿宋" w:hAnsi="仿宋" w:eastAsia="仿宋" w:cs="仿宋"/>
                      <w:kern w:val="0"/>
                      <w:sz w:val="21"/>
                      <w:szCs w:val="21"/>
                    </w:rPr>
                    <w:t>）显示区域内所在区号及区号描述、列号、状态等信息。</w:t>
                  </w:r>
                </w:p>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2</w:t>
                  </w:r>
                  <w:r>
                    <w:rPr>
                      <w:rFonts w:hint="eastAsia" w:ascii="仿宋" w:hAnsi="仿宋" w:eastAsia="仿宋" w:cs="仿宋"/>
                      <w:kern w:val="0"/>
                      <w:sz w:val="21"/>
                      <w:szCs w:val="21"/>
                    </w:rPr>
                    <w:t>）具有良好的人机交互功能，任意界面三指收拢可迅速返回首页，全程语音提示。</w:t>
                  </w:r>
                </w:p>
                <w:p>
                  <w:pPr>
                    <w:pStyle w:val="22"/>
                    <w:spacing w:line="240" w:lineRule="auto"/>
                    <w:ind w:left="0" w:leftChars="0" w:firstLine="0" w:firstLineChars="0"/>
                    <w:rPr>
                      <w:rFonts w:hint="eastAsia" w:ascii="仿宋" w:hAnsi="仿宋" w:eastAsia="仿宋" w:cs="仿宋"/>
                      <w:kern w:val="0"/>
                      <w:sz w:val="21"/>
                      <w:szCs w:val="21"/>
                    </w:rPr>
                  </w:pP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3</w:t>
                  </w:r>
                  <w:r>
                    <w:rPr>
                      <w:rFonts w:hint="eastAsia" w:ascii="仿宋" w:hAnsi="仿宋" w:eastAsia="仿宋" w:cs="仿宋"/>
                      <w:kern w:val="0"/>
                      <w:sz w:val="21"/>
                      <w:szCs w:val="21"/>
                    </w:rPr>
                    <w:t>）可以设置并显示密集架所存放档案的电子标牌。</w:t>
                  </w:r>
                </w:p>
                <w:p>
                  <w:pPr>
                    <w:pStyle w:val="22"/>
                    <w:spacing w:line="240" w:lineRule="auto"/>
                    <w:ind w:left="0" w:leftChars="0" w:firstLine="0" w:firstLineChars="0"/>
                    <w:rPr>
                      <w:rFonts w:hint="eastAsia" w:ascii="仿宋" w:hAnsi="仿宋" w:eastAsia="仿宋" w:cs="仿宋"/>
                      <w:kern w:val="0"/>
                      <w:sz w:val="21"/>
                      <w:szCs w:val="21"/>
                    </w:rPr>
                  </w:pP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4</w:t>
                  </w:r>
                  <w:r>
                    <w:rPr>
                      <w:rFonts w:hint="eastAsia" w:ascii="仿宋" w:hAnsi="仿宋" w:eastAsia="仿宋" w:cs="仿宋"/>
                      <w:kern w:val="0"/>
                      <w:sz w:val="21"/>
                      <w:szCs w:val="21"/>
                    </w:rPr>
                    <w:t>）语音控制唤醒电子标牌界面。通过离线语音声控，可在任意其它界面切换至电子标牌显示的界面，方便人员快速获知该列档案类型（例如：财务档案、人事档案、文书档案等等）。</w:t>
                  </w:r>
                </w:p>
                <w:p>
                  <w:pPr>
                    <w:pStyle w:val="22"/>
                    <w:spacing w:line="240" w:lineRule="auto"/>
                    <w:ind w:left="0" w:leftChars="0" w:firstLine="0" w:firstLineChars="0"/>
                    <w:rPr>
                      <w:rFonts w:hint="eastAsia" w:ascii="仿宋" w:hAnsi="仿宋" w:eastAsia="仿宋" w:cs="仿宋"/>
                      <w:kern w:val="0"/>
                      <w:sz w:val="21"/>
                      <w:szCs w:val="21"/>
                    </w:rPr>
                  </w:pP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5</w:t>
                  </w:r>
                  <w:r>
                    <w:rPr>
                      <w:rFonts w:hint="eastAsia" w:ascii="仿宋" w:hAnsi="仿宋" w:eastAsia="仿宋" w:cs="仿宋"/>
                      <w:kern w:val="0"/>
                      <w:sz w:val="21"/>
                      <w:szCs w:val="21"/>
                    </w:rPr>
                    <w:t>）具有语音搜索及查询翻页功能，在固定列查询档案时，可根据档案关键词或档案号语音搜索对应的档案，并且可通过语音说出“上一页”、“下一页”、”第XX页”，可以实现对搜索结果的任意翻页。</w:t>
                  </w:r>
                </w:p>
                <w:p>
                  <w:pPr>
                    <w:pStyle w:val="22"/>
                    <w:spacing w:line="240" w:lineRule="auto"/>
                    <w:ind w:left="0" w:leftChars="0" w:firstLine="0" w:firstLineChars="0"/>
                    <w:rPr>
                      <w:rFonts w:hint="eastAsia" w:ascii="仿宋" w:hAnsi="仿宋" w:eastAsia="仿宋" w:cs="仿宋"/>
                      <w:kern w:val="0"/>
                      <w:sz w:val="21"/>
                      <w:szCs w:val="21"/>
                    </w:rPr>
                  </w:pP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6</w:t>
                  </w:r>
                  <w:r>
                    <w:rPr>
                      <w:rFonts w:hint="eastAsia" w:ascii="仿宋" w:hAnsi="仿宋" w:eastAsia="仿宋" w:cs="仿宋"/>
                      <w:kern w:val="0"/>
                      <w:sz w:val="21"/>
                      <w:szCs w:val="21"/>
                    </w:rPr>
                    <w:t>）在固定列查询档案时，可在线浏览档案的数字内容，数字内容可手势翻页，放大缩小。</w:t>
                  </w:r>
                </w:p>
                <w:p>
                  <w:pPr>
                    <w:pStyle w:val="22"/>
                    <w:spacing w:line="240" w:lineRule="auto"/>
                    <w:ind w:left="0" w:leftChars="0" w:firstLine="0" w:firstLineChars="0"/>
                    <w:rPr>
                      <w:rFonts w:hint="eastAsia" w:ascii="仿宋" w:hAnsi="仿宋" w:eastAsia="仿宋" w:cs="仿宋"/>
                      <w:kern w:val="0"/>
                      <w:sz w:val="21"/>
                      <w:szCs w:val="21"/>
                    </w:rPr>
                  </w:pP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7</w:t>
                  </w:r>
                  <w:r>
                    <w:rPr>
                      <w:rFonts w:hint="eastAsia" w:ascii="仿宋" w:hAnsi="仿宋" w:eastAsia="仿宋" w:cs="仿宋"/>
                      <w:kern w:val="0"/>
                      <w:sz w:val="21"/>
                      <w:szCs w:val="21"/>
                    </w:rPr>
                    <w:t xml:space="preserve">）密集架区描述和公告内容可以通过固定列屏触摸的方式直接进行编辑，可以设置区描述公告内容的字体类型、颜色，字体类型不少于7种，字体颜色不少于30种。        </w:t>
                  </w:r>
                </w:p>
                <w:p>
                  <w:pPr>
                    <w:pStyle w:val="22"/>
                    <w:spacing w:line="240" w:lineRule="auto"/>
                    <w:ind w:left="0" w:leftChars="0" w:firstLine="0" w:firstLineChars="0"/>
                    <w:rPr>
                      <w:rFonts w:hint="eastAsia" w:ascii="仿宋" w:hAnsi="仿宋" w:eastAsia="仿宋" w:cs="仿宋"/>
                      <w:kern w:val="0"/>
                      <w:sz w:val="21"/>
                      <w:szCs w:val="21"/>
                    </w:rPr>
                  </w:pPr>
                  <w:r>
                    <w:rPr>
                      <w:rFonts w:hint="eastAsia" w:ascii="仿宋" w:hAnsi="仿宋" w:eastAsia="仿宋" w:cs="仿宋"/>
                      <w:kern w:val="0"/>
                      <w:sz w:val="21"/>
                      <w:szCs w:val="21"/>
                    </w:rPr>
                    <w:t>（1</w:t>
                  </w:r>
                  <w:r>
                    <w:rPr>
                      <w:rFonts w:hint="eastAsia" w:ascii="仿宋" w:hAnsi="仿宋" w:eastAsia="仿宋" w:cs="仿宋"/>
                      <w:kern w:val="0"/>
                      <w:sz w:val="21"/>
                      <w:szCs w:val="21"/>
                      <w:lang w:val="en-US" w:eastAsia="zh-CN"/>
                    </w:rPr>
                    <w:t>8</w:t>
                  </w:r>
                  <w:r>
                    <w:rPr>
                      <w:rFonts w:hint="eastAsia" w:ascii="仿宋" w:hAnsi="仿宋" w:eastAsia="仿宋" w:cs="仿宋"/>
                      <w:kern w:val="0"/>
                      <w:sz w:val="21"/>
                      <w:szCs w:val="21"/>
                    </w:rPr>
                    <w:t>）固定列触摸显示屏支持可通过手写输入、智慧拼音输入法、语音输入法等多种方式实现关键字查询档案信息。</w:t>
                  </w:r>
                </w:p>
                <w:p>
                  <w:pPr>
                    <w:pStyle w:val="22"/>
                    <w:spacing w:line="240" w:lineRule="auto"/>
                    <w:ind w:left="0" w:leftChars="0" w:firstLine="0" w:firstLineChars="0"/>
                    <w:rPr>
                      <w:rFonts w:hint="eastAsia" w:ascii="仿宋" w:hAnsi="仿宋" w:eastAsia="仿宋" w:cs="仿宋"/>
                      <w:sz w:val="21"/>
                      <w:szCs w:val="21"/>
                      <w:lang w:eastAsia="zh-CN"/>
                    </w:rPr>
                  </w:pPr>
                  <w:r>
                    <w:rPr>
                      <w:rFonts w:hint="eastAsia" w:ascii="仿宋" w:hAnsi="仿宋" w:eastAsia="仿宋" w:cs="仿宋"/>
                      <w:b/>
                      <w:bCs/>
                      <w:color w:val="000000"/>
                      <w:kern w:val="0"/>
                      <w:sz w:val="21"/>
                      <w:szCs w:val="21"/>
                    </w:rPr>
                    <w:t>（</w:t>
                  </w:r>
                  <w:r>
                    <w:rPr>
                      <w:rFonts w:hint="eastAsia" w:ascii="仿宋" w:hAnsi="仿宋" w:eastAsia="仿宋" w:cs="仿宋"/>
                      <w:b/>
                      <w:bCs/>
                      <w:color w:val="000000"/>
                      <w:kern w:val="0"/>
                      <w:sz w:val="21"/>
                      <w:szCs w:val="21"/>
                      <w:lang w:val="en-US" w:eastAsia="zh-CN"/>
                    </w:rPr>
                    <w:t>19</w:t>
                  </w:r>
                  <w:r>
                    <w:rPr>
                      <w:rFonts w:hint="eastAsia" w:ascii="仿宋" w:hAnsi="仿宋" w:eastAsia="仿宋" w:cs="仿宋"/>
                      <w:b/>
                      <w:bCs/>
                      <w:color w:val="000000"/>
                      <w:kern w:val="0"/>
                      <w:sz w:val="21"/>
                      <w:szCs w:val="21"/>
                    </w:rPr>
                    <w:t>）</w:t>
                  </w:r>
                  <w:r>
                    <w:rPr>
                      <w:rFonts w:hint="eastAsia" w:ascii="仿宋" w:hAnsi="仿宋" w:eastAsia="仿宋" w:cs="仿宋"/>
                      <w:b/>
                      <w:bCs/>
                      <w:color w:val="000000"/>
                      <w:sz w:val="21"/>
                      <w:szCs w:val="21"/>
                    </w:rPr>
                    <w:t>固定列屏上可显示某个团组真实的3D实景，通过指尖滑动，可以在显示屏上360°旋转、放大、缩小3D场景，可直接在3D图形上进行密集架打开，关闭，通风，锁定等操作。3D库房实景可根据实际库房情况做更换。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移动列具备智能化人机互动功能</w:t>
                  </w:r>
                </w:p>
              </w:tc>
              <w:tc>
                <w:tcPr>
                  <w:tcW w:w="3769" w:type="pct"/>
                  <w:noWrap w:val="0"/>
                  <w:vAlign w:val="center"/>
                </w:tcPr>
                <w:p>
                  <w:pPr>
                    <w:spacing w:line="240" w:lineRule="auto"/>
                    <w:rPr>
                      <w:rFonts w:hint="eastAsia" w:ascii="仿宋" w:hAnsi="仿宋" w:eastAsia="仿宋" w:cs="仿宋"/>
                      <w:sz w:val="21"/>
                      <w:szCs w:val="21"/>
                    </w:rPr>
                  </w:pPr>
                  <w:r>
                    <w:rPr>
                      <w:rFonts w:hint="eastAsia" w:ascii="仿宋" w:hAnsi="仿宋" w:eastAsia="仿宋" w:cs="仿宋"/>
                      <w:sz w:val="21"/>
                      <w:szCs w:val="21"/>
                    </w:rPr>
                    <w:t>移动列实现如下功能：</w:t>
                  </w:r>
                </w:p>
                <w:p>
                  <w:pPr>
                    <w:spacing w:line="240" w:lineRule="auto"/>
                    <w:rPr>
                      <w:rFonts w:hint="eastAsia" w:ascii="仿宋" w:hAnsi="仿宋" w:eastAsia="仿宋" w:cs="仿宋"/>
                      <w:sz w:val="21"/>
                      <w:szCs w:val="21"/>
                    </w:rPr>
                  </w:pPr>
                  <w:r>
                    <w:rPr>
                      <w:rFonts w:hint="eastAsia" w:ascii="仿宋" w:hAnsi="仿宋" w:eastAsia="仿宋" w:cs="仿宋"/>
                      <w:sz w:val="21"/>
                      <w:szCs w:val="21"/>
                    </w:rPr>
                    <w:t>（1） 通电开机2秒内即可控制架体的全区域关闭、打开、通风、锁定等操作，支持手势滑动操作，同时具备语音提示。</w:t>
                  </w:r>
                </w:p>
                <w:p>
                  <w:pPr>
                    <w:spacing w:line="240" w:lineRule="auto"/>
                    <w:rPr>
                      <w:rFonts w:hint="eastAsia" w:ascii="仿宋" w:hAnsi="仿宋" w:eastAsia="仿宋" w:cs="仿宋"/>
                      <w:sz w:val="21"/>
                      <w:szCs w:val="21"/>
                    </w:rPr>
                  </w:pPr>
                  <w:r>
                    <w:rPr>
                      <w:rFonts w:hint="eastAsia" w:ascii="仿宋" w:hAnsi="仿宋" w:eastAsia="仿宋" w:cs="仿宋"/>
                      <w:sz w:val="21"/>
                      <w:szCs w:val="21"/>
                    </w:rPr>
                    <w:t>（2）具有图形化查询本列的档案存储信息以及通过关键词、档案号查询档案所在的位置并能自动打开。</w:t>
                  </w:r>
                </w:p>
                <w:p>
                  <w:pPr>
                    <w:spacing w:line="240" w:lineRule="auto"/>
                    <w:rPr>
                      <w:rFonts w:hint="eastAsia" w:ascii="仿宋" w:hAnsi="仿宋" w:eastAsia="仿宋" w:cs="仿宋"/>
                      <w:sz w:val="21"/>
                      <w:szCs w:val="21"/>
                    </w:rPr>
                  </w:pPr>
                  <w:r>
                    <w:rPr>
                      <w:rFonts w:hint="eastAsia" w:ascii="仿宋" w:hAnsi="仿宋" w:eastAsia="仿宋" w:cs="仿宋"/>
                      <w:sz w:val="21"/>
                      <w:szCs w:val="21"/>
                    </w:rPr>
                    <w:t>（3）具有电机、灯光等参数设置菜单；支持运行时实时显示移动距离及工作电流；支持通讯状态实时显示；支持灯光独立控制。</w:t>
                  </w:r>
                </w:p>
                <w:p>
                  <w:pPr>
                    <w:spacing w:line="240" w:lineRule="auto"/>
                    <w:rPr>
                      <w:rFonts w:hint="eastAsia" w:ascii="仿宋" w:hAnsi="仿宋" w:eastAsia="仿宋" w:cs="仿宋"/>
                      <w:sz w:val="21"/>
                      <w:szCs w:val="21"/>
                    </w:rPr>
                  </w:pPr>
                  <w:r>
                    <w:rPr>
                      <w:rFonts w:hint="eastAsia" w:ascii="仿宋" w:hAnsi="仿宋" w:eastAsia="仿宋" w:cs="仿宋"/>
                      <w:sz w:val="21"/>
                      <w:szCs w:val="21"/>
                    </w:rPr>
                    <w:t>（4）显示近24小时温湿度、</w:t>
                  </w:r>
                  <w:r>
                    <w:rPr>
                      <w:rFonts w:hint="eastAsia" w:ascii="仿宋" w:hAnsi="仿宋" w:eastAsia="仿宋" w:cs="仿宋"/>
                      <w:b/>
                      <w:bCs/>
                      <w:color w:val="000000"/>
                      <w:sz w:val="21"/>
                      <w:szCs w:val="21"/>
                    </w:rPr>
                    <w:t>PM2.5、</w:t>
                  </w:r>
                  <w:r>
                    <w:rPr>
                      <w:rFonts w:hint="eastAsia" w:ascii="仿宋" w:hAnsi="仿宋" w:eastAsia="仿宋" w:cs="仿宋"/>
                      <w:b/>
                      <w:bCs/>
                      <w:color w:val="000000"/>
                      <w:sz w:val="21"/>
                      <w:szCs w:val="21"/>
                      <w:lang w:eastAsia="zh-CN"/>
                    </w:rPr>
                    <w:t>TVOC</w:t>
                  </w:r>
                  <w:r>
                    <w:rPr>
                      <w:rFonts w:hint="eastAsia" w:ascii="仿宋" w:hAnsi="仿宋" w:eastAsia="仿宋" w:cs="仿宋"/>
                      <w:b/>
                      <w:bCs/>
                      <w:color w:val="000000"/>
                      <w:sz w:val="21"/>
                      <w:szCs w:val="21"/>
                    </w:rPr>
                    <w:t>、CO2、甲醛</w:t>
                  </w:r>
                  <w:r>
                    <w:rPr>
                      <w:rFonts w:hint="eastAsia" w:ascii="仿宋" w:hAnsi="仿宋" w:eastAsia="仿宋" w:cs="仿宋"/>
                      <w:sz w:val="21"/>
                      <w:szCs w:val="21"/>
                    </w:rPr>
                    <w:t>数据信息以及数据曲线，曲线可放大缩小查看；</w:t>
                  </w:r>
                </w:p>
                <w:p>
                  <w:pPr>
                    <w:spacing w:line="240" w:lineRule="auto"/>
                    <w:rPr>
                      <w:rFonts w:hint="eastAsia" w:ascii="仿宋" w:hAnsi="仿宋" w:eastAsia="仿宋" w:cs="仿宋"/>
                      <w:sz w:val="21"/>
                      <w:szCs w:val="21"/>
                    </w:rPr>
                  </w:pPr>
                  <w:r>
                    <w:rPr>
                      <w:rFonts w:hint="eastAsia" w:ascii="仿宋" w:hAnsi="仿宋" w:eastAsia="仿宋" w:cs="仿宋"/>
                      <w:sz w:val="21"/>
                      <w:szCs w:val="21"/>
                    </w:rPr>
                    <w:t>（5）显示所在区号及描述、列号、通告、状态等信息；显示密集架所存放档案类型的电子标牌。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采用高分辨率彩色触摸屏</w:t>
                  </w:r>
                </w:p>
              </w:tc>
              <w:tc>
                <w:tcPr>
                  <w:tcW w:w="3769" w:type="pct"/>
                  <w:noWrap w:val="0"/>
                  <w:vAlign w:val="center"/>
                </w:tcPr>
                <w:p>
                  <w:pPr>
                    <w:numPr>
                      <w:ilvl w:val="0"/>
                      <w:numId w:val="2"/>
                    </w:numPr>
                    <w:spacing w:line="240" w:lineRule="auto"/>
                    <w:rPr>
                      <w:rFonts w:hint="eastAsia" w:ascii="仿宋" w:hAnsi="仿宋" w:eastAsia="仿宋" w:cs="仿宋"/>
                      <w:color w:val="000000"/>
                      <w:sz w:val="21"/>
                      <w:szCs w:val="21"/>
                    </w:rPr>
                  </w:pPr>
                  <w:r>
                    <w:rPr>
                      <w:rFonts w:hint="eastAsia" w:ascii="仿宋" w:hAnsi="仿宋" w:eastAsia="仿宋" w:cs="仿宋"/>
                      <w:b/>
                      <w:bCs/>
                      <w:color w:val="000000"/>
                      <w:sz w:val="21"/>
                      <w:szCs w:val="21"/>
                    </w:rPr>
                    <w:t>固定列触摸屏尺寸≥21寸（不含外壳），分辨率≥1920×1080dpi</w:t>
                  </w:r>
                  <w:r>
                    <w:rPr>
                      <w:rFonts w:hint="eastAsia" w:ascii="仿宋" w:hAnsi="仿宋" w:eastAsia="仿宋" w:cs="仿宋"/>
                      <w:b w:val="0"/>
                      <w:bCs w:val="0"/>
                      <w:color w:val="000000"/>
                      <w:sz w:val="21"/>
                      <w:szCs w:val="21"/>
                    </w:rPr>
                    <w:t>，</w:t>
                  </w:r>
                  <w:r>
                    <w:rPr>
                      <w:rFonts w:hint="eastAsia" w:ascii="仿宋" w:hAnsi="仿宋" w:eastAsia="仿宋" w:cs="仿宋"/>
                      <w:color w:val="000000"/>
                      <w:sz w:val="21"/>
                      <w:szCs w:val="21"/>
                    </w:rPr>
                    <w:t>操作系统采用开源的Android系统，竖屏安装。</w:t>
                  </w:r>
                </w:p>
                <w:p>
                  <w:pPr>
                    <w:numPr>
                      <w:ilvl w:val="0"/>
                      <w:numId w:val="2"/>
                    </w:numPr>
                    <w:spacing w:line="240" w:lineRule="auto"/>
                    <w:rPr>
                      <w:rFonts w:hint="eastAsia" w:ascii="仿宋" w:hAnsi="仿宋" w:eastAsia="仿宋" w:cs="仿宋"/>
                      <w:color w:val="000000"/>
                      <w:sz w:val="21"/>
                      <w:szCs w:val="21"/>
                    </w:rPr>
                  </w:pPr>
                  <w:r>
                    <w:rPr>
                      <w:rFonts w:hint="eastAsia" w:ascii="仿宋" w:hAnsi="仿宋" w:eastAsia="仿宋" w:cs="仿宋"/>
                      <w:color w:val="000000"/>
                      <w:sz w:val="21"/>
                      <w:szCs w:val="21"/>
                    </w:rPr>
                    <w:t>固定列触摸屏采用集成了</w:t>
                  </w:r>
                  <w:r>
                    <w:rPr>
                      <w:rFonts w:hint="eastAsia" w:ascii="仿宋" w:hAnsi="仿宋" w:eastAsia="仿宋" w:cs="仿宋"/>
                      <w:b/>
                      <w:bCs/>
                      <w:color w:val="000000"/>
                      <w:sz w:val="21"/>
                      <w:szCs w:val="21"/>
                    </w:rPr>
                    <w:t>人脸识别摄像头、条码扫描模块、指纹模块、RFID刷卡、声控模块、</w:t>
                  </w:r>
                  <w:r>
                    <w:rPr>
                      <w:rFonts w:hint="eastAsia" w:ascii="仿宋" w:hAnsi="仿宋" w:eastAsia="仿宋" w:cs="仿宋"/>
                      <w:color w:val="000000"/>
                      <w:sz w:val="21"/>
                      <w:szCs w:val="21"/>
                    </w:rPr>
                    <w:t>USB接口等的一体化触摸屏。</w:t>
                  </w:r>
                </w:p>
                <w:p>
                  <w:pPr>
                    <w:spacing w:line="240" w:lineRule="auto"/>
                    <w:rPr>
                      <w:rFonts w:hint="eastAsia" w:ascii="仿宋" w:hAnsi="仿宋" w:eastAsia="仿宋" w:cs="仿宋"/>
                      <w:b/>
                      <w:bCs/>
                      <w:color w:val="000000"/>
                      <w:sz w:val="21"/>
                      <w:szCs w:val="21"/>
                    </w:rPr>
                  </w:pPr>
                  <w:r>
                    <w:rPr>
                      <w:rFonts w:hint="eastAsia" w:ascii="仿宋" w:hAnsi="仿宋" w:eastAsia="仿宋" w:cs="仿宋"/>
                      <w:color w:val="000000"/>
                      <w:sz w:val="21"/>
                      <w:szCs w:val="21"/>
                    </w:rPr>
                    <w:t>（3）</w:t>
                  </w:r>
                  <w:r>
                    <w:rPr>
                      <w:rFonts w:hint="eastAsia" w:ascii="仿宋" w:hAnsi="仿宋" w:eastAsia="仿宋" w:cs="仿宋"/>
                      <w:b/>
                      <w:bCs/>
                      <w:color w:val="000000"/>
                      <w:sz w:val="21"/>
                      <w:szCs w:val="21"/>
                    </w:rPr>
                    <w:t>移动列触摸屏尺寸≥8寸（不含外壳），分辨率≥</w:t>
                  </w:r>
                  <w:r>
                    <w:rPr>
                      <w:rFonts w:hint="eastAsia" w:ascii="仿宋" w:hAnsi="仿宋" w:eastAsia="仿宋" w:cs="仿宋"/>
                      <w:b/>
                      <w:bCs/>
                      <w:color w:val="000000"/>
                      <w:sz w:val="21"/>
                      <w:szCs w:val="21"/>
                      <w:lang w:val="en-US" w:eastAsia="zh-CN"/>
                    </w:rPr>
                    <w:t>800</w:t>
                  </w:r>
                  <w:r>
                    <w:rPr>
                      <w:rFonts w:hint="eastAsia" w:ascii="仿宋" w:hAnsi="仿宋" w:eastAsia="仿宋" w:cs="仿宋"/>
                      <w:b/>
                      <w:bCs/>
                      <w:color w:val="000000"/>
                      <w:sz w:val="21"/>
                      <w:szCs w:val="21"/>
                    </w:rPr>
                    <w:t>×</w:t>
                  </w:r>
                  <w:r>
                    <w:rPr>
                      <w:rFonts w:hint="eastAsia" w:ascii="仿宋" w:hAnsi="仿宋" w:eastAsia="仿宋" w:cs="仿宋"/>
                      <w:b/>
                      <w:bCs/>
                      <w:color w:val="000000"/>
                      <w:sz w:val="21"/>
                      <w:szCs w:val="21"/>
                      <w:lang w:val="en-US" w:eastAsia="zh-CN"/>
                    </w:rPr>
                    <w:t>600</w:t>
                  </w:r>
                  <w:r>
                    <w:rPr>
                      <w:rFonts w:hint="eastAsia" w:ascii="仿宋" w:hAnsi="仿宋" w:eastAsia="仿宋" w:cs="仿宋"/>
                      <w:b/>
                      <w:bCs/>
                      <w:color w:val="000000"/>
                      <w:sz w:val="21"/>
                      <w:szCs w:val="21"/>
                    </w:rPr>
                    <w:t>dpi。</w:t>
                  </w:r>
                </w:p>
                <w:p>
                  <w:pPr>
                    <w:spacing w:line="240" w:lineRule="auto"/>
                    <w:rPr>
                      <w:rFonts w:hint="eastAsia" w:ascii="仿宋" w:hAnsi="仿宋" w:eastAsia="仿宋" w:cs="仿宋"/>
                      <w:sz w:val="21"/>
                      <w:szCs w:val="21"/>
                    </w:rPr>
                  </w:pPr>
                  <w:r>
                    <w:rPr>
                      <w:rFonts w:hint="eastAsia" w:ascii="仿宋" w:hAnsi="仿宋" w:eastAsia="仿宋" w:cs="仿宋"/>
                      <w:sz w:val="21"/>
                      <w:szCs w:val="21"/>
                    </w:rPr>
                    <w:t xml:space="preserve">（4）固定列系统采用≥4核处理器，运行顺畅，处理能力强、画质清晰流畅，支持以太网、485通讯，功能强大，不存在卡慢、自动重启等缺点。                                                </w:t>
                  </w:r>
                </w:p>
                <w:p>
                  <w:pPr>
                    <w:spacing w:line="240" w:lineRule="auto"/>
                    <w:rPr>
                      <w:rFonts w:hint="eastAsia" w:ascii="仿宋" w:hAnsi="仿宋" w:eastAsia="仿宋" w:cs="仿宋"/>
                      <w:sz w:val="21"/>
                      <w:szCs w:val="21"/>
                    </w:rPr>
                  </w:pPr>
                  <w:r>
                    <w:rPr>
                      <w:rFonts w:hint="eastAsia" w:ascii="仿宋" w:hAnsi="仿宋" w:eastAsia="仿宋" w:cs="仿宋"/>
                      <w:sz w:val="21"/>
                      <w:szCs w:val="21"/>
                    </w:rPr>
                    <w:t>（5）可在固定列触摸显示屏任意界面多指合拢滑动实现返回主界面，在文件浏览界面双指合拢/分开滑动可缩小/放大文件界面；移动列触摸显示屏左右滑动可控制移动列左右移动；移动列移动过程中LED数码显示管或触摸屏给出移动方向的指示，且在架体移动过程中，点击触摸屏任意位置，移动列应能停止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采用24V直流120W无刷直流电机驱动</w:t>
                  </w:r>
                </w:p>
              </w:tc>
              <w:tc>
                <w:tcPr>
                  <w:tcW w:w="3769" w:type="pct"/>
                  <w:noWrap w:val="0"/>
                  <w:vAlign w:val="center"/>
                </w:tcPr>
                <w:p>
                  <w:pPr>
                    <w:spacing w:line="240" w:lineRule="auto"/>
                    <w:rPr>
                      <w:rFonts w:hint="eastAsia" w:ascii="仿宋" w:hAnsi="仿宋" w:eastAsia="仿宋" w:cs="仿宋"/>
                      <w:sz w:val="21"/>
                      <w:szCs w:val="21"/>
                    </w:rPr>
                  </w:pPr>
                  <w:r>
                    <w:rPr>
                      <w:rFonts w:hint="eastAsia" w:ascii="仿宋" w:hAnsi="仿宋" w:eastAsia="仿宋" w:cs="仿宋"/>
                      <w:kern w:val="0"/>
                      <w:sz w:val="21"/>
                      <w:szCs w:val="21"/>
                    </w:rPr>
                    <w:t>（1）电机低噪声，免维护，无火花，长寿命。具有缓启动缓着陆功能：可低速启动、高速运行、轻柔合拢，避免碰撞。电机运行速度可以通过触摸屏调节。</w:t>
                  </w:r>
                </w:p>
                <w:p>
                  <w:pPr>
                    <w:pStyle w:val="17"/>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（2）电机低速启动、高速运行、轻柔合拢曲线参数可以通过固定列触摸屏调节。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智能声控及语音提示人机交互</w:t>
                  </w:r>
                </w:p>
              </w:tc>
              <w:tc>
                <w:tcPr>
                  <w:tcW w:w="3769" w:type="pct"/>
                  <w:noWrap w:val="0"/>
                  <w:vAlign w:val="center"/>
                </w:tcPr>
                <w:p>
                  <w:pPr>
                    <w:spacing w:line="240" w:lineRule="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系统具有离线智能声控功能：通过装在侧板上的拾音盒，在收到特定的普通话声音指令后，架体能实现自动打开、关闭、停止、电子锁定等功能。语音识别距离不小于5米，在无噪声干扰的条件下，要求10米之外也能实现语音识别；</w:t>
                  </w:r>
                </w:p>
                <w:p>
                  <w:pPr>
                    <w:spacing w:line="240" w:lineRule="auto"/>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（2）可以通过离线方式随时任意修改声控唤醒词；</w:t>
                  </w:r>
                </w:p>
                <w:p>
                  <w:pPr>
                    <w:spacing w:line="240" w:lineRule="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（3）高音质语音提示：架体的打开、关闭、通风、锁定、安全警告、架内有人、温湿度超限等情况有语音播报及提示；</w:t>
                  </w:r>
                </w:p>
                <w:p>
                  <w:pPr>
                    <w:spacing w:line="240" w:lineRule="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（4）语音提示声音音量可调，并提供不少于5种声音供选择。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lang w:val="en-US" w:eastAsia="zh-CN"/>
                    </w:rPr>
                  </w:pPr>
                  <w:r>
                    <w:rPr>
                      <w:rFonts w:hint="eastAsia" w:ascii="仿宋" w:hAnsi="仿宋" w:eastAsia="仿宋" w:cs="仿宋"/>
                      <w:b/>
                      <w:bCs/>
                      <w:color w:val="000000"/>
                      <w:kern w:val="0"/>
                      <w:sz w:val="21"/>
                      <w:szCs w:val="21"/>
                      <w:lang w:val="en-US" w:eastAsia="zh-CN"/>
                    </w:rPr>
                    <w:t>查询并可语音播报电子档案</w:t>
                  </w:r>
                </w:p>
              </w:tc>
              <w:tc>
                <w:tcPr>
                  <w:tcW w:w="3769" w:type="pct"/>
                  <w:noWrap w:val="0"/>
                  <w:vAlign w:val="center"/>
                </w:tcPr>
                <w:p>
                  <w:pPr>
                    <w:spacing w:line="240" w:lineRule="auto"/>
                    <w:rPr>
                      <w:rFonts w:hint="eastAsia" w:ascii="仿宋" w:hAnsi="仿宋" w:eastAsia="仿宋" w:cs="仿宋"/>
                      <w:color w:val="000000"/>
                      <w:kern w:val="0"/>
                      <w:sz w:val="21"/>
                      <w:szCs w:val="21"/>
                    </w:rPr>
                  </w:pPr>
                  <w:r>
                    <w:rPr>
                      <w:rFonts w:hint="eastAsia" w:ascii="仿宋" w:hAnsi="仿宋" w:eastAsia="仿宋" w:cs="仿宋"/>
                      <w:b/>
                      <w:bCs/>
                      <w:color w:val="000000"/>
                      <w:kern w:val="0"/>
                      <w:sz w:val="21"/>
                      <w:szCs w:val="21"/>
                    </w:rPr>
                    <w:t>在所有固定列触摸屏上查询</w:t>
                  </w:r>
                  <w:r>
                    <w:rPr>
                      <w:rFonts w:hint="eastAsia" w:ascii="仿宋" w:hAnsi="仿宋" w:eastAsia="仿宋" w:cs="仿宋"/>
                      <w:b/>
                      <w:bCs/>
                      <w:color w:val="000000"/>
                      <w:kern w:val="0"/>
                      <w:sz w:val="21"/>
                      <w:szCs w:val="21"/>
                      <w:lang w:val="en-US" w:eastAsia="zh-CN"/>
                    </w:rPr>
                    <w:t>档案时</w:t>
                  </w:r>
                  <w:r>
                    <w:rPr>
                      <w:rFonts w:hint="eastAsia" w:ascii="仿宋" w:hAnsi="仿宋" w:eastAsia="仿宋" w:cs="仿宋"/>
                      <w:b/>
                      <w:bCs/>
                      <w:color w:val="000000"/>
                      <w:kern w:val="0"/>
                      <w:sz w:val="21"/>
                      <w:szCs w:val="21"/>
                    </w:rPr>
                    <w:t>，可直接在查询结果后面打开对应的电子文档</w:t>
                  </w:r>
                  <w:r>
                    <w:rPr>
                      <w:rFonts w:hint="eastAsia" w:ascii="仿宋" w:hAnsi="仿宋" w:eastAsia="仿宋" w:cs="仿宋"/>
                      <w:b/>
                      <w:bCs/>
                      <w:color w:val="000000"/>
                      <w:kern w:val="0"/>
                      <w:sz w:val="21"/>
                      <w:szCs w:val="21"/>
                      <w:lang w:eastAsia="zh-CN"/>
                    </w:rPr>
                    <w:t>，</w:t>
                  </w:r>
                  <w:r>
                    <w:rPr>
                      <w:rFonts w:hint="eastAsia" w:ascii="仿宋" w:hAnsi="仿宋" w:eastAsia="仿宋" w:cs="仿宋"/>
                      <w:b/>
                      <w:bCs/>
                      <w:color w:val="000000"/>
                      <w:kern w:val="0"/>
                      <w:sz w:val="21"/>
                      <w:szCs w:val="21"/>
                      <w:lang w:val="en-US" w:eastAsia="zh-CN"/>
                    </w:rPr>
                    <w:t>可</w:t>
                  </w:r>
                  <w:r>
                    <w:rPr>
                      <w:rFonts w:hint="eastAsia" w:ascii="仿宋" w:hAnsi="仿宋" w:eastAsia="仿宋" w:cs="仿宋"/>
                      <w:b/>
                      <w:bCs/>
                      <w:color w:val="000000"/>
                      <w:kern w:val="0"/>
                      <w:sz w:val="21"/>
                      <w:szCs w:val="21"/>
                    </w:rPr>
                    <w:t>通过多个手指缩放文档、滑动触摸屏翻页等功能，</w:t>
                  </w:r>
                  <w:r>
                    <w:rPr>
                      <w:rFonts w:hint="eastAsia" w:ascii="仿宋" w:hAnsi="仿宋" w:eastAsia="仿宋" w:cs="仿宋"/>
                      <w:b/>
                      <w:bCs/>
                      <w:color w:val="000000"/>
                      <w:kern w:val="0"/>
                      <w:sz w:val="21"/>
                      <w:szCs w:val="21"/>
                      <w:lang w:val="en-US" w:eastAsia="zh-CN"/>
                    </w:rPr>
                    <w:t>在</w:t>
                  </w:r>
                  <w:r>
                    <w:rPr>
                      <w:rFonts w:hint="eastAsia" w:ascii="仿宋" w:hAnsi="仿宋" w:eastAsia="仿宋" w:cs="仿宋"/>
                      <w:b/>
                      <w:bCs/>
                      <w:color w:val="000000"/>
                      <w:kern w:val="0"/>
                      <w:sz w:val="21"/>
                      <w:szCs w:val="21"/>
                    </w:rPr>
                    <w:t>选中电子文档中某段文档，</w:t>
                  </w:r>
                  <w:r>
                    <w:rPr>
                      <w:rFonts w:hint="eastAsia" w:ascii="仿宋" w:hAnsi="仿宋" w:eastAsia="仿宋" w:cs="仿宋"/>
                      <w:b/>
                      <w:bCs/>
                      <w:color w:val="000000"/>
                      <w:kern w:val="0"/>
                      <w:sz w:val="21"/>
                      <w:szCs w:val="21"/>
                      <w:lang w:val="en-US" w:eastAsia="zh-CN"/>
                    </w:rPr>
                    <w:t>可</w:t>
                  </w:r>
                  <w:r>
                    <w:rPr>
                      <w:rFonts w:hint="eastAsia" w:ascii="仿宋" w:hAnsi="仿宋" w:eastAsia="仿宋" w:cs="仿宋"/>
                      <w:b/>
                      <w:bCs/>
                      <w:color w:val="000000"/>
                      <w:kern w:val="0"/>
                      <w:sz w:val="21"/>
                      <w:szCs w:val="21"/>
                    </w:rPr>
                    <w:t>进行清晰语音朗诵，方便管理员工作。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任意多通道开启功能</w:t>
                  </w:r>
                </w:p>
              </w:tc>
              <w:tc>
                <w:tcPr>
                  <w:tcW w:w="3769" w:type="pct"/>
                  <w:noWrap w:val="0"/>
                  <w:vAlign w:val="center"/>
                </w:tcPr>
                <w:p>
                  <w:pPr>
                    <w:spacing w:line="240" w:lineRule="auto"/>
                    <w:jc w:val="left"/>
                    <w:rPr>
                      <w:rFonts w:hint="eastAsia" w:ascii="仿宋" w:hAnsi="仿宋" w:eastAsia="仿宋" w:cs="仿宋"/>
                      <w:kern w:val="0"/>
                      <w:sz w:val="21"/>
                      <w:szCs w:val="21"/>
                    </w:rPr>
                  </w:pPr>
                  <w:r>
                    <w:rPr>
                      <w:rFonts w:hint="eastAsia" w:ascii="仿宋" w:hAnsi="仿宋" w:eastAsia="仿宋" w:cs="仿宋"/>
                      <w:kern w:val="0"/>
                      <w:sz w:val="21"/>
                      <w:szCs w:val="21"/>
                    </w:rPr>
                    <w:t>（1）可以实现同一区域一键打开任意多个（≥2）通道。在固定列屏幕的打开界面，一次输入任意多个要打开的列号，系统会根据可用路轨长度，开启多个通道，实现开启多通道功能。</w:t>
                  </w:r>
                </w:p>
                <w:p>
                  <w:pPr>
                    <w:spacing w:line="240" w:lineRule="auto"/>
                    <w:jc w:val="left"/>
                    <w:rPr>
                      <w:rFonts w:hint="eastAsia" w:ascii="仿宋" w:hAnsi="仿宋" w:eastAsia="仿宋" w:cs="仿宋"/>
                      <w:sz w:val="21"/>
                      <w:szCs w:val="21"/>
                    </w:rPr>
                  </w:pPr>
                  <w:r>
                    <w:rPr>
                      <w:rFonts w:hint="eastAsia" w:ascii="仿宋" w:hAnsi="仿宋" w:eastAsia="仿宋" w:cs="仿宋"/>
                      <w:kern w:val="0"/>
                      <w:sz w:val="21"/>
                      <w:szCs w:val="21"/>
                    </w:rPr>
                    <w:t>（2）通道数和每个通道距离可通过触摸屏进行设置，需要更改多通道时，无需重新学习探测。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系统登录</w:t>
                  </w:r>
                </w:p>
              </w:tc>
              <w:tc>
                <w:tcPr>
                  <w:tcW w:w="3769" w:type="pct"/>
                  <w:noWrap w:val="0"/>
                  <w:vAlign w:val="center"/>
                </w:tcPr>
                <w:p>
                  <w:pPr>
                    <w:spacing w:line="240" w:lineRule="auto"/>
                    <w:jc w:val="left"/>
                    <w:rPr>
                      <w:rFonts w:hint="eastAsia" w:ascii="仿宋" w:hAnsi="仿宋" w:eastAsia="仿宋" w:cs="仿宋"/>
                      <w:kern w:val="0"/>
                      <w:sz w:val="21"/>
                      <w:szCs w:val="21"/>
                    </w:rPr>
                  </w:pPr>
                  <w:r>
                    <w:rPr>
                      <w:rFonts w:hint="eastAsia" w:ascii="仿宋" w:hAnsi="仿宋" w:eastAsia="仿宋" w:cs="仿宋"/>
                      <w:kern w:val="0"/>
                      <w:sz w:val="21"/>
                      <w:szCs w:val="21"/>
                    </w:rPr>
                    <w:t>固定列提供以下登录方式：</w:t>
                  </w:r>
                </w:p>
                <w:p>
                  <w:pPr>
                    <w:spacing w:line="240" w:lineRule="auto"/>
                    <w:jc w:val="left"/>
                    <w:rPr>
                      <w:rFonts w:hint="eastAsia" w:ascii="仿宋" w:hAnsi="仿宋" w:eastAsia="仿宋" w:cs="仿宋"/>
                      <w:kern w:val="0"/>
                      <w:sz w:val="21"/>
                      <w:szCs w:val="21"/>
                    </w:rPr>
                  </w:pPr>
                  <w:r>
                    <w:rPr>
                      <w:rFonts w:hint="eastAsia" w:ascii="仿宋" w:hAnsi="仿宋" w:eastAsia="仿宋" w:cs="仿宋"/>
                      <w:kern w:val="0"/>
                      <w:sz w:val="21"/>
                      <w:szCs w:val="21"/>
                    </w:rPr>
                    <w:t>（1）提供密码登录方式；</w:t>
                  </w:r>
                </w:p>
                <w:p>
                  <w:pPr>
                    <w:spacing w:line="240" w:lineRule="auto"/>
                    <w:jc w:val="left"/>
                    <w:rPr>
                      <w:rFonts w:hint="eastAsia" w:ascii="仿宋" w:hAnsi="仿宋" w:eastAsia="仿宋" w:cs="仿宋"/>
                      <w:kern w:val="0"/>
                      <w:sz w:val="21"/>
                      <w:szCs w:val="21"/>
                    </w:rPr>
                  </w:pPr>
                  <w:r>
                    <w:rPr>
                      <w:rFonts w:hint="eastAsia" w:ascii="仿宋" w:hAnsi="仿宋" w:eastAsia="仿宋" w:cs="仿宋"/>
                      <w:kern w:val="0"/>
                      <w:sz w:val="21"/>
                      <w:szCs w:val="21"/>
                    </w:rPr>
                    <w:t>（2）可根据安全程度设置手势图案为9点图案、16点图案、25点、36点图案等手势密码验证方式；</w:t>
                  </w:r>
                </w:p>
                <w:p>
                  <w:pPr>
                    <w:spacing w:line="240" w:lineRule="auto"/>
                    <w:jc w:val="left"/>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（3）提供离线人脸识别登录方式；</w:t>
                  </w:r>
                </w:p>
                <w:p>
                  <w:pPr>
                    <w:spacing w:line="240" w:lineRule="auto"/>
                    <w:jc w:val="left"/>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（4）提供指纹识别登录；</w:t>
                  </w:r>
                </w:p>
                <w:p>
                  <w:pPr>
                    <w:spacing w:line="240" w:lineRule="auto"/>
                    <w:jc w:val="left"/>
                    <w:rPr>
                      <w:rFonts w:hint="eastAsia" w:ascii="仿宋" w:hAnsi="仿宋" w:eastAsia="仿宋" w:cs="仿宋"/>
                      <w:kern w:val="0"/>
                      <w:sz w:val="21"/>
                      <w:szCs w:val="21"/>
                    </w:rPr>
                  </w:pPr>
                  <w:r>
                    <w:rPr>
                      <w:rFonts w:hint="eastAsia" w:ascii="仿宋" w:hAnsi="仿宋" w:eastAsia="仿宋" w:cs="仿宋"/>
                      <w:b/>
                      <w:bCs/>
                      <w:color w:val="000000"/>
                      <w:kern w:val="0"/>
                      <w:sz w:val="21"/>
                      <w:szCs w:val="21"/>
                    </w:rPr>
                    <w:t>（5）提供RFID刷卡登录。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条码或电子标签管理</w:t>
                  </w:r>
                </w:p>
              </w:tc>
              <w:tc>
                <w:tcPr>
                  <w:tcW w:w="3769" w:type="pct"/>
                  <w:noWrap w:val="0"/>
                  <w:vAlign w:val="center"/>
                </w:tcPr>
                <w:p>
                  <w:pPr>
                    <w:numPr>
                      <w:ilvl w:val="0"/>
                      <w:numId w:val="3"/>
                    </w:numPr>
                    <w:spacing w:line="240" w:lineRule="auto"/>
                    <w:rPr>
                      <w:rFonts w:hint="eastAsia" w:ascii="仿宋" w:hAnsi="仿宋" w:eastAsia="仿宋" w:cs="仿宋"/>
                      <w:sz w:val="21"/>
                      <w:szCs w:val="21"/>
                    </w:rPr>
                  </w:pPr>
                  <w:r>
                    <w:rPr>
                      <w:rFonts w:hint="eastAsia" w:ascii="仿宋" w:hAnsi="仿宋" w:eastAsia="仿宋" w:cs="仿宋"/>
                      <w:sz w:val="21"/>
                      <w:szCs w:val="21"/>
                    </w:rPr>
                    <w:t>通过固定列扫描档案上的条码或电子标签，可以对档案进行查找，并自动提示档案的存放位置，人员进入通道时，提供档案位置的语音提示。</w:t>
                  </w:r>
                </w:p>
                <w:p>
                  <w:pPr>
                    <w:numPr>
                      <w:ilvl w:val="0"/>
                      <w:numId w:val="3"/>
                    </w:numPr>
                    <w:spacing w:line="240" w:lineRule="auto"/>
                    <w:rPr>
                      <w:rFonts w:hint="eastAsia" w:ascii="仿宋" w:hAnsi="仿宋" w:eastAsia="仿宋" w:cs="仿宋"/>
                      <w:sz w:val="21"/>
                      <w:szCs w:val="21"/>
                    </w:rPr>
                  </w:pPr>
                  <w:r>
                    <w:rPr>
                      <w:rFonts w:hint="eastAsia" w:ascii="仿宋" w:hAnsi="仿宋" w:eastAsia="仿宋" w:cs="仿宋"/>
                      <w:sz w:val="21"/>
                      <w:szCs w:val="21"/>
                    </w:rPr>
                    <w:t>支持摄像头扫条码查询档案。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安全的移动端管控</w:t>
                  </w:r>
                </w:p>
              </w:tc>
              <w:tc>
                <w:tcPr>
                  <w:tcW w:w="3769" w:type="pct"/>
                  <w:noWrap w:val="0"/>
                  <w:vAlign w:val="center"/>
                </w:tcPr>
                <w:p>
                  <w:pPr>
                    <w:spacing w:line="240" w:lineRule="auto"/>
                    <w:rPr>
                      <w:rFonts w:hint="eastAsia" w:ascii="仿宋" w:hAnsi="仿宋" w:eastAsia="仿宋" w:cs="仿宋"/>
                      <w:sz w:val="21"/>
                      <w:szCs w:val="21"/>
                    </w:rPr>
                  </w:pPr>
                  <w:r>
                    <w:rPr>
                      <w:rFonts w:hint="eastAsia" w:ascii="仿宋" w:hAnsi="仿宋" w:eastAsia="仿宋" w:cs="仿宋"/>
                      <w:sz w:val="21"/>
                      <w:szCs w:val="21"/>
                    </w:rPr>
                    <w:t>（1）在内网覆盖的条件下，可以通过任意一台手机（安卓系统和IOS系统）、PDA等移动设备，如有系统登录权限，可对密集架进行控制（打开、关闭、锁定、通风）；可查看密集架区域的温湿度、空气质量等环境参数。</w:t>
                  </w:r>
                </w:p>
                <w:p>
                  <w:pPr>
                    <w:spacing w:line="240" w:lineRule="auto"/>
                    <w:rPr>
                      <w:rFonts w:hint="eastAsia" w:ascii="仿宋" w:hAnsi="仿宋" w:eastAsia="仿宋" w:cs="仿宋"/>
                      <w:sz w:val="21"/>
                      <w:szCs w:val="21"/>
                    </w:rPr>
                  </w:pPr>
                  <w:r>
                    <w:rPr>
                      <w:rFonts w:hint="eastAsia" w:ascii="仿宋" w:hAnsi="仿宋" w:eastAsia="仿宋" w:cs="仿宋"/>
                      <w:sz w:val="21"/>
                      <w:szCs w:val="21"/>
                    </w:rPr>
                    <w:t>（2）PDA管理系统具有层架和档案的条码和标签扫描功能，可实现档案查询、借阅、归还、盘点、密集架控制、查找档案打开架体功能。</w:t>
                  </w:r>
                </w:p>
                <w:p>
                  <w:pPr>
                    <w:spacing w:line="240" w:lineRule="auto"/>
                    <w:rPr>
                      <w:rFonts w:hint="eastAsia" w:ascii="仿宋" w:hAnsi="仿宋" w:eastAsia="仿宋" w:cs="仿宋"/>
                      <w:sz w:val="21"/>
                      <w:szCs w:val="21"/>
                      <w:lang w:eastAsia="zh-CN"/>
                    </w:rPr>
                  </w:pPr>
                  <w:r>
                    <w:rPr>
                      <w:rFonts w:hint="eastAsia" w:ascii="仿宋" w:hAnsi="仿宋" w:eastAsia="仿宋" w:cs="仿宋"/>
                      <w:sz w:val="21"/>
                      <w:szCs w:val="21"/>
                    </w:rPr>
                    <w:t>（3）PDA管理系统支持指纹识别管理和一键锁定功能，可通过指纹进行锁定和解锁。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手、电动互换功能</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断电或停电后自动切换成手动功能。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业务信息</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当前固定列登录权限用户接受业务端发来的信息（包括审批与申请审批、需出库档案信息等），方便对档案业务的借、还、出库、入库进行快速处理。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自动LED灯照明系统</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采用LED自动照明系统，根据情况可灵活选择如下模式：</w:t>
                  </w:r>
                </w:p>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（1）人员进架体灯亮，人员出架体灯灭。</w:t>
                  </w:r>
                </w:p>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（2）架体打开超过40CM时灯亮，架体关闭时灯灭。</w:t>
                  </w:r>
                </w:p>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（3）灯光常闭。</w:t>
                  </w:r>
                </w:p>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（4）灯光亮度可调。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架体到位检测系统</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每个通道采用两套非接触式的磁感应位置检测传感器判断架体是否关闭，避免单一传感器故障引起电机堵转，显示屏上可查询判断传感器是否有故障。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声光影四位一体提示档案位置功能</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无论在架体触摸屏还是在管理计算机上查找档案，显示查找结果并点击打开按钮后，该档案所在列远程自动打开，列号数码管闪烁，触摸屏上以三维立体图红点指示方式显示档案所在的单元格位置，架体节层指引定位灯亮，人员进入通道后，应由扬声器给出档案所在位置的语音提示，实现声光影四位一体精确引导档案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紧急电子锁定功能</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可以通过显示屏的电子锁定按钮对操作进行锁定，架体锁定之后，控制屏上面显示禁止移动操作。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温湿度检测及定时通风功能</w:t>
                  </w:r>
                </w:p>
              </w:tc>
              <w:tc>
                <w:tcPr>
                  <w:tcW w:w="3769" w:type="pct"/>
                  <w:noWrap w:val="0"/>
                  <w:vAlign w:val="center"/>
                </w:tcPr>
                <w:p>
                  <w:pPr>
                    <w:numPr>
                      <w:ilvl w:val="0"/>
                      <w:numId w:val="0"/>
                    </w:numPr>
                    <w:spacing w:line="240" w:lineRule="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bidi="ar-SA"/>
                    </w:rPr>
                    <w:t>（1）</w:t>
                  </w:r>
                  <w:r>
                    <w:rPr>
                      <w:rFonts w:hint="eastAsia" w:ascii="仿宋" w:hAnsi="仿宋" w:eastAsia="仿宋" w:cs="仿宋"/>
                      <w:color w:val="000000"/>
                      <w:kern w:val="0"/>
                      <w:sz w:val="21"/>
                      <w:szCs w:val="21"/>
                    </w:rPr>
                    <w:t>具备温湿度检测及定时通风、超限通风功能。逐列依次最大通道打开全面通风，通风间隔时间可设置。通风时，语音播报通风区域信息；</w:t>
                  </w:r>
                </w:p>
                <w:p>
                  <w:pPr>
                    <w:numPr>
                      <w:ilvl w:val="0"/>
                      <w:numId w:val="0"/>
                    </w:numPr>
                    <w:spacing w:line="240" w:lineRule="auto"/>
                    <w:rPr>
                      <w:rFonts w:hint="eastAsia" w:ascii="仿宋" w:hAnsi="仿宋" w:eastAsia="仿宋" w:cs="仿宋"/>
                      <w:color w:val="000000"/>
                      <w:sz w:val="21"/>
                      <w:szCs w:val="21"/>
                    </w:rPr>
                  </w:pPr>
                  <w:r>
                    <w:rPr>
                      <w:rFonts w:hint="eastAsia" w:ascii="仿宋" w:hAnsi="仿宋" w:eastAsia="仿宋" w:cs="仿宋"/>
                      <w:b/>
                      <w:bCs/>
                      <w:color w:val="000000"/>
                      <w:kern w:val="0"/>
                      <w:sz w:val="21"/>
                      <w:szCs w:val="21"/>
                    </w:rPr>
                    <w:t>（2）</w:t>
                  </w:r>
                  <w:r>
                    <w:rPr>
                      <w:rFonts w:hint="eastAsia" w:ascii="仿宋" w:hAnsi="仿宋" w:eastAsia="仿宋" w:cs="仿宋"/>
                      <w:b/>
                      <w:bCs/>
                      <w:color w:val="000000"/>
                      <w:kern w:val="0"/>
                      <w:sz w:val="21"/>
                      <w:szCs w:val="21"/>
                      <w:lang w:val="en-US" w:eastAsia="zh-CN"/>
                    </w:rPr>
                    <w:t>支持</w:t>
                  </w:r>
                  <w:r>
                    <w:rPr>
                      <w:rFonts w:hint="eastAsia" w:ascii="仿宋" w:hAnsi="仿宋" w:eastAsia="仿宋" w:cs="仿宋"/>
                      <w:b/>
                      <w:bCs/>
                      <w:color w:val="000000"/>
                      <w:kern w:val="0"/>
                      <w:sz w:val="21"/>
                      <w:szCs w:val="21"/>
                    </w:rPr>
                    <w:t>密集架显示屏上的温湿度显示数值与库房现有环控系统实现对接，库房现有环控系统检测的环境参数实时显示在密集架显示屏上。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空气环境显示树功能</w:t>
                  </w:r>
                </w:p>
              </w:tc>
              <w:tc>
                <w:tcPr>
                  <w:tcW w:w="3769" w:type="pct"/>
                  <w:noWrap w:val="0"/>
                  <w:vAlign w:val="center"/>
                </w:tcPr>
                <w:p>
                  <w:pPr>
                    <w:pStyle w:val="22"/>
                    <w:spacing w:line="240" w:lineRule="auto"/>
                    <w:ind w:left="0" w:leftChars="0" w:firstLine="0" w:firstLineChars="0"/>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当系统无人操作超过一定时间（时间可设置），所有列的显示屏进入温度、湿度、</w:t>
                  </w:r>
                  <w:r>
                    <w:rPr>
                      <w:rFonts w:hint="eastAsia" w:ascii="仿宋" w:hAnsi="仿宋" w:eastAsia="仿宋" w:cs="仿宋"/>
                      <w:b/>
                      <w:bCs/>
                      <w:color w:val="000000"/>
                      <w:kern w:val="0"/>
                      <w:sz w:val="21"/>
                      <w:szCs w:val="21"/>
                    </w:rPr>
                    <w:t>二氧化碳、甲醛、PM2.5、PM10、</w:t>
                  </w:r>
                  <w:r>
                    <w:rPr>
                      <w:rFonts w:hint="eastAsia" w:ascii="仿宋" w:hAnsi="仿宋" w:eastAsia="仿宋" w:cs="仿宋"/>
                      <w:b/>
                      <w:bCs/>
                      <w:color w:val="000000"/>
                      <w:kern w:val="0"/>
                      <w:sz w:val="21"/>
                      <w:szCs w:val="21"/>
                      <w:lang w:eastAsia="zh-CN"/>
                    </w:rPr>
                    <w:t>TVOC</w:t>
                  </w:r>
                  <w:r>
                    <w:rPr>
                      <w:rFonts w:hint="eastAsia" w:ascii="仿宋" w:hAnsi="仿宋" w:eastAsia="仿宋" w:cs="仿宋"/>
                      <w:color w:val="000000"/>
                      <w:kern w:val="0"/>
                      <w:sz w:val="21"/>
                      <w:szCs w:val="21"/>
                    </w:rPr>
                    <w:t>等数据树显示功能界面；点击数据树的数据可查看该数据的曲线。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自动关闭功能</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当架体内通道没有人或其它物体且节能息屏时，架体可以自动关闭。在固定列控制屏的设置界面里，可以对该关闭功能设置开启与否，并可以设置自动关闭时间。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color w:val="000000"/>
                      <w:kern w:val="0"/>
                      <w:sz w:val="21"/>
                      <w:szCs w:val="21"/>
                    </w:rPr>
                  </w:pPr>
                  <w:r>
                    <w:rPr>
                      <w:rFonts w:hint="eastAsia" w:ascii="仿宋" w:hAnsi="仿宋" w:eastAsia="仿宋" w:cs="仿宋"/>
                      <w:b/>
                      <w:bCs/>
                      <w:color w:val="000000"/>
                      <w:kern w:val="0"/>
                      <w:sz w:val="21"/>
                      <w:szCs w:val="21"/>
                    </w:rPr>
                    <w:t>安全运行云平台管理</w:t>
                  </w:r>
                </w:p>
              </w:tc>
              <w:tc>
                <w:tcPr>
                  <w:tcW w:w="3769" w:type="pct"/>
                  <w:noWrap w:val="0"/>
                  <w:vAlign w:val="center"/>
                </w:tcPr>
                <w:p>
                  <w:pPr>
                    <w:spacing w:line="240" w:lineRule="auto"/>
                    <w:rPr>
                      <w:rFonts w:hint="eastAsia" w:ascii="仿宋" w:hAnsi="仿宋" w:eastAsia="仿宋" w:cs="仿宋"/>
                      <w:b/>
                      <w:bCs w:val="0"/>
                      <w:color w:val="000000"/>
                      <w:kern w:val="0"/>
                      <w:sz w:val="21"/>
                      <w:szCs w:val="21"/>
                    </w:rPr>
                  </w:pPr>
                  <w:r>
                    <w:rPr>
                      <w:rFonts w:hint="eastAsia" w:ascii="仿宋" w:hAnsi="仿宋" w:eastAsia="仿宋" w:cs="仿宋"/>
                      <w:b/>
                      <w:bCs w:val="0"/>
                      <w:color w:val="000000"/>
                      <w:kern w:val="0"/>
                      <w:sz w:val="21"/>
                      <w:szCs w:val="21"/>
                    </w:rPr>
                    <w:t>具有远程安全运行云平台管理功能，管理员通过手机、平板或者计算机登录云平台网站，实现以下功能：</w:t>
                  </w:r>
                </w:p>
                <w:p>
                  <w:pPr>
                    <w:spacing w:line="240" w:lineRule="auto"/>
                    <w:rPr>
                      <w:rFonts w:hint="eastAsia" w:ascii="仿宋" w:hAnsi="仿宋" w:eastAsia="仿宋" w:cs="仿宋"/>
                      <w:b/>
                      <w:bCs w:val="0"/>
                      <w:color w:val="000000"/>
                      <w:kern w:val="0"/>
                      <w:sz w:val="21"/>
                      <w:szCs w:val="21"/>
                    </w:rPr>
                  </w:pPr>
                  <w:r>
                    <w:rPr>
                      <w:rFonts w:hint="eastAsia" w:ascii="仿宋" w:hAnsi="仿宋" w:eastAsia="仿宋" w:cs="仿宋"/>
                      <w:b/>
                      <w:bCs w:val="0"/>
                      <w:color w:val="000000"/>
                      <w:kern w:val="0"/>
                      <w:sz w:val="21"/>
                      <w:szCs w:val="21"/>
                    </w:rPr>
                    <w:t>（1）查看密集架安全运行所需的电机、各类传感器、元器件的状态信息，为远程运维提供诊断分析数据信息。</w:t>
                  </w:r>
                </w:p>
                <w:p>
                  <w:pPr>
                    <w:pStyle w:val="22"/>
                    <w:spacing w:line="240" w:lineRule="auto"/>
                    <w:ind w:left="0" w:leftChars="0" w:firstLine="0" w:firstLineChars="0"/>
                    <w:rPr>
                      <w:rFonts w:hint="eastAsia" w:ascii="仿宋" w:hAnsi="仿宋" w:eastAsia="仿宋" w:cs="仿宋"/>
                      <w:b/>
                      <w:bCs w:val="0"/>
                      <w:color w:val="000000"/>
                      <w:kern w:val="0"/>
                      <w:sz w:val="21"/>
                      <w:szCs w:val="21"/>
                    </w:rPr>
                  </w:pPr>
                  <w:r>
                    <w:rPr>
                      <w:rFonts w:hint="eastAsia" w:ascii="仿宋" w:hAnsi="仿宋" w:eastAsia="仿宋" w:cs="仿宋"/>
                      <w:b/>
                      <w:bCs w:val="0"/>
                      <w:color w:val="000000"/>
                      <w:kern w:val="0"/>
                      <w:sz w:val="21"/>
                      <w:szCs w:val="21"/>
                    </w:rPr>
                    <w:t>（2）查看库房温湿度、PM2.5、</w:t>
                  </w:r>
                  <w:r>
                    <w:rPr>
                      <w:rFonts w:hint="eastAsia" w:ascii="仿宋" w:hAnsi="仿宋" w:eastAsia="仿宋" w:cs="仿宋"/>
                      <w:b/>
                      <w:bCs w:val="0"/>
                      <w:color w:val="000000"/>
                      <w:kern w:val="0"/>
                      <w:sz w:val="21"/>
                      <w:szCs w:val="21"/>
                      <w:lang w:eastAsia="zh-CN"/>
                    </w:rPr>
                    <w:t>TVOC</w:t>
                  </w:r>
                  <w:r>
                    <w:rPr>
                      <w:rFonts w:hint="eastAsia" w:ascii="仿宋" w:hAnsi="仿宋" w:eastAsia="仿宋" w:cs="仿宋"/>
                      <w:b/>
                      <w:bCs w:val="0"/>
                      <w:color w:val="000000"/>
                      <w:kern w:val="0"/>
                      <w:sz w:val="21"/>
                      <w:szCs w:val="21"/>
                    </w:rPr>
                    <w:t>、CO2、甲醛等空气环境信息和曲线；查看密集架操作、故障历史记录；</w:t>
                  </w:r>
                </w:p>
                <w:p>
                  <w:pPr>
                    <w:pStyle w:val="22"/>
                    <w:spacing w:line="240" w:lineRule="auto"/>
                    <w:ind w:left="0" w:leftChars="0" w:firstLine="0" w:firstLineChars="0"/>
                    <w:rPr>
                      <w:rFonts w:hint="eastAsia" w:ascii="仿宋" w:hAnsi="仿宋" w:eastAsia="仿宋" w:cs="仿宋"/>
                      <w:b/>
                      <w:bCs w:val="0"/>
                      <w:color w:val="000000"/>
                      <w:kern w:val="0"/>
                      <w:sz w:val="21"/>
                      <w:szCs w:val="21"/>
                    </w:rPr>
                  </w:pPr>
                  <w:r>
                    <w:rPr>
                      <w:rFonts w:hint="eastAsia" w:ascii="仿宋" w:hAnsi="仿宋" w:eastAsia="仿宋" w:cs="仿宋"/>
                      <w:b/>
                      <w:bCs w:val="0"/>
                      <w:color w:val="000000"/>
                      <w:kern w:val="0"/>
                      <w:sz w:val="21"/>
                      <w:szCs w:val="21"/>
                    </w:rPr>
                    <w:t>（3）进行远程自检功能，可远程诊断密集架系统的故障信息，方便进行远程售后服务。</w:t>
                  </w:r>
                </w:p>
                <w:p>
                  <w:pPr>
                    <w:pStyle w:val="22"/>
                    <w:spacing w:line="240" w:lineRule="auto"/>
                    <w:ind w:left="0" w:leftChars="0" w:firstLine="0" w:firstLineChars="0"/>
                    <w:rPr>
                      <w:rFonts w:hint="eastAsia" w:ascii="仿宋" w:hAnsi="仿宋" w:eastAsia="仿宋" w:cs="仿宋"/>
                      <w:color w:val="000000"/>
                      <w:kern w:val="0"/>
                      <w:sz w:val="21"/>
                      <w:szCs w:val="21"/>
                      <w:lang w:eastAsia="zh-CN"/>
                    </w:rPr>
                  </w:pPr>
                  <w:r>
                    <w:rPr>
                      <w:rFonts w:hint="eastAsia" w:ascii="仿宋" w:hAnsi="仿宋" w:eastAsia="仿宋" w:cs="仿宋"/>
                      <w:b/>
                      <w:bCs w:val="0"/>
                      <w:color w:val="000000"/>
                      <w:kern w:val="0"/>
                      <w:sz w:val="21"/>
                      <w:szCs w:val="21"/>
                    </w:rPr>
                    <w:t>上述数据信息通过4G信号方式上传，管理员可通过固定列触摸屏关闭或开启云平台数据上传功能。</w:t>
                  </w:r>
                  <w:r>
                    <w:rPr>
                      <w:rFonts w:hint="eastAsia" w:ascii="仿宋" w:hAnsi="仿宋" w:eastAsia="仿宋" w:cs="仿宋"/>
                      <w:b/>
                      <w:bCs w:val="0"/>
                      <w:color w:val="000000"/>
                      <w:kern w:val="0"/>
                      <w:sz w:val="21"/>
                      <w:szCs w:val="21"/>
                      <w:lang w:eastAsia="zh-CN"/>
                    </w:rPr>
                    <w:t>（</w:t>
                  </w:r>
                  <w:r>
                    <w:rPr>
                      <w:rFonts w:hint="eastAsia" w:ascii="仿宋" w:hAnsi="仿宋" w:eastAsia="仿宋" w:cs="仿宋"/>
                      <w:b/>
                      <w:bCs w:val="0"/>
                      <w:color w:val="000000"/>
                      <w:kern w:val="0"/>
                      <w:sz w:val="21"/>
                      <w:szCs w:val="21"/>
                      <w:lang w:val="en-US" w:eastAsia="zh-CN"/>
                    </w:rPr>
                    <w:t>需要连接外网</w:t>
                  </w:r>
                  <w:r>
                    <w:rPr>
                      <w:rFonts w:hint="eastAsia" w:ascii="仿宋" w:hAnsi="仿宋" w:eastAsia="仿宋" w:cs="仿宋"/>
                      <w:b/>
                      <w:bCs w:val="0"/>
                      <w:color w:val="000000"/>
                      <w:kern w:val="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开机自检功能</w:t>
                  </w:r>
                </w:p>
              </w:tc>
              <w:tc>
                <w:tcPr>
                  <w:tcW w:w="3769" w:type="pct"/>
                  <w:noWrap w:val="0"/>
                  <w:vAlign w:val="center"/>
                </w:tcPr>
                <w:p>
                  <w:pPr>
                    <w:pStyle w:val="22"/>
                    <w:spacing w:line="240" w:lineRule="auto"/>
                    <w:ind w:left="0" w:leftChars="0" w:firstLine="0" w:firstLineChars="0"/>
                    <w:rPr>
                      <w:rFonts w:hint="eastAsia" w:ascii="仿宋" w:hAnsi="仿宋" w:eastAsia="仿宋" w:cs="仿宋"/>
                      <w:bCs/>
                      <w:kern w:val="0"/>
                      <w:sz w:val="21"/>
                      <w:szCs w:val="21"/>
                    </w:rPr>
                  </w:pPr>
                  <w:r>
                    <w:rPr>
                      <w:rFonts w:hint="eastAsia" w:ascii="仿宋" w:hAnsi="仿宋" w:eastAsia="仿宋" w:cs="仿宋"/>
                      <w:sz w:val="21"/>
                      <w:szCs w:val="21"/>
                    </w:rPr>
                    <w:t>密集架开机时，可自动对密集架的状态进行自检，检测内容包括：红外和接近感应传感器状态、温湿度传感器状态、触摸屏状态、电</w:t>
                  </w:r>
                  <w:r>
                    <w:rPr>
                      <w:rFonts w:hint="eastAsia" w:ascii="仿宋" w:hAnsi="仿宋" w:eastAsia="仿宋" w:cs="仿宋"/>
                      <w:b w:val="0"/>
                      <w:bCs w:val="0"/>
                      <w:color w:val="auto"/>
                      <w:sz w:val="21"/>
                      <w:szCs w:val="21"/>
                    </w:rPr>
                    <w:t>机状态、烟雾传感器状态、语音识别模块</w:t>
                  </w:r>
                  <w:r>
                    <w:rPr>
                      <w:rFonts w:hint="eastAsia" w:ascii="仿宋" w:hAnsi="仿宋" w:eastAsia="仿宋" w:cs="仿宋"/>
                      <w:sz w:val="21"/>
                      <w:szCs w:val="21"/>
                    </w:rPr>
                    <w:t>状态、照明灯状态、网络状态、级联通信状态、机械锁定状态。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日志存储和查看</w:t>
                  </w:r>
                </w:p>
              </w:tc>
              <w:tc>
                <w:tcPr>
                  <w:tcW w:w="3769" w:type="pct"/>
                  <w:noWrap w:val="0"/>
                  <w:vAlign w:val="center"/>
                </w:tcPr>
                <w:p>
                  <w:pPr>
                    <w:pStyle w:val="22"/>
                    <w:spacing w:line="240" w:lineRule="auto"/>
                    <w:ind w:left="0" w:leftChars="0" w:firstLine="0" w:firstLineChars="0"/>
                    <w:rPr>
                      <w:rFonts w:hint="eastAsia" w:ascii="仿宋" w:hAnsi="仿宋" w:eastAsia="仿宋" w:cs="仿宋"/>
                      <w:sz w:val="21"/>
                      <w:szCs w:val="21"/>
                      <w:lang w:eastAsia="zh-CN"/>
                    </w:rPr>
                  </w:pPr>
                  <w:r>
                    <w:rPr>
                      <w:rFonts w:hint="eastAsia" w:ascii="仿宋" w:hAnsi="仿宋" w:eastAsia="仿宋" w:cs="仿宋"/>
                      <w:sz w:val="21"/>
                      <w:szCs w:val="21"/>
                    </w:rPr>
                    <w:t>在脱机或在线状态下，应能在固定列触摸显示屏上按年、月、日查询最近十年的报警日志和操作日志，支持视频查看，可查看现场抓拍图片，抓拍图片分辨率应为1920×1080；日志在本地存储空间不小于1GB，可存储不少于10万条日志记录</w:t>
                  </w:r>
                  <w:r>
                    <w:rPr>
                      <w:rFonts w:hint="eastAsia" w:ascii="仿宋" w:hAnsi="仿宋" w:eastAsia="仿宋" w:cs="仿宋"/>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休眠设置功能</w:t>
                  </w:r>
                </w:p>
              </w:tc>
              <w:tc>
                <w:tcPr>
                  <w:tcW w:w="3769" w:type="pct"/>
                  <w:noWrap w:val="0"/>
                  <w:vAlign w:val="center"/>
                </w:tcPr>
                <w:p>
                  <w:pPr>
                    <w:pStyle w:val="22"/>
                    <w:spacing w:line="240" w:lineRule="auto"/>
                    <w:ind w:left="0" w:leftChars="0" w:firstLine="0" w:firstLineChars="0"/>
                    <w:rPr>
                      <w:rFonts w:hint="eastAsia" w:ascii="仿宋" w:hAnsi="仿宋" w:eastAsia="仿宋" w:cs="仿宋"/>
                      <w:sz w:val="21"/>
                      <w:szCs w:val="21"/>
                    </w:rPr>
                  </w:pPr>
                  <w:r>
                    <w:rPr>
                      <w:rFonts w:hint="eastAsia" w:ascii="仿宋" w:hAnsi="仿宋" w:eastAsia="仿宋" w:cs="仿宋"/>
                      <w:sz w:val="21"/>
                      <w:szCs w:val="21"/>
                    </w:rPr>
                    <w:t>系统在无人操作一定时间后可进入系统屏保状态，屏保页面可设置成环境树、黑屏、温湿度仪表盘、自行设定的轮播图片，显示模式可设置。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系统统计</w:t>
                  </w:r>
                </w:p>
              </w:tc>
              <w:tc>
                <w:tcPr>
                  <w:tcW w:w="3769" w:type="pct"/>
                  <w:noWrap w:val="0"/>
                  <w:vAlign w:val="center"/>
                </w:tcPr>
                <w:p>
                  <w:pPr>
                    <w:pStyle w:val="22"/>
                    <w:spacing w:line="240" w:lineRule="auto"/>
                    <w:ind w:left="0" w:leftChars="0" w:firstLine="0" w:firstLineChars="0"/>
                    <w:rPr>
                      <w:rFonts w:hint="eastAsia" w:ascii="仿宋" w:hAnsi="仿宋" w:eastAsia="仿宋" w:cs="仿宋"/>
                      <w:sz w:val="21"/>
                      <w:szCs w:val="21"/>
                    </w:rPr>
                  </w:pPr>
                  <w:r>
                    <w:rPr>
                      <w:rFonts w:hint="eastAsia" w:ascii="仿宋" w:hAnsi="仿宋" w:eastAsia="仿宋" w:cs="仿宋"/>
                      <w:sz w:val="21"/>
                      <w:szCs w:val="21"/>
                    </w:rPr>
                    <w:t>固定列具有系统统计功能，可统计架体操作，档案注册、借还、审批，故障修复，系统设置等次数，可按时间进行查询。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sz w:val="21"/>
                      <w:szCs w:val="21"/>
                    </w:rPr>
                    <w:t>列号正序与倒序显示功能</w:t>
                  </w:r>
                </w:p>
              </w:tc>
              <w:tc>
                <w:tcPr>
                  <w:tcW w:w="3769" w:type="pct"/>
                  <w:noWrap w:val="0"/>
                  <w:vAlign w:val="center"/>
                </w:tcPr>
                <w:p>
                  <w:pPr>
                    <w:pStyle w:val="22"/>
                    <w:spacing w:line="240" w:lineRule="auto"/>
                    <w:ind w:left="0" w:leftChars="0" w:firstLine="0" w:firstLineChars="0"/>
                    <w:rPr>
                      <w:rFonts w:hint="eastAsia" w:ascii="仿宋" w:hAnsi="仿宋" w:eastAsia="仿宋" w:cs="仿宋"/>
                      <w:sz w:val="21"/>
                      <w:szCs w:val="21"/>
                    </w:rPr>
                  </w:pPr>
                  <w:r>
                    <w:rPr>
                      <w:rFonts w:hint="eastAsia" w:ascii="仿宋" w:hAnsi="仿宋" w:eastAsia="仿宋" w:cs="仿宋"/>
                      <w:sz w:val="21"/>
                      <w:szCs w:val="21"/>
                    </w:rPr>
                    <w:t>架体列号支持自动编址，列号显示可从左到右递增编址排序，也可从右到左递增编址排序，方便馆内的布局设置。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sz w:val="21"/>
                      <w:szCs w:val="21"/>
                    </w:rPr>
                  </w:pPr>
                  <w:r>
                    <w:rPr>
                      <w:rFonts w:hint="eastAsia" w:ascii="仿宋" w:hAnsi="仿宋" w:eastAsia="仿宋" w:cs="仿宋"/>
                      <w:sz w:val="21"/>
                      <w:szCs w:val="21"/>
                    </w:rPr>
                    <w:t>固定列WEB发布功能</w:t>
                  </w:r>
                </w:p>
              </w:tc>
              <w:tc>
                <w:tcPr>
                  <w:tcW w:w="3769" w:type="pct"/>
                  <w:noWrap w:val="0"/>
                  <w:vAlign w:val="center"/>
                </w:tcPr>
                <w:p>
                  <w:pPr>
                    <w:pStyle w:val="22"/>
                    <w:spacing w:line="240" w:lineRule="auto"/>
                    <w:ind w:left="0" w:leftChars="0" w:firstLine="0" w:firstLineChars="0"/>
                    <w:rPr>
                      <w:rFonts w:hint="eastAsia" w:ascii="仿宋" w:hAnsi="仿宋" w:eastAsia="仿宋" w:cs="仿宋"/>
                      <w:sz w:val="21"/>
                      <w:szCs w:val="21"/>
                    </w:rPr>
                  </w:pPr>
                  <w:r>
                    <w:rPr>
                      <w:rFonts w:hint="eastAsia" w:ascii="仿宋" w:hAnsi="仿宋" w:eastAsia="仿宋" w:cs="仿宋"/>
                      <w:sz w:val="21"/>
                      <w:szCs w:val="21"/>
                    </w:rPr>
                    <w:t>固定列具有站点WEB发布功能，访问固定列发布的站点网址可直接操作架体打开，关闭，通风，锁定等功能。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sz w:val="21"/>
                      <w:szCs w:val="21"/>
                    </w:rPr>
                  </w:pPr>
                  <w:r>
                    <w:rPr>
                      <w:rFonts w:hint="eastAsia" w:ascii="仿宋" w:hAnsi="仿宋" w:eastAsia="仿宋" w:cs="仿宋"/>
                      <w:sz w:val="21"/>
                      <w:szCs w:val="21"/>
                    </w:rPr>
                    <w:t>架体运行与温湿度曲线并行显示功能</w:t>
                  </w:r>
                </w:p>
              </w:tc>
              <w:tc>
                <w:tcPr>
                  <w:tcW w:w="3769" w:type="pct"/>
                  <w:noWrap w:val="0"/>
                  <w:vAlign w:val="center"/>
                </w:tcPr>
                <w:p>
                  <w:pPr>
                    <w:pStyle w:val="22"/>
                    <w:spacing w:line="240" w:lineRule="auto"/>
                    <w:ind w:left="0" w:leftChars="0" w:firstLine="0" w:firstLineChars="0"/>
                    <w:rPr>
                      <w:rFonts w:hint="eastAsia" w:ascii="仿宋" w:hAnsi="仿宋" w:eastAsia="仿宋" w:cs="仿宋"/>
                      <w:sz w:val="21"/>
                      <w:szCs w:val="21"/>
                    </w:rPr>
                  </w:pPr>
                  <w:r>
                    <w:rPr>
                      <w:rFonts w:hint="eastAsia" w:ascii="仿宋" w:hAnsi="仿宋" w:eastAsia="仿宋" w:cs="仿宋"/>
                      <w:sz w:val="21"/>
                      <w:szCs w:val="21"/>
                    </w:rPr>
                    <w:t>在固定列屏上操作密集架时，密集架在运动时可直接调出架内温湿度曲线并行运行，密集架实时运行，温湿度曲线也可实时显示。此模式可进行设置。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b/>
                      <w:bCs/>
                      <w:color w:val="000000"/>
                      <w:sz w:val="21"/>
                      <w:szCs w:val="21"/>
                    </w:rPr>
                  </w:pPr>
                  <w:r>
                    <w:rPr>
                      <w:rFonts w:hint="eastAsia" w:ascii="仿宋" w:hAnsi="仿宋" w:eastAsia="仿宋" w:cs="仿宋"/>
                      <w:b/>
                      <w:bCs/>
                      <w:color w:val="000000"/>
                      <w:sz w:val="21"/>
                      <w:szCs w:val="21"/>
                    </w:rPr>
                    <w:t>灯光标牌</w:t>
                  </w:r>
                </w:p>
              </w:tc>
              <w:tc>
                <w:tcPr>
                  <w:tcW w:w="3769" w:type="pct"/>
                  <w:noWrap w:val="0"/>
                  <w:vAlign w:val="center"/>
                </w:tcPr>
                <w:p>
                  <w:pPr>
                    <w:pStyle w:val="22"/>
                    <w:spacing w:line="240" w:lineRule="auto"/>
                    <w:ind w:left="0" w:leftChars="0" w:firstLine="0" w:firstLineChars="0"/>
                    <w:rPr>
                      <w:rFonts w:hint="eastAsia" w:ascii="仿宋" w:hAnsi="仿宋" w:eastAsia="仿宋" w:cs="仿宋"/>
                      <w:b/>
                      <w:bCs/>
                      <w:color w:val="000000"/>
                      <w:sz w:val="21"/>
                      <w:szCs w:val="21"/>
                      <w:lang w:eastAsia="zh-CN"/>
                    </w:rPr>
                  </w:pPr>
                  <w:r>
                    <w:rPr>
                      <w:rFonts w:hint="eastAsia" w:ascii="仿宋" w:hAnsi="仿宋" w:eastAsia="仿宋" w:cs="仿宋"/>
                      <w:b/>
                      <w:bCs/>
                      <w:color w:val="000000"/>
                      <w:sz w:val="21"/>
                      <w:szCs w:val="21"/>
                    </w:rPr>
                    <w:t>支持将密集架列号数码管与架体状态高亮LED指示灯集成形成灯光标牌，密集架列号数码管不少于5位1.8寸数码管，数码管编号可通过固定列触摸屏自动设置，编号可随意更改，且数码管颜色可变，提供至少10种颜色供选择；密集架状态信息（架内有人、架体倾倒、环境参数超限、通讯状态异常）在灯光标牌上有高亮LED图标指示；密集架架体移动时，灯光标牌提供LED环绕灯指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b/>
                      <w:bCs/>
                      <w:color w:val="000000"/>
                      <w:sz w:val="21"/>
                      <w:szCs w:val="21"/>
                      <w:lang w:val="en-US" w:eastAsia="zh-CN"/>
                    </w:rPr>
                  </w:pPr>
                  <w:r>
                    <w:rPr>
                      <w:rFonts w:hint="eastAsia" w:ascii="仿宋" w:hAnsi="仿宋" w:eastAsia="仿宋" w:cs="仿宋"/>
                      <w:b/>
                      <w:bCs/>
                      <w:color w:val="000000"/>
                      <w:sz w:val="21"/>
                      <w:szCs w:val="21"/>
                      <w:lang w:val="en-US" w:eastAsia="zh-CN"/>
                    </w:rPr>
                    <w:t>X-Y轴定位功能</w:t>
                  </w:r>
                </w:p>
              </w:tc>
              <w:tc>
                <w:tcPr>
                  <w:tcW w:w="3769" w:type="pct"/>
                  <w:noWrap w:val="0"/>
                  <w:vAlign w:val="center"/>
                </w:tcPr>
                <w:p>
                  <w:pPr>
                    <w:pStyle w:val="22"/>
                    <w:spacing w:line="240" w:lineRule="auto"/>
                    <w:ind w:left="0" w:leftChars="0" w:firstLine="0" w:firstLineChars="0"/>
                    <w:rPr>
                      <w:rFonts w:hint="eastAsia" w:ascii="仿宋" w:hAnsi="仿宋" w:eastAsia="仿宋" w:cs="仿宋"/>
                      <w:b/>
                      <w:bCs/>
                      <w:color w:val="000000"/>
                      <w:sz w:val="21"/>
                      <w:szCs w:val="21"/>
                    </w:rPr>
                  </w:pPr>
                  <w:r>
                    <w:rPr>
                      <w:rFonts w:hint="eastAsia" w:ascii="仿宋" w:hAnsi="仿宋" w:eastAsia="仿宋" w:cs="仿宋"/>
                      <w:b/>
                      <w:bCs/>
                      <w:color w:val="000000"/>
                      <w:kern w:val="0"/>
                      <w:sz w:val="21"/>
                      <w:szCs w:val="21"/>
                      <w:highlight w:val="none"/>
                    </w:rPr>
                    <w:t>任意输入档案名称、档案号、关键词即可找到档案所在位置，</w:t>
                  </w:r>
                  <w:r>
                    <w:rPr>
                      <w:rFonts w:hint="eastAsia" w:ascii="仿宋" w:hAnsi="仿宋" w:eastAsia="仿宋" w:cs="仿宋"/>
                      <w:b/>
                      <w:bCs/>
                      <w:color w:val="000000"/>
                      <w:kern w:val="0"/>
                      <w:sz w:val="21"/>
                      <w:szCs w:val="21"/>
                      <w:highlight w:val="none"/>
                      <w:lang w:val="en-US" w:eastAsia="zh-CN"/>
                    </w:rPr>
                    <w:t>采用X-Y轴定位，</w:t>
                  </w:r>
                  <w:r>
                    <w:rPr>
                      <w:rFonts w:hint="eastAsia" w:ascii="仿宋" w:hAnsi="仿宋" w:eastAsia="仿宋" w:cs="仿宋"/>
                      <w:b/>
                      <w:bCs/>
                      <w:color w:val="000000"/>
                      <w:kern w:val="0"/>
                      <w:sz w:val="21"/>
                      <w:szCs w:val="21"/>
                      <w:highlight w:val="none"/>
                    </w:rPr>
                    <w:t>精确到层；任意档案</w:t>
                  </w:r>
                  <w:r>
                    <w:rPr>
                      <w:rFonts w:hint="eastAsia" w:ascii="仿宋" w:hAnsi="仿宋" w:eastAsia="仿宋" w:cs="仿宋"/>
                      <w:b/>
                      <w:bCs/>
                      <w:color w:val="000000"/>
                      <w:kern w:val="0"/>
                      <w:sz w:val="21"/>
                      <w:szCs w:val="21"/>
                      <w:highlight w:val="none"/>
                      <w:lang w:val="en-US" w:eastAsia="zh-CN"/>
                    </w:rPr>
                    <w:t>通过手持机或者盘点车进行</w:t>
                  </w:r>
                  <w:r>
                    <w:rPr>
                      <w:rFonts w:hint="eastAsia" w:ascii="仿宋" w:hAnsi="仿宋" w:eastAsia="仿宋" w:cs="仿宋"/>
                      <w:b/>
                      <w:bCs/>
                      <w:color w:val="000000"/>
                      <w:kern w:val="0"/>
                      <w:sz w:val="21"/>
                      <w:szCs w:val="21"/>
                      <w:highlight w:val="none"/>
                    </w:rPr>
                    <w:t>调用、借取等操作，控制计算机软件可获知最新位置信息</w:t>
                  </w:r>
                  <w:r>
                    <w:rPr>
                      <w:rFonts w:hint="eastAsia" w:ascii="仿宋" w:hAnsi="仿宋" w:eastAsia="仿宋" w:cs="仿宋"/>
                      <w:b/>
                      <w:bCs/>
                      <w:color w:val="000000"/>
                      <w:kern w:val="0"/>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b/>
                      <w:bCs/>
                      <w:color w:val="000000"/>
                      <w:sz w:val="21"/>
                      <w:szCs w:val="21"/>
                    </w:rPr>
                  </w:pPr>
                  <w:r>
                    <w:rPr>
                      <w:rFonts w:hint="eastAsia" w:ascii="仿宋" w:hAnsi="仿宋" w:eastAsia="仿宋" w:cs="仿宋"/>
                      <w:b/>
                      <w:bCs/>
                      <w:color w:val="000000"/>
                      <w:sz w:val="21"/>
                      <w:szCs w:val="21"/>
                    </w:rPr>
                    <w:t>运行导向灯功能</w:t>
                  </w:r>
                </w:p>
              </w:tc>
              <w:tc>
                <w:tcPr>
                  <w:tcW w:w="3769" w:type="pct"/>
                  <w:noWrap w:val="0"/>
                  <w:vAlign w:val="center"/>
                </w:tcPr>
                <w:p>
                  <w:pPr>
                    <w:pStyle w:val="22"/>
                    <w:spacing w:line="240" w:lineRule="auto"/>
                    <w:ind w:left="0" w:leftChars="0" w:firstLine="0" w:firstLineChars="0"/>
                    <w:rPr>
                      <w:rFonts w:hint="eastAsia" w:ascii="仿宋" w:hAnsi="仿宋" w:eastAsia="仿宋" w:cs="仿宋"/>
                      <w:b/>
                      <w:bCs/>
                      <w:color w:val="000000"/>
                      <w:sz w:val="21"/>
                      <w:szCs w:val="21"/>
                    </w:rPr>
                  </w:pPr>
                  <w:r>
                    <w:rPr>
                      <w:rFonts w:hint="eastAsia" w:ascii="仿宋" w:hAnsi="仿宋" w:eastAsia="仿宋" w:cs="仿宋"/>
                      <w:b/>
                      <w:bCs/>
                      <w:color w:val="000000"/>
                      <w:sz w:val="21"/>
                      <w:szCs w:val="21"/>
                    </w:rPr>
                    <w:t>在固定列和移动列上配备运行导向灯条，架体正常状态，蓝色常亮，架内有人时显示红灯提示，架体运行时，导向灯条朝运动方向移动显示。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sz w:val="21"/>
                      <w:szCs w:val="21"/>
                    </w:rPr>
                  </w:pPr>
                  <w:r>
                    <w:rPr>
                      <w:rFonts w:hint="eastAsia" w:ascii="仿宋" w:hAnsi="仿宋" w:eastAsia="仿宋" w:cs="仿宋"/>
                      <w:sz w:val="21"/>
                      <w:szCs w:val="21"/>
                    </w:rPr>
                    <w:t>Logo和背景图片替换功能</w:t>
                  </w:r>
                </w:p>
              </w:tc>
              <w:tc>
                <w:tcPr>
                  <w:tcW w:w="3769" w:type="pct"/>
                  <w:noWrap w:val="0"/>
                  <w:vAlign w:val="center"/>
                </w:tcPr>
                <w:p>
                  <w:pPr>
                    <w:pStyle w:val="22"/>
                    <w:spacing w:line="240" w:lineRule="auto"/>
                    <w:ind w:left="0" w:leftChars="0" w:firstLine="0" w:firstLineChars="0"/>
                    <w:rPr>
                      <w:rFonts w:hint="eastAsia" w:ascii="仿宋" w:hAnsi="仿宋" w:eastAsia="仿宋" w:cs="仿宋"/>
                      <w:sz w:val="21"/>
                      <w:szCs w:val="21"/>
                    </w:rPr>
                  </w:pPr>
                  <w:r>
                    <w:rPr>
                      <w:rFonts w:hint="eastAsia" w:ascii="仿宋" w:hAnsi="仿宋" w:eastAsia="仿宋" w:cs="仿宋"/>
                      <w:sz w:val="21"/>
                      <w:szCs w:val="21"/>
                    </w:rPr>
                    <w:t>可通过固定列触摸屏和管理平台软件上传对应的logo和背景，固定列可主动获取信息并进行logo和背景的替换。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restar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人体安全保护功能</w:t>
                  </w: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红外对射保护功能</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过道采用红外保护技术，当架体关闭时 如有人员在通道内，能轻易触发红外对射，使架体停止移动。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人员进出架体检测</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每个通道配置人员检测红外模块，对人员进入或者离开通道进行检测，进出人员都可以准确显示人数，以保证架内有人时系统锁定不能操作，无人时系统解锁。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紧急停止或锁定  功能</w:t>
                  </w:r>
                </w:p>
              </w:tc>
              <w:tc>
                <w:tcPr>
                  <w:tcW w:w="3769" w:type="pct"/>
                  <w:noWrap w:val="0"/>
                  <w:vAlign w:val="center"/>
                </w:tcPr>
                <w:p>
                  <w:pPr>
                    <w:spacing w:line="240" w:lineRule="auto"/>
                    <w:rPr>
                      <w:rFonts w:hint="eastAsia" w:ascii="仿宋" w:hAnsi="仿宋" w:eastAsia="仿宋" w:cs="仿宋"/>
                      <w:sz w:val="21"/>
                      <w:szCs w:val="21"/>
                    </w:rPr>
                  </w:pPr>
                  <w:r>
                    <w:rPr>
                      <w:rFonts w:hint="eastAsia" w:ascii="仿宋" w:hAnsi="仿宋" w:eastAsia="仿宋" w:cs="仿宋"/>
                      <w:sz w:val="21"/>
                      <w:szCs w:val="21"/>
                    </w:rPr>
                    <w:t>下列情况密集架能立即锁定或停止：</w:t>
                  </w:r>
                </w:p>
                <w:p>
                  <w:pPr>
                    <w:spacing w:line="240" w:lineRule="auto"/>
                    <w:rPr>
                      <w:rFonts w:hint="eastAsia" w:ascii="仿宋" w:hAnsi="仿宋" w:eastAsia="仿宋" w:cs="仿宋"/>
                      <w:sz w:val="21"/>
                      <w:szCs w:val="21"/>
                    </w:rPr>
                  </w:pPr>
                  <w:r>
                    <w:rPr>
                      <w:rFonts w:hint="eastAsia" w:ascii="仿宋" w:hAnsi="仿宋" w:eastAsia="仿宋" w:cs="仿宋"/>
                      <w:sz w:val="21"/>
                      <w:szCs w:val="21"/>
                    </w:rPr>
                    <w:t>（1）触动安全系统；</w:t>
                  </w:r>
                </w:p>
                <w:p>
                  <w:pPr>
                    <w:spacing w:line="240" w:lineRule="auto"/>
                    <w:rPr>
                      <w:rFonts w:hint="eastAsia" w:ascii="仿宋" w:hAnsi="仿宋" w:eastAsia="仿宋" w:cs="仿宋"/>
                      <w:sz w:val="21"/>
                      <w:szCs w:val="21"/>
                    </w:rPr>
                  </w:pPr>
                  <w:r>
                    <w:rPr>
                      <w:rFonts w:hint="eastAsia" w:ascii="仿宋" w:hAnsi="仿宋" w:eastAsia="仿宋" w:cs="仿宋"/>
                      <w:sz w:val="21"/>
                      <w:szCs w:val="21"/>
                    </w:rPr>
                    <w:t>（2）架体运动时触摸显示屏；</w:t>
                  </w:r>
                </w:p>
                <w:p>
                  <w:pPr>
                    <w:spacing w:line="240" w:lineRule="auto"/>
                    <w:rPr>
                      <w:rFonts w:hint="eastAsia" w:ascii="仿宋" w:hAnsi="仿宋" w:eastAsia="仿宋" w:cs="仿宋"/>
                      <w:sz w:val="21"/>
                      <w:szCs w:val="21"/>
                    </w:rPr>
                  </w:pPr>
                  <w:r>
                    <w:rPr>
                      <w:rFonts w:hint="eastAsia" w:ascii="仿宋" w:hAnsi="仿宋" w:eastAsia="仿宋" w:cs="仿宋"/>
                      <w:sz w:val="21"/>
                      <w:szCs w:val="21"/>
                    </w:rPr>
                    <w:t>（3）有异物进入关闭移动中的通道；</w:t>
                  </w:r>
                </w:p>
                <w:p>
                  <w:pPr>
                    <w:spacing w:line="240" w:lineRule="auto"/>
                    <w:rPr>
                      <w:rFonts w:hint="eastAsia" w:ascii="仿宋" w:hAnsi="仿宋" w:eastAsia="仿宋" w:cs="仿宋"/>
                      <w:sz w:val="21"/>
                      <w:szCs w:val="21"/>
                    </w:rPr>
                  </w:pPr>
                  <w:r>
                    <w:rPr>
                      <w:rFonts w:hint="eastAsia" w:ascii="仿宋" w:hAnsi="仿宋" w:eastAsia="仿宋" w:cs="仿宋"/>
                      <w:sz w:val="21"/>
                      <w:szCs w:val="21"/>
                    </w:rPr>
                    <w:t>（4）任何安全装置发生故障；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运行超时保护功能</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当机械构件松脱或打滑时会导致电机长时间运行。应具备超时运行保护功能：运行时间（应可调）超过时能紧急停止运行。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防夹保护功能</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实现安全的密集架防夹保护功能，在所有传感器失效情况下，通过向密集架运动方向施加反向力能够可靠停止运行，且反向力大小可调节。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lang w:val="en-US" w:eastAsia="zh-CN"/>
                    </w:rPr>
                    <w:t>▲</w:t>
                  </w:r>
                  <w:r>
                    <w:rPr>
                      <w:rFonts w:hint="eastAsia" w:ascii="仿宋" w:hAnsi="仿宋" w:eastAsia="仿宋" w:cs="仿宋"/>
                      <w:b/>
                      <w:bCs/>
                      <w:color w:val="000000"/>
                      <w:kern w:val="0"/>
                      <w:sz w:val="21"/>
                      <w:szCs w:val="21"/>
                    </w:rPr>
                    <w:t>智能防  倾倒</w:t>
                  </w:r>
                </w:p>
              </w:tc>
              <w:tc>
                <w:tcPr>
                  <w:tcW w:w="3769" w:type="pct"/>
                  <w:noWrap w:val="0"/>
                  <w:vAlign w:val="center"/>
                </w:tcPr>
                <w:p>
                  <w:pPr>
                    <w:pStyle w:val="22"/>
                    <w:spacing w:line="240" w:lineRule="auto"/>
                    <w:ind w:left="0" w:leftChars="0" w:firstLine="0" w:firstLineChars="0"/>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该装置安装在最外侧边列密集架的底架边外侧，采用特殊设计的水平仪，当检测到密集架有倾斜时（允许倾斜角度可调），系统控制密集架架体电机立即停止运行，并同时通过装在底架外侧的电机，带动伸缩杆迅速伸长，作为支撑杆支撑倾斜的密集架架体，将其停止倾斜并根据倾斜角度将其顶回原有位置，从而最大程度保证人、机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安全电压供电功能</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fldChar w:fldCharType="begin"/>
                  </w:r>
                  <w:r>
                    <w:rPr>
                      <w:rFonts w:hint="eastAsia" w:ascii="仿宋" w:hAnsi="仿宋" w:eastAsia="仿宋" w:cs="仿宋"/>
                      <w:kern w:val="0"/>
                      <w:sz w:val="21"/>
                      <w:szCs w:val="21"/>
                    </w:rPr>
                    <w:instrText xml:space="preserve"> = 1 \* GB3 </w:instrText>
                  </w:r>
                  <w:r>
                    <w:rPr>
                      <w:rFonts w:hint="eastAsia" w:ascii="仿宋" w:hAnsi="仿宋" w:eastAsia="仿宋" w:cs="仿宋"/>
                      <w:kern w:val="0"/>
                      <w:sz w:val="21"/>
                      <w:szCs w:val="21"/>
                    </w:rPr>
                    <w:fldChar w:fldCharType="separate"/>
                  </w:r>
                  <w:r>
                    <w:rPr>
                      <w:rFonts w:hint="eastAsia" w:ascii="仿宋" w:hAnsi="仿宋" w:eastAsia="仿宋" w:cs="仿宋"/>
                      <w:kern w:val="0"/>
                      <w:sz w:val="21"/>
                      <w:szCs w:val="21"/>
                    </w:rPr>
                    <w:t>①</w:t>
                  </w:r>
                  <w:r>
                    <w:rPr>
                      <w:rFonts w:hint="eastAsia" w:ascii="仿宋" w:hAnsi="仿宋" w:eastAsia="仿宋" w:cs="仿宋"/>
                      <w:kern w:val="0"/>
                      <w:sz w:val="21"/>
                      <w:szCs w:val="21"/>
                    </w:rPr>
                    <w:fldChar w:fldCharType="end"/>
                  </w:r>
                  <w:r>
                    <w:rPr>
                      <w:rFonts w:hint="eastAsia" w:ascii="仿宋" w:hAnsi="仿宋" w:eastAsia="仿宋" w:cs="仿宋"/>
                      <w:kern w:val="0"/>
                      <w:sz w:val="21"/>
                      <w:szCs w:val="21"/>
                    </w:rPr>
                    <w:t>除进电线路外，系统所有部件用电不超过24V；</w:t>
                  </w:r>
                </w:p>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fldChar w:fldCharType="begin"/>
                  </w:r>
                  <w:r>
                    <w:rPr>
                      <w:rFonts w:hint="eastAsia" w:ascii="仿宋" w:hAnsi="仿宋" w:eastAsia="仿宋" w:cs="仿宋"/>
                      <w:kern w:val="0"/>
                      <w:sz w:val="21"/>
                      <w:szCs w:val="21"/>
                    </w:rPr>
                    <w:instrText xml:space="preserve"> = 2 \* GB3 </w:instrText>
                  </w:r>
                  <w:r>
                    <w:rPr>
                      <w:rFonts w:hint="eastAsia" w:ascii="仿宋" w:hAnsi="仿宋" w:eastAsia="仿宋" w:cs="仿宋"/>
                      <w:kern w:val="0"/>
                      <w:sz w:val="21"/>
                      <w:szCs w:val="21"/>
                    </w:rPr>
                    <w:fldChar w:fldCharType="separate"/>
                  </w:r>
                  <w:r>
                    <w:rPr>
                      <w:rFonts w:hint="eastAsia" w:ascii="仿宋" w:hAnsi="仿宋" w:eastAsia="仿宋" w:cs="仿宋"/>
                      <w:kern w:val="0"/>
                      <w:sz w:val="21"/>
                      <w:szCs w:val="21"/>
                    </w:rPr>
                    <w:t>②</w:t>
                  </w:r>
                  <w:r>
                    <w:rPr>
                      <w:rFonts w:hint="eastAsia" w:ascii="仿宋" w:hAnsi="仿宋" w:eastAsia="仿宋" w:cs="仿宋"/>
                      <w:kern w:val="0"/>
                      <w:sz w:val="21"/>
                      <w:szCs w:val="21"/>
                    </w:rPr>
                    <w:fldChar w:fldCharType="end"/>
                  </w:r>
                  <w:r>
                    <w:rPr>
                      <w:rFonts w:hint="eastAsia" w:ascii="仿宋" w:hAnsi="仿宋" w:eastAsia="仿宋" w:cs="仿宋"/>
                      <w:kern w:val="0"/>
                      <w:sz w:val="21"/>
                      <w:szCs w:val="21"/>
                    </w:rPr>
                    <w:t>紧急情况下，可以自动关闭密集架区域的电源；</w:t>
                  </w:r>
                </w:p>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fldChar w:fldCharType="begin"/>
                  </w:r>
                  <w:r>
                    <w:rPr>
                      <w:rFonts w:hint="eastAsia" w:ascii="仿宋" w:hAnsi="仿宋" w:eastAsia="仿宋" w:cs="仿宋"/>
                      <w:kern w:val="0"/>
                      <w:sz w:val="21"/>
                      <w:szCs w:val="21"/>
                    </w:rPr>
                    <w:instrText xml:space="preserve"> = 3 \* GB3 </w:instrText>
                  </w:r>
                  <w:r>
                    <w:rPr>
                      <w:rFonts w:hint="eastAsia" w:ascii="仿宋" w:hAnsi="仿宋" w:eastAsia="仿宋" w:cs="仿宋"/>
                      <w:kern w:val="0"/>
                      <w:sz w:val="21"/>
                      <w:szCs w:val="21"/>
                    </w:rPr>
                    <w:fldChar w:fldCharType="separate"/>
                  </w:r>
                  <w:r>
                    <w:rPr>
                      <w:rFonts w:hint="eastAsia" w:ascii="仿宋" w:hAnsi="仿宋" w:eastAsia="仿宋" w:cs="仿宋"/>
                      <w:kern w:val="0"/>
                      <w:sz w:val="21"/>
                      <w:szCs w:val="21"/>
                    </w:rPr>
                    <w:t>③</w:t>
                  </w:r>
                  <w:r>
                    <w:rPr>
                      <w:rFonts w:hint="eastAsia" w:ascii="仿宋" w:hAnsi="仿宋" w:eastAsia="仿宋" w:cs="仿宋"/>
                      <w:kern w:val="0"/>
                      <w:sz w:val="21"/>
                      <w:szCs w:val="21"/>
                    </w:rPr>
                    <w:fldChar w:fldCharType="end"/>
                  </w:r>
                  <w:r>
                    <w:rPr>
                      <w:rFonts w:hint="eastAsia" w:ascii="仿宋" w:hAnsi="仿宋" w:eastAsia="仿宋" w:cs="仿宋"/>
                      <w:kern w:val="0"/>
                      <w:sz w:val="21"/>
                      <w:szCs w:val="21"/>
                    </w:rPr>
                    <w:t>紧急情况下，可以自动关闭密集架区域的移动列的电源。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支持视频联动</w:t>
                  </w:r>
                </w:p>
              </w:tc>
              <w:tc>
                <w:tcPr>
                  <w:tcW w:w="3769" w:type="pct"/>
                  <w:noWrap w:val="0"/>
                  <w:vAlign w:val="center"/>
                </w:tcPr>
                <w:p>
                  <w:pPr>
                    <w:spacing w:line="240" w:lineRule="auto"/>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在远程管理电脑打开档案所在的架体，无需操作自动调用区域视频监控，可实时查看库房中运行架体区域的视频，保障运行安全，并且视频范围、远近和方向可通过远程管理电脑调节。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支持视频通话</w:t>
                  </w:r>
                </w:p>
              </w:tc>
              <w:tc>
                <w:tcPr>
                  <w:tcW w:w="3769" w:type="pct"/>
                  <w:noWrap w:val="0"/>
                  <w:vAlign w:val="center"/>
                </w:tcPr>
                <w:p>
                  <w:pPr>
                    <w:spacing w:line="240" w:lineRule="auto"/>
                    <w:rPr>
                      <w:rFonts w:hint="eastAsia" w:ascii="仿宋" w:hAnsi="仿宋" w:eastAsia="仿宋" w:cs="仿宋"/>
                      <w:b/>
                      <w:bCs/>
                      <w:color w:val="000000"/>
                      <w:kern w:val="0"/>
                      <w:sz w:val="21"/>
                      <w:szCs w:val="21"/>
                      <w:lang w:eastAsia="zh-CN"/>
                    </w:rPr>
                  </w:pPr>
                  <w:r>
                    <w:rPr>
                      <w:rFonts w:hint="eastAsia" w:ascii="仿宋" w:hAnsi="仿宋" w:eastAsia="仿宋" w:cs="仿宋"/>
                      <w:b/>
                      <w:bCs/>
                      <w:color w:val="000000"/>
                      <w:kern w:val="0"/>
                      <w:sz w:val="21"/>
                      <w:szCs w:val="21"/>
                    </w:rPr>
                    <w:t>库房内密集架与密集架之间、密集架和管理计算机之间提供视频通话功能，固定列和远端管理计算机都可以发起通话，通话接通后可以实时视频通话。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档案落地检测</w:t>
                  </w:r>
                </w:p>
              </w:tc>
              <w:tc>
                <w:tcPr>
                  <w:tcW w:w="3769" w:type="pct"/>
                  <w:noWrap w:val="0"/>
                  <w:vAlign w:val="center"/>
                </w:tcPr>
                <w:p>
                  <w:pPr>
                    <w:spacing w:line="240" w:lineRule="auto"/>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通过通道内摄像头进行监测，当通道内有档案落地或异物时，摄像头通过算法识别档案或异物，自动锁定系统保护档案及架体，当档案拿走或异物清除时架体自动解锁可供正常使用。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短信通知</w:t>
                  </w:r>
                </w:p>
              </w:tc>
              <w:tc>
                <w:tcPr>
                  <w:tcW w:w="3769" w:type="pct"/>
                  <w:noWrap w:val="0"/>
                  <w:vAlign w:val="center"/>
                </w:tcPr>
                <w:p>
                  <w:pPr>
                    <w:spacing w:line="240" w:lineRule="auto"/>
                    <w:rPr>
                      <w:rFonts w:hint="eastAsia" w:ascii="仿宋" w:hAnsi="仿宋" w:eastAsia="仿宋" w:cs="仿宋"/>
                      <w:b/>
                      <w:bCs/>
                      <w:color w:val="000000"/>
                      <w:kern w:val="0"/>
                      <w:sz w:val="21"/>
                      <w:szCs w:val="21"/>
                    </w:rPr>
                  </w:pPr>
                  <w:r>
                    <w:rPr>
                      <w:rFonts w:hint="eastAsia" w:ascii="仿宋" w:hAnsi="仿宋" w:eastAsia="仿宋" w:cs="仿宋"/>
                      <w:b/>
                      <w:bCs/>
                      <w:color w:val="000000"/>
                      <w:kern w:val="0"/>
                      <w:sz w:val="21"/>
                      <w:szCs w:val="21"/>
                    </w:rPr>
                    <w:t>密集架异常情况下，可以通过短信通知的方式，将短信发送到指定的手机，进行报警提示。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机械锁锁定功能</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在移动列上将机械锁锁定之后架体无法移动，在控制屏状态显示机械锁锁定，所有操作禁止。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9" w:hRule="atLeast"/>
                <w:jc w:val="center"/>
              </w:trPr>
              <w:tc>
                <w:tcPr>
                  <w:tcW w:w="412" w:type="pct"/>
                  <w:vMerge w:val="restart"/>
                  <w:noWrap w:val="0"/>
                  <w:vAlign w:val="center"/>
                </w:tcPr>
                <w:p>
                  <w:pPr>
                    <w:spacing w:line="240" w:lineRule="auto"/>
                    <w:jc w:val="center"/>
                    <w:rPr>
                      <w:rFonts w:hint="eastAsia" w:ascii="仿宋" w:hAnsi="仿宋" w:eastAsia="仿宋" w:cs="仿宋"/>
                      <w:kern w:val="0"/>
                      <w:sz w:val="21"/>
                      <w:szCs w:val="21"/>
                      <w:lang w:val="en-US" w:eastAsia="zh-CN"/>
                    </w:rPr>
                  </w:pPr>
                </w:p>
                <w:p>
                  <w:pPr>
                    <w:spacing w:line="240" w:lineRule="auto"/>
                    <w:jc w:val="center"/>
                    <w:rPr>
                      <w:rFonts w:hint="eastAsia" w:ascii="仿宋" w:hAnsi="仿宋" w:eastAsia="仿宋" w:cs="仿宋"/>
                      <w:kern w:val="0"/>
                      <w:sz w:val="21"/>
                      <w:szCs w:val="21"/>
                      <w:lang w:val="en-US" w:eastAsia="zh-CN"/>
                    </w:rPr>
                  </w:pPr>
                </w:p>
                <w:p>
                  <w:pPr>
                    <w:spacing w:line="240" w:lineRule="auto"/>
                    <w:jc w:val="center"/>
                    <w:rPr>
                      <w:rFonts w:hint="eastAsia" w:ascii="仿宋" w:hAnsi="仿宋" w:eastAsia="仿宋" w:cs="仿宋"/>
                      <w:kern w:val="0"/>
                      <w:sz w:val="21"/>
                      <w:szCs w:val="21"/>
                      <w:lang w:val="en-US" w:eastAsia="zh-CN"/>
                    </w:rPr>
                  </w:pPr>
                </w:p>
                <w:p>
                  <w:pPr>
                    <w:spacing w:line="240" w:lineRule="auto"/>
                    <w:jc w:val="center"/>
                    <w:rPr>
                      <w:rFonts w:hint="eastAsia" w:ascii="仿宋" w:hAnsi="仿宋" w:eastAsia="仿宋" w:cs="仿宋"/>
                      <w:kern w:val="0"/>
                      <w:sz w:val="21"/>
                      <w:szCs w:val="21"/>
                      <w:lang w:val="en-US" w:eastAsia="zh-CN"/>
                    </w:rPr>
                  </w:pPr>
                </w:p>
                <w:p>
                  <w:pPr>
                    <w:spacing w:line="240" w:lineRule="auto"/>
                    <w:jc w:val="center"/>
                    <w:rPr>
                      <w:rFonts w:hint="eastAsia" w:ascii="仿宋" w:hAnsi="仿宋" w:eastAsia="仿宋" w:cs="仿宋"/>
                      <w:kern w:val="0"/>
                      <w:sz w:val="21"/>
                      <w:szCs w:val="21"/>
                      <w:lang w:val="en-US" w:eastAsia="zh-CN"/>
                    </w:rPr>
                  </w:pPr>
                </w:p>
                <w:p>
                  <w:pPr>
                    <w:spacing w:line="240" w:lineRule="auto"/>
                    <w:jc w:val="center"/>
                    <w:rPr>
                      <w:rFonts w:hint="eastAsia" w:ascii="仿宋" w:hAnsi="仿宋" w:eastAsia="仿宋" w:cs="仿宋"/>
                      <w:kern w:val="0"/>
                      <w:sz w:val="21"/>
                      <w:szCs w:val="21"/>
                      <w:lang w:val="en-US" w:eastAsia="zh-CN"/>
                    </w:rPr>
                  </w:pPr>
                </w:p>
                <w:p>
                  <w:pPr>
                    <w:spacing w:line="240" w:lineRule="auto"/>
                    <w:jc w:val="center"/>
                    <w:rPr>
                      <w:rFonts w:hint="eastAsia" w:ascii="仿宋" w:hAnsi="仿宋" w:eastAsia="仿宋" w:cs="仿宋"/>
                      <w:kern w:val="0"/>
                      <w:sz w:val="21"/>
                      <w:szCs w:val="21"/>
                      <w:lang w:val="en-US"/>
                    </w:rPr>
                  </w:pPr>
                  <w:r>
                    <w:rPr>
                      <w:rFonts w:hint="eastAsia" w:ascii="仿宋" w:hAnsi="仿宋" w:eastAsia="仿宋" w:cs="仿宋"/>
                      <w:kern w:val="0"/>
                      <w:sz w:val="21"/>
                      <w:szCs w:val="21"/>
                      <w:lang w:val="en-US" w:eastAsia="zh-CN"/>
                    </w:rPr>
                    <w:t>档案管理平台功能</w:t>
                  </w:r>
                </w:p>
              </w:tc>
              <w:tc>
                <w:tcPr>
                  <w:tcW w:w="818" w:type="pct"/>
                  <w:noWrap w:val="0"/>
                  <w:vAlign w:val="center"/>
                </w:tcPr>
                <w:p>
                  <w:pPr>
                    <w:spacing w:line="240" w:lineRule="auto"/>
                    <w:jc w:val="both"/>
                    <w:rPr>
                      <w:rFonts w:hint="eastAsia" w:ascii="仿宋" w:hAnsi="仿宋" w:eastAsia="仿宋" w:cs="仿宋"/>
                      <w:kern w:val="0"/>
                      <w:sz w:val="21"/>
                      <w:szCs w:val="21"/>
                    </w:rPr>
                  </w:pPr>
                  <w:r>
                    <w:rPr>
                      <w:rFonts w:hint="eastAsia" w:ascii="仿宋" w:hAnsi="仿宋" w:eastAsia="仿宋" w:cs="仿宋"/>
                      <w:kern w:val="0"/>
                      <w:sz w:val="21"/>
                      <w:szCs w:val="21"/>
                    </w:rPr>
                    <w:t>档案操作</w:t>
                  </w:r>
                  <w:r>
                    <w:rPr>
                      <w:rFonts w:hint="eastAsia" w:ascii="仿宋" w:hAnsi="仿宋" w:eastAsia="仿宋" w:cs="仿宋"/>
                      <w:kern w:val="0"/>
                      <w:sz w:val="21"/>
                      <w:szCs w:val="21"/>
                      <w:lang w:eastAsia="zh-CN"/>
                    </w:rPr>
                    <w:t>基本</w:t>
                  </w:r>
                  <w:r>
                    <w:rPr>
                      <w:rFonts w:hint="eastAsia" w:ascii="仿宋" w:hAnsi="仿宋" w:eastAsia="仿宋" w:cs="仿宋"/>
                      <w:kern w:val="0"/>
                      <w:sz w:val="21"/>
                      <w:szCs w:val="21"/>
                    </w:rPr>
                    <w:t>功能</w:t>
                  </w:r>
                </w:p>
              </w:tc>
              <w:tc>
                <w:tcPr>
                  <w:tcW w:w="3769" w:type="pct"/>
                  <w:noWrap w:val="0"/>
                  <w:vAlign w:val="center"/>
                </w:tcPr>
                <w:p>
                  <w:pPr>
                    <w:spacing w:line="240" w:lineRule="auto"/>
                    <w:ind w:left="-51" w:right="-51"/>
                    <w:rPr>
                      <w:rFonts w:hint="eastAsia" w:ascii="仿宋" w:hAnsi="仿宋" w:eastAsia="仿宋" w:cs="仿宋"/>
                      <w:kern w:val="0"/>
                      <w:sz w:val="21"/>
                      <w:szCs w:val="21"/>
                      <w:lang w:val="en-US" w:eastAsia="zh-CN"/>
                    </w:rPr>
                  </w:pPr>
                  <w:r>
                    <w:rPr>
                      <w:rFonts w:hint="eastAsia" w:ascii="仿宋" w:hAnsi="仿宋" w:eastAsia="仿宋" w:cs="仿宋"/>
                      <w:kern w:val="0"/>
                      <w:sz w:val="21"/>
                      <w:szCs w:val="21"/>
                    </w:rPr>
                    <w:t>上位机具备档案</w:t>
                  </w:r>
                  <w:r>
                    <w:rPr>
                      <w:rFonts w:hint="eastAsia" w:ascii="仿宋" w:hAnsi="仿宋" w:eastAsia="仿宋" w:cs="仿宋"/>
                      <w:kern w:val="0"/>
                      <w:sz w:val="21"/>
                      <w:szCs w:val="21"/>
                      <w:lang w:eastAsia="zh-CN"/>
                    </w:rPr>
                    <w:t>注册</w:t>
                  </w:r>
                  <w:r>
                    <w:rPr>
                      <w:rFonts w:hint="eastAsia" w:ascii="仿宋" w:hAnsi="仿宋" w:eastAsia="仿宋" w:cs="仿宋"/>
                      <w:kern w:val="0"/>
                      <w:sz w:val="21"/>
                      <w:szCs w:val="21"/>
                    </w:rPr>
                    <w:t>、查询、</w:t>
                  </w:r>
                  <w:r>
                    <w:rPr>
                      <w:rFonts w:hint="eastAsia" w:ascii="仿宋" w:hAnsi="仿宋" w:eastAsia="仿宋" w:cs="仿宋"/>
                      <w:kern w:val="0"/>
                      <w:sz w:val="21"/>
                      <w:szCs w:val="21"/>
                      <w:lang w:eastAsia="zh-CN"/>
                    </w:rPr>
                    <w:t>销毁、</w:t>
                  </w:r>
                  <w:r>
                    <w:rPr>
                      <w:rFonts w:hint="eastAsia" w:ascii="仿宋" w:hAnsi="仿宋" w:eastAsia="仿宋" w:cs="仿宋"/>
                      <w:kern w:val="0"/>
                      <w:sz w:val="21"/>
                      <w:szCs w:val="21"/>
                    </w:rPr>
                    <w:t>借阅、归还、</w:t>
                  </w:r>
                  <w:r>
                    <w:rPr>
                      <w:rFonts w:hint="eastAsia" w:ascii="仿宋" w:hAnsi="仿宋" w:eastAsia="仿宋" w:cs="仿宋"/>
                      <w:kern w:val="0"/>
                      <w:sz w:val="21"/>
                      <w:szCs w:val="21"/>
                      <w:lang w:eastAsia="zh-CN"/>
                    </w:rPr>
                    <w:t>审批、</w:t>
                  </w:r>
                  <w:r>
                    <w:rPr>
                      <w:rFonts w:hint="eastAsia" w:ascii="仿宋" w:hAnsi="仿宋" w:eastAsia="仿宋" w:cs="仿宋"/>
                      <w:kern w:val="0"/>
                      <w:sz w:val="21"/>
                      <w:szCs w:val="21"/>
                    </w:rPr>
                    <w:t>统计、打印</w:t>
                  </w:r>
                  <w:r>
                    <w:rPr>
                      <w:rFonts w:hint="eastAsia" w:ascii="仿宋" w:hAnsi="仿宋" w:eastAsia="仿宋" w:cs="仿宋"/>
                      <w:kern w:val="0"/>
                      <w:sz w:val="21"/>
                      <w:szCs w:val="21"/>
                      <w:lang w:eastAsia="zh-CN"/>
                    </w:rPr>
                    <w:t>、批量导入导出、移架、标签绑定、盘点等功能。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lang w:val="en-US" w:eastAsia="zh-CN"/>
                    </w:rPr>
                  </w:pPr>
                </w:p>
              </w:tc>
              <w:tc>
                <w:tcPr>
                  <w:tcW w:w="818" w:type="pct"/>
                  <w:noWrap w:val="0"/>
                  <w:vAlign w:val="center"/>
                </w:tcPr>
                <w:p>
                  <w:pPr>
                    <w:spacing w:line="240" w:lineRule="auto"/>
                    <w:rPr>
                      <w:rFonts w:hint="eastAsia" w:ascii="仿宋" w:hAnsi="仿宋" w:eastAsia="仿宋" w:cs="仿宋"/>
                      <w:b/>
                      <w:bCs/>
                      <w:color w:val="000000"/>
                      <w:kern w:val="0"/>
                      <w:sz w:val="21"/>
                      <w:szCs w:val="21"/>
                      <w:highlight w:val="none"/>
                      <w:lang w:eastAsia="zh-CN"/>
                    </w:rPr>
                  </w:pPr>
                  <w:r>
                    <w:rPr>
                      <w:rFonts w:hint="eastAsia" w:ascii="仿宋" w:hAnsi="仿宋" w:eastAsia="仿宋" w:cs="仿宋"/>
                      <w:b/>
                      <w:bCs/>
                      <w:color w:val="000000"/>
                      <w:kern w:val="0"/>
                      <w:sz w:val="21"/>
                      <w:szCs w:val="21"/>
                      <w:highlight w:val="none"/>
                      <w:lang w:eastAsia="zh-CN"/>
                    </w:rPr>
                    <w:t>语音留言</w:t>
                  </w:r>
                </w:p>
              </w:tc>
              <w:tc>
                <w:tcPr>
                  <w:tcW w:w="3769" w:type="pct"/>
                  <w:noWrap w:val="0"/>
                  <w:vAlign w:val="center"/>
                </w:tcPr>
                <w:p>
                  <w:pPr>
                    <w:spacing w:line="240" w:lineRule="auto"/>
                    <w:ind w:left="-51" w:right="-51"/>
                    <w:rPr>
                      <w:rFonts w:hint="eastAsia" w:ascii="仿宋" w:hAnsi="仿宋" w:eastAsia="仿宋" w:cs="仿宋"/>
                      <w:b/>
                      <w:bCs/>
                      <w:color w:val="000000"/>
                      <w:kern w:val="0"/>
                      <w:sz w:val="21"/>
                      <w:szCs w:val="21"/>
                      <w:highlight w:val="none"/>
                      <w:lang w:eastAsia="zh-CN"/>
                    </w:rPr>
                  </w:pPr>
                  <w:r>
                    <w:rPr>
                      <w:rFonts w:hint="eastAsia" w:ascii="仿宋" w:hAnsi="仿宋" w:eastAsia="仿宋" w:cs="仿宋"/>
                      <w:b/>
                      <w:bCs/>
                      <w:color w:val="000000"/>
                      <w:kern w:val="0"/>
                      <w:sz w:val="21"/>
                      <w:szCs w:val="21"/>
                      <w:highlight w:val="none"/>
                      <w:lang w:eastAsia="zh-CN"/>
                    </w:rPr>
                    <w:t>管理平台支持发送语音留言给库房对应团组，对应团组收到后进行语音播报。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lang w:val="en-US" w:eastAsia="zh-CN"/>
                    </w:rPr>
                  </w:pPr>
                </w:p>
              </w:tc>
              <w:tc>
                <w:tcPr>
                  <w:tcW w:w="818" w:type="pct"/>
                  <w:noWrap w:val="0"/>
                  <w:vAlign w:val="center"/>
                </w:tcPr>
                <w:p>
                  <w:pPr>
                    <w:spacing w:line="240" w:lineRule="auto"/>
                    <w:rPr>
                      <w:rFonts w:hint="eastAsia" w:ascii="仿宋" w:hAnsi="仿宋" w:eastAsia="仿宋" w:cs="仿宋"/>
                      <w:b/>
                      <w:bCs/>
                      <w:color w:val="000000"/>
                      <w:kern w:val="0"/>
                      <w:sz w:val="21"/>
                      <w:szCs w:val="21"/>
                      <w:lang w:eastAsia="zh-CN"/>
                    </w:rPr>
                  </w:pPr>
                  <w:r>
                    <w:rPr>
                      <w:rFonts w:hint="eastAsia" w:ascii="仿宋" w:hAnsi="仿宋" w:eastAsia="仿宋" w:cs="仿宋"/>
                      <w:b/>
                      <w:bCs/>
                      <w:color w:val="000000"/>
                      <w:kern w:val="0"/>
                      <w:sz w:val="21"/>
                      <w:szCs w:val="21"/>
                      <w:lang w:eastAsia="zh-CN"/>
                    </w:rPr>
                    <w:t>档案批量下发</w:t>
                  </w:r>
                </w:p>
              </w:tc>
              <w:tc>
                <w:tcPr>
                  <w:tcW w:w="3769" w:type="pct"/>
                  <w:noWrap w:val="0"/>
                  <w:vAlign w:val="center"/>
                </w:tcPr>
                <w:p>
                  <w:pPr>
                    <w:spacing w:line="240" w:lineRule="auto"/>
                    <w:ind w:left="-51" w:right="-51"/>
                    <w:rPr>
                      <w:rFonts w:hint="eastAsia" w:ascii="仿宋" w:hAnsi="仿宋" w:eastAsia="仿宋" w:cs="仿宋"/>
                      <w:b/>
                      <w:bCs/>
                      <w:color w:val="000000"/>
                      <w:kern w:val="0"/>
                      <w:sz w:val="21"/>
                      <w:szCs w:val="21"/>
                      <w:lang w:eastAsia="zh-CN"/>
                    </w:rPr>
                  </w:pPr>
                  <w:r>
                    <w:rPr>
                      <w:rFonts w:hint="eastAsia" w:ascii="仿宋" w:hAnsi="仿宋" w:eastAsia="仿宋" w:cs="仿宋"/>
                      <w:b/>
                      <w:bCs/>
                      <w:color w:val="000000"/>
                      <w:kern w:val="0"/>
                      <w:sz w:val="21"/>
                      <w:szCs w:val="21"/>
                      <w:lang w:eastAsia="zh-CN"/>
                    </w:rPr>
                    <w:t>支持档案批量操作，管理平台可选择多份要处理的档案，一次性批量下发到对应架体上，直接在架体上进行批量操作。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lang w:val="en-US" w:eastAsia="zh-CN"/>
                    </w:rPr>
                  </w:pPr>
                </w:p>
              </w:tc>
              <w:tc>
                <w:tcPr>
                  <w:tcW w:w="818"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用户权限管理功能</w:t>
                  </w:r>
                </w:p>
              </w:tc>
              <w:tc>
                <w:tcPr>
                  <w:tcW w:w="3769" w:type="pct"/>
                  <w:noWrap w:val="0"/>
                  <w:vAlign w:val="center"/>
                </w:tcPr>
                <w:p>
                  <w:pPr>
                    <w:numPr>
                      <w:ilvl w:val="0"/>
                      <w:numId w:val="0"/>
                    </w:numPr>
                    <w:spacing w:line="240" w:lineRule="auto"/>
                    <w:ind w:right="-51" w:rightChars="0"/>
                    <w:rPr>
                      <w:rFonts w:hint="eastAsia" w:ascii="仿宋" w:hAnsi="仿宋" w:eastAsia="仿宋" w:cs="仿宋"/>
                      <w:kern w:val="0"/>
                      <w:sz w:val="21"/>
                      <w:szCs w:val="21"/>
                    </w:rPr>
                  </w:pPr>
                  <w:r>
                    <w:rPr>
                      <w:rFonts w:hint="eastAsia" w:ascii="仿宋" w:hAnsi="仿宋" w:eastAsia="仿宋" w:cs="仿宋"/>
                      <w:kern w:val="0"/>
                      <w:sz w:val="21"/>
                      <w:szCs w:val="21"/>
                    </w:rPr>
                    <w:t>管理系统不同功能可以通过权限划分帐号管理。在系统的用户管理中设置了用户以及群组管理，可以对不同用户、不同群组设置不同档案访问权限以及系统操作权限，实现了对群组、用户的新建、修改、删除、密码修改、权限设置等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lang w:val="en-US" w:eastAsia="zh-CN"/>
                    </w:rPr>
                  </w:pPr>
                </w:p>
              </w:tc>
              <w:tc>
                <w:tcPr>
                  <w:tcW w:w="818" w:type="pct"/>
                  <w:noWrap w:val="0"/>
                  <w:vAlign w:val="center"/>
                </w:tcPr>
                <w:p>
                  <w:pPr>
                    <w:spacing w:line="240" w:lineRule="auto"/>
                    <w:rPr>
                      <w:rFonts w:hint="eastAsia" w:ascii="仿宋" w:hAnsi="仿宋" w:eastAsia="仿宋" w:cs="仿宋"/>
                      <w:sz w:val="21"/>
                      <w:szCs w:val="21"/>
                    </w:rPr>
                  </w:pPr>
                  <w:r>
                    <w:rPr>
                      <w:rFonts w:hint="eastAsia" w:ascii="仿宋" w:hAnsi="仿宋" w:eastAsia="仿宋" w:cs="仿宋"/>
                      <w:sz w:val="21"/>
                      <w:szCs w:val="21"/>
                    </w:rPr>
                    <w:t>借出/归还</w:t>
                  </w:r>
                </w:p>
                <w:p>
                  <w:pPr>
                    <w:spacing w:line="240" w:lineRule="auto"/>
                    <w:rPr>
                      <w:rFonts w:hint="eastAsia" w:ascii="仿宋" w:hAnsi="仿宋" w:eastAsia="仿宋" w:cs="仿宋"/>
                      <w:kern w:val="0"/>
                      <w:sz w:val="21"/>
                      <w:szCs w:val="21"/>
                    </w:rPr>
                  </w:pPr>
                  <w:r>
                    <w:rPr>
                      <w:rFonts w:hint="eastAsia" w:ascii="仿宋" w:hAnsi="仿宋" w:eastAsia="仿宋" w:cs="仿宋"/>
                      <w:sz w:val="21"/>
                      <w:szCs w:val="21"/>
                    </w:rPr>
                    <w:t>记录/审批功能</w:t>
                  </w:r>
                </w:p>
              </w:tc>
              <w:tc>
                <w:tcPr>
                  <w:tcW w:w="3769" w:type="pct"/>
                  <w:noWrap w:val="0"/>
                  <w:vAlign w:val="center"/>
                </w:tcPr>
                <w:p>
                  <w:pPr>
                    <w:spacing w:line="240" w:lineRule="auto"/>
                    <w:ind w:left="-51" w:right="-51"/>
                    <w:rPr>
                      <w:rFonts w:hint="eastAsia" w:ascii="仿宋" w:hAnsi="仿宋" w:eastAsia="仿宋" w:cs="仿宋"/>
                      <w:kern w:val="0"/>
                      <w:sz w:val="21"/>
                      <w:szCs w:val="21"/>
                      <w:lang w:eastAsia="zh-CN"/>
                    </w:rPr>
                  </w:pPr>
                  <w:r>
                    <w:rPr>
                      <w:rFonts w:hint="eastAsia" w:ascii="仿宋" w:hAnsi="仿宋" w:eastAsia="仿宋" w:cs="仿宋"/>
                      <w:sz w:val="21"/>
                      <w:szCs w:val="21"/>
                      <w:lang w:eastAsia="zh-CN"/>
                    </w:rPr>
                    <w:t>支持借还审批功能，可</w:t>
                  </w:r>
                  <w:r>
                    <w:rPr>
                      <w:rFonts w:hint="eastAsia" w:ascii="仿宋" w:hAnsi="仿宋" w:eastAsia="仿宋" w:cs="仿宋"/>
                      <w:sz w:val="21"/>
                      <w:szCs w:val="21"/>
                    </w:rPr>
                    <w:t>通过</w:t>
                  </w:r>
                  <w:r>
                    <w:rPr>
                      <w:rFonts w:hint="eastAsia" w:ascii="仿宋" w:hAnsi="仿宋" w:eastAsia="仿宋" w:cs="仿宋"/>
                      <w:sz w:val="21"/>
                      <w:szCs w:val="21"/>
                      <w:lang w:eastAsia="zh-CN"/>
                    </w:rPr>
                    <w:t>查询、</w:t>
                  </w:r>
                  <w:r>
                    <w:rPr>
                      <w:rFonts w:hint="eastAsia" w:ascii="仿宋" w:hAnsi="仿宋" w:eastAsia="仿宋" w:cs="仿宋"/>
                      <w:sz w:val="21"/>
                      <w:szCs w:val="21"/>
                    </w:rPr>
                    <w:t>扫描条码或读取电子标签方式录入借出/归还的档案信息，并通过平台软件生成相应的借出/归还记录，可定义审批流程，档案借出进行审批</w:t>
                  </w:r>
                  <w:r>
                    <w:rPr>
                      <w:rFonts w:hint="eastAsia" w:ascii="仿宋" w:hAnsi="仿宋" w:eastAsia="仿宋" w:cs="仿宋"/>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跨区搜索</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sz w:val="21"/>
                      <w:szCs w:val="21"/>
                    </w:rPr>
                    <w:t>固定列控制器可实现跨区列搜索档案位置。在同一局域网内的多个固定列控制器可分成不同的区域，并可通过其中一个固定列控制器搜索不同区域的档案信息。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视频监控中心</w:t>
                  </w:r>
                </w:p>
              </w:tc>
              <w:tc>
                <w:tcPr>
                  <w:tcW w:w="3769" w:type="pct"/>
                  <w:noWrap w:val="0"/>
                  <w:vAlign w:val="center"/>
                </w:tcPr>
                <w:p>
                  <w:pPr>
                    <w:spacing w:line="240" w:lineRule="auto"/>
                    <w:rPr>
                      <w:rFonts w:hint="eastAsia" w:ascii="仿宋" w:hAnsi="仿宋" w:eastAsia="仿宋" w:cs="仿宋"/>
                      <w:sz w:val="21"/>
                      <w:szCs w:val="21"/>
                      <w:lang w:eastAsia="zh-CN"/>
                    </w:rPr>
                  </w:pPr>
                  <w:r>
                    <w:rPr>
                      <w:rFonts w:hint="eastAsia" w:ascii="仿宋" w:hAnsi="仿宋" w:eastAsia="仿宋" w:cs="仿宋"/>
                      <w:sz w:val="21"/>
                      <w:szCs w:val="21"/>
                      <w:lang w:eastAsia="zh-CN"/>
                    </w:rPr>
                    <w:t>可显示库房各个监控点的画面，可实时查看库房具体场景。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数据备份功能</w:t>
                  </w:r>
                </w:p>
              </w:tc>
              <w:tc>
                <w:tcPr>
                  <w:tcW w:w="3769" w:type="pct"/>
                  <w:noWrap w:val="0"/>
                  <w:vAlign w:val="center"/>
                </w:tcPr>
                <w:p>
                  <w:pPr>
                    <w:spacing w:line="240" w:lineRule="auto"/>
                    <w:rPr>
                      <w:rFonts w:hint="eastAsia" w:ascii="仿宋" w:hAnsi="仿宋" w:eastAsia="仿宋" w:cs="仿宋"/>
                      <w:kern w:val="0"/>
                      <w:sz w:val="21"/>
                      <w:szCs w:val="21"/>
                      <w:lang w:eastAsia="zh-CN"/>
                    </w:rPr>
                  </w:pPr>
                  <w:r>
                    <w:rPr>
                      <w:rFonts w:hint="eastAsia" w:ascii="仿宋" w:hAnsi="仿宋" w:eastAsia="仿宋" w:cs="仿宋"/>
                      <w:kern w:val="0"/>
                      <w:sz w:val="21"/>
                      <w:szCs w:val="21"/>
                      <w:lang w:eastAsia="zh-CN"/>
                    </w:rPr>
                    <w:t>管理平台可对数据库按时自动进行备份，防止数据丢失。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b/>
                      <w:bCs/>
                      <w:color w:val="000000"/>
                      <w:kern w:val="0"/>
                      <w:sz w:val="21"/>
                      <w:szCs w:val="21"/>
                      <w:lang w:eastAsia="zh-CN"/>
                    </w:rPr>
                  </w:pPr>
                  <w:r>
                    <w:rPr>
                      <w:rFonts w:hint="eastAsia" w:ascii="仿宋" w:hAnsi="仿宋" w:eastAsia="仿宋" w:cs="仿宋"/>
                      <w:b/>
                      <w:bCs/>
                      <w:color w:val="000000"/>
                      <w:sz w:val="21"/>
                      <w:szCs w:val="21"/>
                    </w:rPr>
                    <w:t>移动列三维效果</w:t>
                  </w:r>
                  <w:r>
                    <w:rPr>
                      <w:rFonts w:hint="eastAsia" w:ascii="仿宋" w:hAnsi="仿宋" w:eastAsia="仿宋" w:cs="仿宋"/>
                      <w:b/>
                      <w:bCs/>
                      <w:color w:val="000000"/>
                      <w:sz w:val="21"/>
                      <w:szCs w:val="21"/>
                      <w:lang w:eastAsia="zh-CN"/>
                    </w:rPr>
                    <w:t>操作</w:t>
                  </w:r>
                </w:p>
              </w:tc>
              <w:tc>
                <w:tcPr>
                  <w:tcW w:w="3769" w:type="pct"/>
                  <w:noWrap w:val="0"/>
                  <w:vAlign w:val="center"/>
                </w:tcPr>
                <w:p>
                  <w:pPr>
                    <w:spacing w:line="240" w:lineRule="auto"/>
                    <w:rPr>
                      <w:rFonts w:hint="eastAsia" w:ascii="仿宋" w:hAnsi="仿宋" w:eastAsia="仿宋" w:cs="仿宋"/>
                      <w:b/>
                      <w:bCs/>
                      <w:color w:val="000000"/>
                      <w:kern w:val="0"/>
                      <w:sz w:val="21"/>
                      <w:szCs w:val="21"/>
                      <w:lang w:eastAsia="zh-CN"/>
                    </w:rPr>
                  </w:pPr>
                  <w:r>
                    <w:rPr>
                      <w:rFonts w:hint="eastAsia" w:ascii="仿宋" w:hAnsi="仿宋" w:eastAsia="仿宋" w:cs="仿宋"/>
                      <w:b/>
                      <w:bCs/>
                      <w:color w:val="000000"/>
                      <w:sz w:val="21"/>
                      <w:szCs w:val="21"/>
                    </w:rPr>
                    <w:t>可通过管理平台软件显示各个移动列的三维效果图，并可</w:t>
                  </w:r>
                  <w:r>
                    <w:rPr>
                      <w:rFonts w:hint="eastAsia" w:ascii="仿宋" w:hAnsi="仿宋" w:eastAsia="仿宋" w:cs="仿宋"/>
                      <w:b/>
                      <w:bCs/>
                      <w:color w:val="000000"/>
                      <w:sz w:val="21"/>
                      <w:szCs w:val="21"/>
                      <w:lang w:eastAsia="zh-CN"/>
                    </w:rPr>
                    <w:t>直接在密集架图示上</w:t>
                  </w:r>
                  <w:r>
                    <w:rPr>
                      <w:rFonts w:hint="eastAsia" w:ascii="仿宋" w:hAnsi="仿宋" w:eastAsia="仿宋" w:cs="仿宋"/>
                      <w:b/>
                      <w:bCs/>
                      <w:color w:val="000000"/>
                      <w:sz w:val="21"/>
                      <w:szCs w:val="21"/>
                    </w:rPr>
                    <w:t>对选定的单元格录入</w:t>
                  </w:r>
                  <w:r>
                    <w:rPr>
                      <w:rFonts w:hint="eastAsia" w:ascii="仿宋" w:hAnsi="仿宋" w:eastAsia="仿宋" w:cs="仿宋"/>
                      <w:b/>
                      <w:bCs/>
                      <w:color w:val="000000"/>
                      <w:sz w:val="21"/>
                      <w:szCs w:val="21"/>
                      <w:lang w:eastAsia="zh-CN"/>
                    </w:rPr>
                    <w:t>和查询</w:t>
                  </w:r>
                  <w:r>
                    <w:rPr>
                      <w:rFonts w:hint="eastAsia" w:ascii="仿宋" w:hAnsi="仿宋" w:eastAsia="仿宋" w:cs="仿宋"/>
                      <w:b/>
                      <w:bCs/>
                      <w:color w:val="000000"/>
                      <w:sz w:val="21"/>
                      <w:szCs w:val="21"/>
                    </w:rPr>
                    <w:t>档案信息</w:t>
                  </w:r>
                  <w:r>
                    <w:rPr>
                      <w:rFonts w:hint="eastAsia" w:ascii="仿宋" w:hAnsi="仿宋" w:eastAsia="仿宋" w:cs="仿宋"/>
                      <w:b/>
                      <w:bCs/>
                      <w:color w:val="000000"/>
                      <w:sz w:val="21"/>
                      <w:szCs w:val="21"/>
                      <w:lang w:eastAsia="zh-CN"/>
                    </w:rPr>
                    <w:t>。</w:t>
                  </w:r>
                  <w:r>
                    <w:rPr>
                      <w:rFonts w:hint="eastAsia" w:ascii="仿宋" w:hAnsi="仿宋" w:eastAsia="仿宋" w:cs="仿宋"/>
                      <w:b/>
                      <w:bCs/>
                      <w:color w:val="000000"/>
                      <w:sz w:val="21"/>
                      <w:szCs w:val="21"/>
                    </w:rPr>
                    <w:t>可在固定列和移动列触摸显示屏上点击单元图标后查看该单元内档案目录、在库数量及借出数量等信息。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12" w:type="pct"/>
                  <w:vMerge w:val="continue"/>
                  <w:noWrap w:val="0"/>
                  <w:vAlign w:val="center"/>
                </w:tcPr>
                <w:p>
                  <w:pPr>
                    <w:spacing w:line="240" w:lineRule="auto"/>
                    <w:jc w:val="center"/>
                    <w:rPr>
                      <w:rFonts w:hint="eastAsia" w:ascii="仿宋" w:hAnsi="仿宋" w:eastAsia="仿宋" w:cs="仿宋"/>
                      <w:kern w:val="0"/>
                      <w:sz w:val="21"/>
                      <w:szCs w:val="21"/>
                    </w:rPr>
                  </w:pPr>
                </w:p>
              </w:tc>
              <w:tc>
                <w:tcPr>
                  <w:tcW w:w="818" w:type="pct"/>
                  <w:noWrap w:val="0"/>
                  <w:vAlign w:val="center"/>
                </w:tcPr>
                <w:p>
                  <w:pPr>
                    <w:spacing w:line="240" w:lineRule="auto"/>
                    <w:jc w:val="center"/>
                    <w:rPr>
                      <w:rFonts w:hint="eastAsia" w:ascii="仿宋" w:hAnsi="仿宋" w:eastAsia="仿宋" w:cs="仿宋"/>
                      <w:kern w:val="0"/>
                      <w:sz w:val="21"/>
                      <w:szCs w:val="21"/>
                    </w:rPr>
                  </w:pPr>
                  <w:r>
                    <w:rPr>
                      <w:rFonts w:hint="eastAsia" w:ascii="仿宋" w:hAnsi="仿宋" w:eastAsia="仿宋" w:cs="仿宋"/>
                      <w:kern w:val="0"/>
                      <w:sz w:val="21"/>
                      <w:szCs w:val="21"/>
                    </w:rPr>
                    <w:t>管理计算机架体</w:t>
                  </w:r>
                  <w:r>
                    <w:rPr>
                      <w:rFonts w:hint="eastAsia" w:ascii="仿宋" w:hAnsi="仿宋" w:eastAsia="仿宋" w:cs="仿宋"/>
                      <w:kern w:val="0"/>
                      <w:sz w:val="21"/>
                      <w:szCs w:val="21"/>
                      <w:lang w:val="en-US" w:eastAsia="zh-CN"/>
                    </w:rPr>
                    <w:t xml:space="preserve">  </w:t>
                  </w:r>
                  <w:r>
                    <w:rPr>
                      <w:rFonts w:hint="eastAsia" w:ascii="仿宋" w:hAnsi="仿宋" w:eastAsia="仿宋" w:cs="仿宋"/>
                      <w:kern w:val="0"/>
                      <w:sz w:val="21"/>
                      <w:szCs w:val="21"/>
                    </w:rPr>
                    <w:t>控制</w:t>
                  </w:r>
                </w:p>
              </w:tc>
              <w:tc>
                <w:tcPr>
                  <w:tcW w:w="3769" w:type="pct"/>
                  <w:noWrap w:val="0"/>
                  <w:vAlign w:val="center"/>
                </w:tcPr>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计算机远程控制各架体打开、关闭、通风、锁定等各种操作；具备档案管理查询、信息录入、借还档案审批功能等功能；具备远程设置各架体的配置参数、区列号、故障诊断等功能；在打开档案所在的架体时自动在右下角显示该区域监控视频，可以实时查看区域架体运行情况及掌握工作人员情况。</w:t>
                  </w:r>
                </w:p>
              </w:tc>
            </w:tr>
          </w:tbl>
          <w:p>
            <w:pPr>
              <w:pageBreakBefore w:val="0"/>
              <w:widowControl w:val="0"/>
              <w:numPr>
                <w:ilvl w:val="0"/>
                <w:numId w:val="0"/>
              </w:numPr>
              <w:kinsoku/>
              <w:wordWrap/>
              <w:overflowPunct/>
              <w:topLinePunct w:val="0"/>
              <w:autoSpaceDE/>
              <w:autoSpaceDN/>
              <w:bidi w:val="0"/>
              <w:snapToGrid w:val="0"/>
              <w:spacing w:beforeAutospacing="0" w:afterAutospacing="0" w:line="240" w:lineRule="auto"/>
              <w:rPr>
                <w:rFonts w:hint="eastAsia" w:ascii="仿宋" w:hAnsi="仿宋" w:eastAsia="仿宋" w:cs="仿宋"/>
                <w:b w:val="0"/>
                <w:bCs/>
                <w:i w:val="0"/>
                <w:color w:val="000000"/>
                <w:kern w:val="0"/>
                <w:sz w:val="21"/>
                <w:szCs w:val="21"/>
                <w:highlight w:val="none"/>
                <w:u w:val="none"/>
                <w:lang w:val="en-US" w:eastAsia="zh-Hans" w:bidi="ar"/>
              </w:rPr>
            </w:pPr>
          </w:p>
        </w:tc>
        <w:tc>
          <w:tcPr>
            <w:tcW w:w="5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面</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40</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both"/>
              <w:textAlignment w:val="center"/>
              <w:rPr>
                <w:rFonts w:hint="eastAsia" w:ascii="仿宋" w:hAnsi="仿宋" w:eastAsia="仿宋" w:cs="仿宋"/>
                <w:i w:val="0"/>
                <w:iCs w:val="0"/>
                <w:color w:val="000000"/>
                <w:sz w:val="24"/>
                <w:szCs w:val="24"/>
                <w:highlight w:val="none"/>
                <w:u w:val="none"/>
                <w:lang w:val="en-US" w:eastAsia="zh-CN"/>
              </w:rPr>
            </w:pPr>
          </w:p>
        </w:tc>
      </w:tr>
      <w:tr>
        <w:tblPrEx>
          <w:tblCellMar>
            <w:top w:w="0" w:type="dxa"/>
            <w:left w:w="108" w:type="dxa"/>
            <w:bottom w:w="0" w:type="dxa"/>
            <w:right w:w="108" w:type="dxa"/>
          </w:tblCellMar>
        </w:tblPrEx>
        <w:trPr>
          <w:trHeight w:val="0" w:hRule="atLeast"/>
          <w:jc w:val="center"/>
        </w:trPr>
        <w:tc>
          <w:tcPr>
            <w:tcW w:w="8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default"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1.2</w:t>
            </w:r>
          </w:p>
        </w:tc>
        <w:tc>
          <w:tcPr>
            <w:tcW w:w="14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eastAsia" w:ascii="仿宋" w:hAnsi="仿宋" w:eastAsia="仿宋" w:cs="仿宋"/>
                <w:i w:val="0"/>
                <w:iCs w:val="0"/>
                <w:color w:val="000000"/>
                <w:sz w:val="24"/>
                <w:szCs w:val="24"/>
                <w:highlight w:val="none"/>
                <w:u w:val="none"/>
                <w:lang w:val="en-US" w:eastAsia="zh-CN"/>
              </w:rPr>
            </w:pPr>
            <w:r>
              <w:rPr>
                <w:rFonts w:hint="eastAsia" w:ascii="宋体" w:hAnsi="宋体" w:eastAsia="宋体" w:cs="宋体"/>
                <w:sz w:val="24"/>
                <w:szCs w:val="24"/>
                <w:lang w:val="en-US" w:eastAsia="zh-CN"/>
              </w:rPr>
              <w:t>固定（奖牌、奖杯荣誉)</w:t>
            </w:r>
            <w:r>
              <w:rPr>
                <w:rFonts w:hint="eastAsia" w:ascii="宋体" w:hAnsi="宋体" w:eastAsia="宋体" w:cs="宋体"/>
                <w:b w:val="0"/>
                <w:bCs w:val="0"/>
                <w:i w:val="0"/>
                <w:iCs w:val="0"/>
                <w:color w:val="auto"/>
                <w:kern w:val="0"/>
                <w:sz w:val="24"/>
                <w:szCs w:val="24"/>
                <w:u w:val="none"/>
                <w:lang w:val="en-US" w:eastAsia="zh-CN" w:bidi="ar"/>
              </w:rPr>
              <w:t>密集</w:t>
            </w:r>
            <w:r>
              <w:rPr>
                <w:rFonts w:hint="eastAsia" w:ascii="宋体" w:hAnsi="宋体" w:cs="宋体"/>
                <w:b w:val="0"/>
                <w:bCs w:val="0"/>
                <w:i w:val="0"/>
                <w:iCs w:val="0"/>
                <w:color w:val="auto"/>
                <w:kern w:val="0"/>
                <w:sz w:val="24"/>
                <w:szCs w:val="24"/>
                <w:u w:val="none"/>
                <w:lang w:val="en-US" w:eastAsia="zh-CN" w:bidi="ar"/>
              </w:rPr>
              <w:t>架</w:t>
            </w:r>
          </w:p>
        </w:tc>
        <w:tc>
          <w:tcPr>
            <w:tcW w:w="45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firstLine="0" w:firstLineChars="0"/>
              <w:jc w:val="left"/>
              <w:textAlignment w:val="center"/>
              <w:rPr>
                <w:rFonts w:hint="eastAsia" w:ascii="宋体" w:hAnsi="宋体" w:eastAsia="宋体" w:cs="宋体"/>
                <w:b w:val="0"/>
                <w:bCs w:val="0"/>
                <w:sz w:val="24"/>
                <w:szCs w:val="24"/>
                <w:lang w:val="en-US" w:eastAsia="zh-CN"/>
              </w:rPr>
            </w:pPr>
            <w:r>
              <w:rPr>
                <w:rFonts w:hint="eastAsia" w:ascii="宋体" w:hAnsi="宋体" w:eastAsia="宋体" w:cs="宋体"/>
                <w:b w:val="0"/>
                <w:bCs w:val="0"/>
                <w:i w:val="0"/>
                <w:iCs w:val="0"/>
                <w:color w:val="auto"/>
                <w:kern w:val="0"/>
                <w:sz w:val="24"/>
                <w:szCs w:val="24"/>
                <w:u w:val="none"/>
                <w:lang w:val="en-US" w:eastAsia="zh-CN" w:bidi="ar"/>
              </w:rPr>
              <w:t>长4000*宽600*高1900</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列</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每列4组，每组4层，单面靠墙，配玻璃门。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固定</w:t>
            </w:r>
            <w:r>
              <w:rPr>
                <w:rFonts w:hint="eastAsia" w:ascii="仿宋" w:hAnsi="仿宋" w:eastAsia="仿宋" w:cs="仿宋"/>
                <w:sz w:val="21"/>
                <w:szCs w:val="21"/>
              </w:rPr>
              <w:t>密集架钢制部份性能、配置及技术参数的详细描述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1、生产过程中材料、工艺均采用国家标准执行， 符合相关技术规范：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（1）QB/T 4767-2014《家具用钢构件》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"https://www.so.com/link?m=bAfkYenLpjqAlb8qC1/xUqS9zxserP1fk6iHfT2YkaQNM+woynjOMqqIOiJak5bReVaqa7n7UhEpVHhZL8Nh007HbN6UZo9Vuw45HJgAy40W0o7MTOfigZblOop+HgLDNudmCxg6FvZG5jSQV" \t "https://www.so.com/_blank" </w:instrText>
            </w:r>
            <w:r>
              <w:rPr>
                <w:rFonts w:hint="eastAsia" w:ascii="仿宋" w:hAnsi="仿宋" w:eastAsia="仿宋" w:cs="仿宋"/>
                <w:sz w:val="21"/>
                <w:szCs w:val="21"/>
              </w:rPr>
              <w:fldChar w:fldCharType="separate"/>
            </w:r>
            <w:r>
              <w:rPr>
                <w:rFonts w:hint="eastAsia" w:ascii="仿宋" w:hAnsi="仿宋" w:eastAsia="仿宋" w:cs="仿宋"/>
                <w:sz w:val="21"/>
                <w:szCs w:val="21"/>
              </w:rPr>
              <w:t>GB/T 5213-2019《冷轧低碳钢板及钢带</w:t>
            </w:r>
            <w:r>
              <w:rPr>
                <w:rFonts w:hint="eastAsia" w:ascii="仿宋" w:hAnsi="仿宋" w:eastAsia="仿宋" w:cs="仿宋"/>
                <w:sz w:val="21"/>
                <w:szCs w:val="21"/>
              </w:rPr>
              <w:fldChar w:fldCharType="end"/>
            </w:r>
            <w:r>
              <w:rPr>
                <w:rFonts w:hint="eastAsia" w:ascii="仿宋" w:hAnsi="仿宋" w:eastAsia="仿宋" w:cs="仿宋"/>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（3）GB/T 13667.3-2013、GB/T 35607-2017、GB/T 10125-2012、HJ 2547-2016、GB/T 4957-2003、GB/T 1732-1993、GB/T</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1720-1979、GB/T 10357.4-2013《技术条件》等国家标准技术参数。</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color w:val="auto"/>
                <w:kern w:val="2"/>
                <w:sz w:val="21"/>
                <w:szCs w:val="21"/>
                <w:highlight w:val="none"/>
                <w:lang w:val="en-US" w:eastAsia="zh-CN"/>
              </w:rPr>
              <w:t>3.</w:t>
            </w:r>
            <w:r>
              <w:rPr>
                <w:rFonts w:hint="eastAsia" w:ascii="仿宋" w:hAnsi="仿宋" w:eastAsia="仿宋" w:cs="仿宋"/>
                <w:color w:val="auto"/>
                <w:kern w:val="2"/>
                <w:sz w:val="21"/>
                <w:szCs w:val="21"/>
                <w:highlight w:val="none"/>
              </w:rPr>
              <w:t>2、</w:t>
            </w:r>
            <w:r>
              <w:rPr>
                <w:rFonts w:hint="eastAsia" w:ascii="仿宋" w:hAnsi="仿宋" w:eastAsia="仿宋" w:cs="仿宋"/>
                <w:color w:val="auto"/>
                <w:kern w:val="2"/>
                <w:sz w:val="21"/>
                <w:szCs w:val="21"/>
                <w:highlight w:val="none"/>
                <w:lang w:val="en-US" w:eastAsia="zh-CN"/>
              </w:rPr>
              <w:t>固定</w:t>
            </w:r>
            <w:r>
              <w:rPr>
                <w:rFonts w:hint="eastAsia" w:ascii="仿宋" w:hAnsi="仿宋" w:eastAsia="仿宋" w:cs="仿宋"/>
                <w:b/>
                <w:bCs/>
                <w:color w:val="auto"/>
                <w:kern w:val="2"/>
                <w:sz w:val="21"/>
                <w:szCs w:val="21"/>
                <w:highlight w:val="none"/>
              </w:rPr>
              <w:t>密集架技术要求：</w:t>
            </w:r>
            <w:r>
              <w:rPr>
                <w:rFonts w:hint="eastAsia" w:ascii="仿宋" w:hAnsi="仿宋" w:eastAsia="仿宋" w:cs="仿宋"/>
                <w:b/>
                <w:bCs/>
                <w:color w:val="auto"/>
                <w:kern w:val="2"/>
                <w:sz w:val="21"/>
                <w:szCs w:val="21"/>
                <w:highlight w:val="none"/>
                <w:lang w:eastAsia="zh-CN"/>
              </w:rPr>
              <w:t>（</w:t>
            </w:r>
            <w:r>
              <w:rPr>
                <w:rFonts w:hint="eastAsia" w:ascii="仿宋" w:hAnsi="仿宋" w:eastAsia="仿宋" w:cs="仿宋"/>
                <w:b/>
                <w:bCs/>
                <w:color w:val="auto"/>
                <w:kern w:val="2"/>
                <w:sz w:val="21"/>
                <w:szCs w:val="21"/>
                <w:highlight w:val="none"/>
                <w:lang w:val="en-US" w:eastAsia="zh-CN"/>
              </w:rPr>
              <w:t>1）</w:t>
            </w:r>
            <w:r>
              <w:rPr>
                <w:rFonts w:hint="eastAsia" w:ascii="仿宋" w:hAnsi="仿宋" w:eastAsia="仿宋" w:cs="仿宋"/>
                <w:sz w:val="21"/>
                <w:szCs w:val="21"/>
              </w:rPr>
              <w:t>架体（包括双P型立柱、双菱形孔挂板、双P型搁板、顶板、门面及加固筋侧板）等零（部）件组成。架顶设有防尘装置，底部设有防鼠、防倾倒装置，因而整个架体具有良好的防尘、防鼠、防潮、防火、防盗、防倾倒和保密功能。</w:t>
            </w:r>
          </w:p>
          <w:p>
            <w:pPr>
              <w:pStyle w:val="37"/>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仿宋" w:hAnsi="仿宋" w:eastAsia="仿宋" w:cs="仿宋"/>
                <w:b w:val="0"/>
                <w:bCs w:val="0"/>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2</w:t>
            </w:r>
            <w:r>
              <w:rPr>
                <w:rFonts w:hint="eastAsia" w:ascii="仿宋" w:hAnsi="仿宋" w:eastAsia="仿宋" w:cs="仿宋"/>
                <w:sz w:val="21"/>
                <w:szCs w:val="21"/>
              </w:rPr>
              <w:t>) 底梁</w:t>
            </w:r>
            <w:r>
              <w:rPr>
                <w:rFonts w:hint="eastAsia" w:ascii="仿宋" w:hAnsi="仿宋" w:eastAsia="仿宋" w:cs="仿宋"/>
                <w:kern w:val="0"/>
                <w:sz w:val="21"/>
                <w:szCs w:val="21"/>
              </w:rPr>
              <w:t>采用 3.0mm 优质热轧钢板，</w:t>
            </w:r>
            <w:r>
              <w:rPr>
                <w:rFonts w:hint="eastAsia" w:ascii="仿宋" w:hAnsi="仿宋" w:eastAsia="仿宋" w:cs="仿宋"/>
                <w:sz w:val="21"/>
                <w:szCs w:val="21"/>
              </w:rPr>
              <w:t>底盘采用分段焊接后整体组装式，连接牢固、运输、安装方便，底盘各段连接采用Ml0螺栓紧固，滚轮横梁采用四折成型，确保在外力作用下无任何变形情况发生。底梁下部装有防倒支架以防架体倾倒。底盘两端封头横梁与纵梁牢固焊接，在直角处上、下两平面均焊上三角形加强板，有效保证底盘架体不扭曲、错位、变形</w:t>
            </w:r>
            <w:r>
              <w:rPr>
                <w:rFonts w:hint="eastAsia" w:ascii="仿宋" w:hAnsi="仿宋" w:eastAsia="仿宋" w:cs="仿宋"/>
                <w:sz w:val="21"/>
                <w:szCs w:val="21"/>
                <w:lang w:eastAsia="zh-CN"/>
              </w:rPr>
              <w:t>。</w:t>
            </w:r>
            <w:r>
              <w:rPr>
                <w:rFonts w:hint="eastAsia" w:ascii="仿宋" w:hAnsi="仿宋" w:eastAsia="仿宋" w:cs="仿宋"/>
                <w:b w:val="0"/>
                <w:bCs w:val="0"/>
                <w:sz w:val="21"/>
                <w:szCs w:val="21"/>
                <w:lang w:val="en-US" w:eastAsia="zh-CN"/>
              </w:rPr>
              <w:t>密集架产品符合</w:t>
            </w:r>
            <w:r>
              <w:rPr>
                <w:rFonts w:hint="eastAsia" w:ascii="仿宋" w:hAnsi="仿宋" w:eastAsia="仿宋" w:cs="仿宋"/>
                <w:b w:val="0"/>
                <w:bCs w:val="0"/>
                <w:sz w:val="21"/>
                <w:szCs w:val="21"/>
              </w:rPr>
              <w:t>①硬度≥0.6；②冲击强度（冲击高度500mm，应无剥落、裂纹、皱纹）；③附着力 ≤1 级；④耐腐蚀≥1000h；⑤甲醛释放量≤0.05mg/m</w:t>
            </w:r>
            <w:r>
              <w:rPr>
                <w:rFonts w:hint="eastAsia" w:ascii="仿宋" w:hAnsi="仿宋" w:eastAsia="仿宋" w:cs="仿宋"/>
                <w:b w:val="0"/>
                <w:bCs w:val="0"/>
                <w:sz w:val="21"/>
                <w:szCs w:val="21"/>
                <w:vertAlign w:val="superscript"/>
              </w:rPr>
              <w:t>3</w:t>
            </w:r>
            <w:r>
              <w:rPr>
                <w:rFonts w:hint="eastAsia" w:ascii="仿宋" w:hAnsi="仿宋" w:eastAsia="仿宋" w:cs="仿宋"/>
                <w:b w:val="0"/>
                <w:bCs w:val="0"/>
                <w:sz w:val="21"/>
                <w:szCs w:val="21"/>
              </w:rPr>
              <w:t xml:space="preserve"> 、苯≤0.05mg/m</w:t>
            </w:r>
            <w:r>
              <w:rPr>
                <w:rFonts w:hint="eastAsia" w:ascii="仿宋" w:hAnsi="仿宋" w:eastAsia="仿宋" w:cs="仿宋"/>
                <w:b w:val="0"/>
                <w:bCs w:val="0"/>
                <w:sz w:val="21"/>
                <w:szCs w:val="21"/>
                <w:vertAlign w:val="superscript"/>
              </w:rPr>
              <w:t>3</w:t>
            </w:r>
            <w:r>
              <w:rPr>
                <w:rFonts w:hint="eastAsia" w:ascii="仿宋" w:hAnsi="仿宋" w:eastAsia="仿宋" w:cs="仿宋"/>
                <w:b w:val="0"/>
                <w:bCs w:val="0"/>
                <w:sz w:val="21"/>
                <w:szCs w:val="21"/>
              </w:rPr>
              <w:t xml:space="preserve"> 、甲苯≤0.1mg/m</w:t>
            </w:r>
            <w:r>
              <w:rPr>
                <w:rFonts w:hint="eastAsia" w:ascii="仿宋" w:hAnsi="仿宋" w:eastAsia="仿宋" w:cs="仿宋"/>
                <w:b w:val="0"/>
                <w:bCs w:val="0"/>
                <w:sz w:val="21"/>
                <w:szCs w:val="21"/>
                <w:vertAlign w:val="superscript"/>
              </w:rPr>
              <w:t>3</w:t>
            </w:r>
            <w:r>
              <w:rPr>
                <w:rFonts w:hint="eastAsia" w:ascii="仿宋" w:hAnsi="仿宋" w:eastAsia="仿宋" w:cs="仿宋"/>
                <w:b w:val="0"/>
                <w:bCs w:val="0"/>
                <w:sz w:val="21"/>
                <w:szCs w:val="21"/>
              </w:rPr>
              <w:t xml:space="preserve"> 、二甲苯≤0.1mg/m</w:t>
            </w:r>
            <w:r>
              <w:rPr>
                <w:rFonts w:hint="eastAsia" w:ascii="仿宋" w:hAnsi="仿宋" w:eastAsia="仿宋" w:cs="仿宋"/>
                <w:b w:val="0"/>
                <w:bCs w:val="0"/>
                <w:sz w:val="21"/>
                <w:szCs w:val="21"/>
                <w:vertAlign w:val="superscript"/>
              </w:rPr>
              <w:t>3</w:t>
            </w:r>
            <w:r>
              <w:rPr>
                <w:rFonts w:hint="eastAsia" w:ascii="仿宋" w:hAnsi="仿宋" w:eastAsia="仿宋" w:cs="仿宋"/>
                <w:b w:val="0"/>
                <w:bCs w:val="0"/>
                <w:sz w:val="21"/>
                <w:szCs w:val="21"/>
              </w:rPr>
              <w:t xml:space="preserve"> 、总挥发性有机化合物TVOC≤0.3mg/m</w:t>
            </w:r>
            <w:r>
              <w:rPr>
                <w:rFonts w:hint="eastAsia" w:ascii="仿宋" w:hAnsi="仿宋" w:eastAsia="仿宋" w:cs="仿宋"/>
                <w:b w:val="0"/>
                <w:bCs w:val="0"/>
                <w:sz w:val="21"/>
                <w:szCs w:val="21"/>
                <w:vertAlign w:val="superscript"/>
              </w:rPr>
              <w:t>3</w:t>
            </w:r>
            <w:r>
              <w:rPr>
                <w:rFonts w:hint="eastAsia" w:ascii="仿宋" w:hAnsi="仿宋" w:eastAsia="仿宋" w:cs="仿宋"/>
                <w:b w:val="0"/>
                <w:bCs w:val="0"/>
                <w:sz w:val="21"/>
                <w:szCs w:val="21"/>
              </w:rPr>
              <w:t xml:space="preserve"> ；⑥可迁移元素：铅＜0.5mg/kg、镉＜0.5mg/kg、汞＜0.5mg/kg、铬＜0.5mg/kg、锑＜0.5mg/kg、钡＜0.5mg/kg、砷＜0.5mg/kg、硒＜0.5mg/kg；⑦装配要求；⑧搁板静载荷(载荷值：900N)；⑨全静载荷；⑩载重运行；⑪防尘门打开时的空载稳定性；⑫防尘门打开时的加载稳定性（1000N）；⑬活动部件关闭时的空载稳定性；⑭活动部件关闭时的加载稳定性；⑮搁板水平加载稳定性（100N）；⑯中性盐雾1000小时,达到10级；⑰覆盖层厚度。</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 立柱（</w:t>
            </w:r>
            <w:r>
              <w:rPr>
                <w:rFonts w:hint="eastAsia" w:ascii="仿宋" w:hAnsi="仿宋" w:eastAsia="仿宋" w:cs="仿宋"/>
                <w:b/>
                <w:bCs/>
                <w:sz w:val="21"/>
                <w:szCs w:val="21"/>
              </w:rPr>
              <w:t>双P型立柱）</w:t>
            </w:r>
            <w:r>
              <w:rPr>
                <w:rFonts w:hint="eastAsia" w:ascii="仿宋" w:hAnsi="仿宋" w:eastAsia="仿宋" w:cs="仿宋"/>
                <w:sz w:val="21"/>
                <w:szCs w:val="21"/>
              </w:rPr>
              <w:t>：采用1.5mm优质冷轧钢板一次滚压成型，立柱正面49mm，</w:t>
            </w:r>
            <w:r>
              <w:rPr>
                <w:rFonts w:hint="eastAsia" w:ascii="仿宋" w:hAnsi="仿宋" w:eastAsia="仿宋" w:cs="仿宋"/>
                <w:sz w:val="21"/>
                <w:szCs w:val="21"/>
                <w:lang w:val="en-US" w:eastAsia="zh-CN"/>
              </w:rPr>
              <w:t>正面压两条筋，深度为2mm，宽度为6mm，</w:t>
            </w:r>
            <w:r>
              <w:rPr>
                <w:rFonts w:hint="eastAsia" w:ascii="仿宋" w:hAnsi="仿宋" w:eastAsia="仿宋" w:cs="仿宋"/>
                <w:sz w:val="21"/>
                <w:szCs w:val="21"/>
              </w:rPr>
              <w:t>两截面38mm，允许公差±0.3mm。</w:t>
            </w:r>
            <w:r>
              <w:rPr>
                <w:rFonts w:hint="eastAsia" w:ascii="仿宋" w:hAnsi="仿宋" w:eastAsia="仿宋" w:cs="仿宋"/>
                <w:sz w:val="21"/>
                <w:szCs w:val="21"/>
                <w:lang w:val="en-US" w:eastAsia="zh-CN"/>
              </w:rPr>
              <w:t>两侧面各压两条筋，深度为2mm，宽度为6mm，</w:t>
            </w:r>
            <w:r>
              <w:rPr>
                <w:rFonts w:hint="eastAsia" w:ascii="仿宋" w:hAnsi="仿宋" w:eastAsia="仿宋" w:cs="仿宋"/>
                <w:sz w:val="21"/>
                <w:szCs w:val="21"/>
              </w:rPr>
              <w:t>压筋立柱设计更人性，外形美观，结构新颖，承重能力强，钢性足。立柱均匀冲孔，层数和间距可按需要调整。立柱</w:t>
            </w:r>
            <w:r>
              <w:rPr>
                <w:rFonts w:hint="eastAsia" w:ascii="仿宋" w:hAnsi="仿宋" w:eastAsia="仿宋" w:cs="仿宋"/>
                <w:b/>
                <w:bCs/>
                <w:sz w:val="21"/>
                <w:szCs w:val="21"/>
              </w:rPr>
              <w:t>（双P型立柱）产品符合GB/T 3325-2017、GB/T 35607-2017、GB/T 10125-2012、GB/T 4957-2003、GB/T 1732-1993标准；标准要求；内容至少包括：</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1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①</w:t>
            </w:r>
            <w:r>
              <w:rPr>
                <w:rFonts w:hint="eastAsia" w:ascii="仿宋" w:hAnsi="仿宋" w:eastAsia="仿宋" w:cs="仿宋"/>
                <w:b/>
                <w:bCs/>
                <w:sz w:val="21"/>
                <w:szCs w:val="21"/>
              </w:rPr>
              <w:fldChar w:fldCharType="end"/>
            </w:r>
            <w:r>
              <w:rPr>
                <w:rFonts w:hint="eastAsia" w:ascii="仿宋" w:hAnsi="仿宋" w:eastAsia="仿宋" w:cs="仿宋"/>
                <w:b/>
                <w:bCs/>
                <w:sz w:val="21"/>
                <w:szCs w:val="21"/>
              </w:rPr>
              <w:t>耐腐蚀≥1000小时；</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2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②</w:t>
            </w:r>
            <w:r>
              <w:rPr>
                <w:rFonts w:hint="eastAsia" w:ascii="仿宋" w:hAnsi="仿宋" w:eastAsia="仿宋" w:cs="仿宋"/>
                <w:b/>
                <w:bCs/>
                <w:sz w:val="21"/>
                <w:szCs w:val="21"/>
              </w:rPr>
              <w:fldChar w:fldCharType="end"/>
            </w:r>
            <w:r>
              <w:rPr>
                <w:rFonts w:hint="eastAsia" w:ascii="仿宋" w:hAnsi="仿宋" w:eastAsia="仿宋" w:cs="仿宋"/>
                <w:b/>
                <w:bCs/>
                <w:sz w:val="21"/>
                <w:szCs w:val="21"/>
              </w:rPr>
              <w:t>冲击强度（冲击高度500mm，应无剥落、裂纹、皱纹）；</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3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③</w:t>
            </w:r>
            <w:r>
              <w:rPr>
                <w:rFonts w:hint="eastAsia" w:ascii="仿宋" w:hAnsi="仿宋" w:eastAsia="仿宋" w:cs="仿宋"/>
                <w:b/>
                <w:bCs/>
                <w:sz w:val="21"/>
                <w:szCs w:val="21"/>
              </w:rPr>
              <w:fldChar w:fldCharType="end"/>
            </w:r>
            <w:r>
              <w:rPr>
                <w:rFonts w:hint="eastAsia" w:ascii="仿宋" w:hAnsi="仿宋" w:eastAsia="仿宋" w:cs="仿宋"/>
                <w:b/>
                <w:bCs/>
                <w:sz w:val="21"/>
                <w:szCs w:val="21"/>
              </w:rPr>
              <w:t>硬度≥3H；</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4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④</w:t>
            </w:r>
            <w:r>
              <w:rPr>
                <w:rFonts w:hint="eastAsia" w:ascii="仿宋" w:hAnsi="仿宋" w:eastAsia="仿宋" w:cs="仿宋"/>
                <w:b/>
                <w:bCs/>
                <w:sz w:val="21"/>
                <w:szCs w:val="21"/>
              </w:rPr>
              <w:fldChar w:fldCharType="end"/>
            </w:r>
            <w:r>
              <w:rPr>
                <w:rFonts w:hint="eastAsia" w:ascii="仿宋" w:hAnsi="仿宋" w:eastAsia="仿宋" w:cs="仿宋"/>
                <w:b/>
                <w:bCs/>
                <w:sz w:val="21"/>
                <w:szCs w:val="21"/>
              </w:rPr>
              <w:t>附着力 ≤1 级；</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5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⑤</w:t>
            </w:r>
            <w:r>
              <w:rPr>
                <w:rFonts w:hint="eastAsia" w:ascii="仿宋" w:hAnsi="仿宋" w:eastAsia="仿宋" w:cs="仿宋"/>
                <w:b/>
                <w:bCs/>
                <w:sz w:val="21"/>
                <w:szCs w:val="21"/>
              </w:rPr>
              <w:fldChar w:fldCharType="end"/>
            </w:r>
            <w:r>
              <w:rPr>
                <w:rFonts w:hint="eastAsia" w:ascii="仿宋" w:hAnsi="仿宋" w:eastAsia="仿宋" w:cs="仿宋"/>
                <w:b/>
                <w:bCs/>
                <w:sz w:val="21"/>
                <w:szCs w:val="21"/>
              </w:rPr>
              <w:t>可迁移元素：铅＜0.5mg/kg、镉＜0.5mg/kg、汞＜0.5mg/kg、铬＜0.5mg/kg、锑＜0.5mg/kg、钡＜0.5mg/kg、砷＜0.5mg/kg、硒＜0.5mg/kg；</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6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⑥</w:t>
            </w:r>
            <w:r>
              <w:rPr>
                <w:rFonts w:hint="eastAsia" w:ascii="仿宋" w:hAnsi="仿宋" w:eastAsia="仿宋" w:cs="仿宋"/>
                <w:b/>
                <w:bCs/>
                <w:sz w:val="21"/>
                <w:szCs w:val="21"/>
              </w:rPr>
              <w:fldChar w:fldCharType="end"/>
            </w:r>
            <w:r>
              <w:rPr>
                <w:rFonts w:hint="eastAsia" w:ascii="仿宋" w:hAnsi="仿宋" w:eastAsia="仿宋" w:cs="仿宋"/>
                <w:b/>
                <w:bCs/>
                <w:sz w:val="21"/>
                <w:szCs w:val="21"/>
              </w:rPr>
              <w:t>中性盐雾1000h，达到10级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7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⑦</w:t>
            </w:r>
            <w:r>
              <w:rPr>
                <w:rFonts w:hint="eastAsia" w:ascii="仿宋" w:hAnsi="仿宋" w:eastAsia="仿宋" w:cs="仿宋"/>
                <w:b/>
                <w:bCs/>
                <w:sz w:val="21"/>
                <w:szCs w:val="21"/>
              </w:rPr>
              <w:fldChar w:fldCharType="end"/>
            </w:r>
            <w:r>
              <w:rPr>
                <w:rFonts w:hint="eastAsia" w:ascii="仿宋" w:hAnsi="仿宋" w:eastAsia="仿宋" w:cs="仿宋"/>
                <w:b/>
                <w:bCs/>
                <w:sz w:val="21"/>
                <w:szCs w:val="21"/>
              </w:rPr>
              <w:t>覆盖层厚度；</w:t>
            </w:r>
            <w:r>
              <w:rPr>
                <w:rFonts w:hint="eastAsia" w:ascii="仿宋" w:hAnsi="仿宋" w:eastAsia="仿宋" w:cs="仿宋"/>
                <w:b/>
                <w:bCs/>
                <w:color w:val="auto"/>
                <w:kern w:val="2"/>
                <w:sz w:val="21"/>
                <w:szCs w:val="21"/>
                <w:highlight w:val="none"/>
                <w:lang w:val="en-US" w:eastAsia="zh-CN" w:bidi="ar-SA"/>
              </w:rPr>
              <w:t>投标人提供国家认可的省级及以上检验机构出具的带“CMA”和“CNAS”标识的抽样检验报告</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val="0"/>
                <w:bCs w:val="0"/>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4</w:t>
            </w:r>
            <w:r>
              <w:rPr>
                <w:rFonts w:hint="eastAsia" w:ascii="仿宋" w:hAnsi="仿宋" w:eastAsia="仿宋" w:cs="仿宋"/>
                <w:sz w:val="21"/>
                <w:szCs w:val="21"/>
              </w:rPr>
              <w:t>) 挂板（</w:t>
            </w:r>
            <w:r>
              <w:rPr>
                <w:rFonts w:hint="eastAsia" w:ascii="仿宋" w:hAnsi="仿宋" w:eastAsia="仿宋" w:cs="仿宋"/>
                <w:b/>
                <w:bCs/>
                <w:sz w:val="21"/>
                <w:szCs w:val="21"/>
              </w:rPr>
              <w:t>双菱形孔挂板）</w:t>
            </w:r>
            <w:r>
              <w:rPr>
                <w:rFonts w:hint="eastAsia" w:ascii="仿宋" w:hAnsi="仿宋" w:eastAsia="仿宋" w:cs="仿宋"/>
                <w:sz w:val="21"/>
                <w:szCs w:val="21"/>
              </w:rPr>
              <w:t>：采用1.</w:t>
            </w:r>
            <w:r>
              <w:rPr>
                <w:rFonts w:hint="eastAsia" w:ascii="仿宋" w:hAnsi="仿宋" w:eastAsia="仿宋" w:cs="仿宋"/>
                <w:sz w:val="21"/>
                <w:szCs w:val="21"/>
                <w:lang w:val="en-US" w:eastAsia="zh-CN"/>
              </w:rPr>
              <w:t>0</w:t>
            </w:r>
            <w:r>
              <w:rPr>
                <w:rFonts w:hint="eastAsia" w:ascii="仿宋" w:hAnsi="仿宋" w:eastAsia="仿宋" w:cs="仿宋"/>
                <w:sz w:val="21"/>
                <w:szCs w:val="21"/>
              </w:rPr>
              <w:t>mm优质冷轧钢板，一体成型两个菱形孔使整体坚固耐用，</w:t>
            </w:r>
            <w:r>
              <w:rPr>
                <w:rFonts w:hint="eastAsia" w:ascii="仿宋" w:hAnsi="仿宋" w:eastAsia="仿宋" w:cs="仿宋"/>
                <w:b w:val="0"/>
                <w:bCs w:val="0"/>
                <w:sz w:val="21"/>
                <w:szCs w:val="21"/>
              </w:rPr>
              <w:t>菱形的尺寸</w:t>
            </w:r>
            <w:r>
              <w:rPr>
                <w:rFonts w:hint="eastAsia" w:ascii="仿宋" w:hAnsi="仿宋" w:eastAsia="仿宋" w:cs="仿宋"/>
                <w:b w:val="0"/>
                <w:bCs w:val="0"/>
                <w:sz w:val="21"/>
                <w:szCs w:val="21"/>
                <w:lang w:val="en-US" w:eastAsia="zh-CN"/>
              </w:rPr>
              <w:t>为长116mm</w:t>
            </w:r>
            <w:r>
              <w:rPr>
                <w:rFonts w:hint="eastAsia" w:ascii="仿宋" w:hAnsi="仿宋" w:eastAsia="仿宋" w:cs="仿宋"/>
                <w:b w:val="0"/>
                <w:bCs w:val="0"/>
                <w:sz w:val="21"/>
                <w:szCs w:val="21"/>
              </w:rPr>
              <w:t>x</w:t>
            </w:r>
            <w:r>
              <w:rPr>
                <w:rFonts w:hint="eastAsia" w:ascii="仿宋" w:hAnsi="仿宋" w:eastAsia="仿宋" w:cs="仿宋"/>
                <w:b w:val="0"/>
                <w:bCs w:val="0"/>
                <w:sz w:val="21"/>
                <w:szCs w:val="21"/>
                <w:lang w:val="en-US" w:eastAsia="zh-CN"/>
              </w:rPr>
              <w:t>宽50mm，深度为2mm，正面拉筋长130mm，宽7mm，深2mm，</w:t>
            </w:r>
            <w:r>
              <w:rPr>
                <w:rFonts w:hint="eastAsia" w:ascii="仿宋" w:hAnsi="仿宋" w:eastAsia="仿宋" w:cs="仿宋"/>
                <w:sz w:val="21"/>
                <w:szCs w:val="21"/>
              </w:rPr>
              <w:t>挂板中间档棒孔为I 型结构，档棒插入方孔后可挂扣在U形上，可防止档棒两端滑落，组装后平整、牢固。承重性好，外观新颖，可防止搁板前后窜动，通用性互换性好。表面再采用酸洗磷化后进行喷塑处理，外形美观，色泽鲜亮，使基本材质不会腐蚀，经久耐用。挂板与立柱之间连接方式采用四挂钩扣接，强度高，承重性能更优越，挂板与立柱对接处更牢固。（详见附图）。</w:t>
            </w:r>
            <w:r>
              <w:rPr>
                <w:rFonts w:hint="eastAsia" w:ascii="仿宋" w:hAnsi="仿宋" w:eastAsia="仿宋" w:cs="仿宋"/>
                <w:b w:val="0"/>
                <w:bCs w:val="0"/>
                <w:sz w:val="21"/>
                <w:szCs w:val="21"/>
              </w:rPr>
              <w:t>（双菱形孔挂板）产品符合GB/T 3325-2017、GB/T 35607-2017、GB/T 10125-2012、GB/T 4957-2003、GB/T 1732-1993标准要求；内容至少包括：</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1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①</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耐腐蚀≥1000小时；</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2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②</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冲击强度（冲击高度500mm，应无剥落、裂纹、皱纹）；</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3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③</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硬度≥3H；</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4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④</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附着力 ≤1 级；</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5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⑤</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可迁移元素：铅＜0.5mg/kg、镉＜0.5mg/kg、汞＜0.5mg/kg、铬＜0.5mg/kg、锑＜0.5mg/kg、钡＜0.5mg/kg、砷＜0.5mg/kg、硒＜0.5mg/kg；</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6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⑥</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中性盐雾1000h，达到10级 ；</w:t>
            </w:r>
            <w:r>
              <w:rPr>
                <w:rFonts w:hint="eastAsia" w:ascii="仿宋" w:hAnsi="仿宋" w:eastAsia="仿宋" w:cs="仿宋"/>
                <w:b w:val="0"/>
                <w:bCs w:val="0"/>
                <w:sz w:val="21"/>
                <w:szCs w:val="21"/>
              </w:rPr>
              <w:fldChar w:fldCharType="begin"/>
            </w:r>
            <w:r>
              <w:rPr>
                <w:rFonts w:hint="eastAsia" w:ascii="仿宋" w:hAnsi="仿宋" w:eastAsia="仿宋" w:cs="仿宋"/>
                <w:b w:val="0"/>
                <w:bCs w:val="0"/>
                <w:sz w:val="21"/>
                <w:szCs w:val="21"/>
              </w:rPr>
              <w:instrText xml:space="preserve"> = 7 \* GB3 \* MERGEFORMAT </w:instrText>
            </w:r>
            <w:r>
              <w:rPr>
                <w:rFonts w:hint="eastAsia" w:ascii="仿宋" w:hAnsi="仿宋" w:eastAsia="仿宋" w:cs="仿宋"/>
                <w:b w:val="0"/>
                <w:bCs w:val="0"/>
                <w:sz w:val="21"/>
                <w:szCs w:val="21"/>
              </w:rPr>
              <w:fldChar w:fldCharType="separate"/>
            </w:r>
            <w:r>
              <w:rPr>
                <w:rFonts w:hint="eastAsia" w:ascii="仿宋" w:hAnsi="仿宋" w:eastAsia="仿宋" w:cs="仿宋"/>
                <w:b w:val="0"/>
                <w:bCs w:val="0"/>
                <w:sz w:val="21"/>
                <w:szCs w:val="21"/>
              </w:rPr>
              <w:t>⑦</w:t>
            </w:r>
            <w:r>
              <w:rPr>
                <w:rFonts w:hint="eastAsia" w:ascii="仿宋" w:hAnsi="仿宋" w:eastAsia="仿宋" w:cs="仿宋"/>
                <w:b w:val="0"/>
                <w:bCs w:val="0"/>
                <w:sz w:val="21"/>
                <w:szCs w:val="21"/>
              </w:rPr>
              <w:fldChar w:fldCharType="end"/>
            </w:r>
            <w:r>
              <w:rPr>
                <w:rFonts w:hint="eastAsia" w:ascii="仿宋" w:hAnsi="仿宋" w:eastAsia="仿宋" w:cs="仿宋"/>
                <w:b w:val="0"/>
                <w:bCs w:val="0"/>
                <w:sz w:val="21"/>
                <w:szCs w:val="21"/>
              </w:rPr>
              <w:t>覆盖层厚度；</w:t>
            </w:r>
            <w:r>
              <w:rPr>
                <w:rFonts w:hint="eastAsia" w:ascii="仿宋" w:hAnsi="仿宋" w:eastAsia="仿宋" w:cs="仿宋"/>
                <w:b w:val="0"/>
                <w:bCs w:val="0"/>
                <w:color w:val="auto"/>
                <w:kern w:val="2"/>
                <w:sz w:val="21"/>
                <w:szCs w:val="21"/>
                <w:highlight w:val="none"/>
                <w:lang w:val="en-US" w:eastAsia="zh-CN" w:bidi="ar-SA"/>
              </w:rPr>
              <w:t>投标人提供国家认可的省级及以上检验机构出具的带“CMA”和“CNAS”标识的抽样检验报告</w:t>
            </w:r>
          </w:p>
          <w:tbl>
            <w:tblPr>
              <w:tblStyle w:val="23"/>
              <w:tblW w:w="0" w:type="auto"/>
              <w:jc w:val="center"/>
              <w:tblLayout w:type="fixed"/>
              <w:tblCellMar>
                <w:top w:w="0" w:type="dxa"/>
                <w:left w:w="108" w:type="dxa"/>
                <w:bottom w:w="0" w:type="dxa"/>
                <w:right w:w="108" w:type="dxa"/>
              </w:tblCellMar>
            </w:tblPr>
            <w:tblGrid>
              <w:gridCol w:w="3580"/>
            </w:tblGrid>
            <w:tr>
              <w:tblPrEx>
                <w:tblCellMar>
                  <w:top w:w="0" w:type="dxa"/>
                  <w:left w:w="108" w:type="dxa"/>
                  <w:bottom w:w="0" w:type="dxa"/>
                  <w:right w:w="108" w:type="dxa"/>
                </w:tblCellMar>
              </w:tblPrEx>
              <w:trPr>
                <w:trHeight w:val="608" w:hRule="atLeast"/>
                <w:jc w:val="center"/>
              </w:trPr>
              <w:tc>
                <w:tcPr>
                  <w:tcW w:w="358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效果图1</w:t>
                  </w:r>
                </w:p>
              </w:tc>
            </w:tr>
            <w:tr>
              <w:tblPrEx>
                <w:tblCellMar>
                  <w:top w:w="0" w:type="dxa"/>
                  <w:left w:w="108" w:type="dxa"/>
                  <w:bottom w:w="0" w:type="dxa"/>
                  <w:right w:w="108" w:type="dxa"/>
                </w:tblCellMar>
              </w:tblPrEx>
              <w:trPr>
                <w:trHeight w:val="1656" w:hRule="atLeast"/>
                <w:jc w:val="center"/>
              </w:trPr>
              <w:tc>
                <w:tcPr>
                  <w:tcW w:w="358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drawing>
                      <wp:inline distT="0" distB="0" distL="114300" distR="114300">
                        <wp:extent cx="1442720" cy="907415"/>
                        <wp:effectExtent l="0" t="0" r="5080" b="6985"/>
                        <wp:docPr id="5" name="图片 1" descr="ecbae64ad9736b03f3356a75464be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ecbae64ad9736b03f3356a75464be206"/>
                                <pic:cNvPicPr>
                                  <a:picLocks noChangeAspect="1"/>
                                </pic:cNvPicPr>
                              </pic:nvPicPr>
                              <pic:blipFill>
                                <a:blip r:embed="rId8"/>
                                <a:stretch>
                                  <a:fillRect/>
                                </a:stretch>
                              </pic:blipFill>
                              <pic:spPr>
                                <a:xfrm>
                                  <a:off x="0" y="0"/>
                                  <a:ext cx="1442720" cy="907415"/>
                                </a:xfrm>
                                <a:prstGeom prst="rect">
                                  <a:avLst/>
                                </a:prstGeom>
                                <a:noFill/>
                                <a:ln>
                                  <a:noFill/>
                                </a:ln>
                              </pic:spPr>
                            </pic:pic>
                          </a:graphicData>
                        </a:graphic>
                      </wp:inline>
                    </w:drawing>
                  </w:r>
                </w:p>
              </w:tc>
            </w:tr>
          </w:tbl>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bCs/>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5</w:t>
            </w:r>
            <w:r>
              <w:rPr>
                <w:rFonts w:hint="eastAsia" w:ascii="仿宋" w:hAnsi="仿宋" w:eastAsia="仿宋" w:cs="仿宋"/>
                <w:sz w:val="21"/>
                <w:szCs w:val="21"/>
              </w:rPr>
              <w:t xml:space="preserve">) </w:t>
            </w:r>
            <w:r>
              <w:rPr>
                <w:rFonts w:hint="eastAsia" w:ascii="仿宋" w:hAnsi="仿宋" w:eastAsia="仿宋" w:cs="仿宋"/>
                <w:b w:val="0"/>
                <w:bCs w:val="0"/>
                <w:sz w:val="21"/>
                <w:szCs w:val="21"/>
              </w:rPr>
              <w:t>搁板（双P型搁板）：采用1.</w:t>
            </w:r>
            <w:r>
              <w:rPr>
                <w:rFonts w:hint="eastAsia" w:ascii="仿宋" w:hAnsi="仿宋" w:eastAsia="仿宋" w:cs="仿宋"/>
                <w:b w:val="0"/>
                <w:bCs w:val="0"/>
                <w:sz w:val="21"/>
                <w:szCs w:val="21"/>
                <w:lang w:val="en-US" w:eastAsia="zh-CN"/>
              </w:rPr>
              <w:t>0</w:t>
            </w:r>
            <w:r>
              <w:rPr>
                <w:rFonts w:hint="eastAsia" w:ascii="仿宋" w:hAnsi="仿宋" w:eastAsia="仿宋" w:cs="仿宋"/>
                <w:b w:val="0"/>
                <w:bCs w:val="0"/>
                <w:sz w:val="21"/>
                <w:szCs w:val="21"/>
              </w:rPr>
              <w:t>mm优质冷轧钢板，侧面两边菱形压纹一次滚压成型，菱形的尺寸</w:t>
            </w:r>
            <w:r>
              <w:rPr>
                <w:rFonts w:hint="eastAsia" w:ascii="仿宋" w:hAnsi="仿宋" w:eastAsia="仿宋" w:cs="仿宋"/>
                <w:b w:val="0"/>
                <w:bCs w:val="0"/>
                <w:sz w:val="21"/>
                <w:szCs w:val="21"/>
                <w:lang w:val="en-US" w:eastAsia="zh-CN"/>
              </w:rPr>
              <w:t>为</w:t>
            </w:r>
            <w:r>
              <w:rPr>
                <w:rFonts w:hint="eastAsia" w:ascii="仿宋" w:hAnsi="仿宋" w:eastAsia="仿宋" w:cs="仿宋"/>
                <w:b w:val="0"/>
                <w:bCs w:val="0"/>
                <w:sz w:val="21"/>
                <w:szCs w:val="21"/>
              </w:rPr>
              <w:t>20</w:t>
            </w:r>
            <w:r>
              <w:rPr>
                <w:rFonts w:hint="eastAsia" w:ascii="仿宋" w:hAnsi="仿宋" w:eastAsia="仿宋" w:cs="仿宋"/>
                <w:b w:val="0"/>
                <w:bCs w:val="0"/>
                <w:sz w:val="21"/>
                <w:szCs w:val="21"/>
                <w:lang w:val="en-US" w:eastAsia="zh-CN"/>
              </w:rPr>
              <w:t>mm</w:t>
            </w:r>
            <w:r>
              <w:rPr>
                <w:rFonts w:hint="eastAsia" w:ascii="仿宋" w:hAnsi="仿宋" w:eastAsia="仿宋" w:cs="仿宋"/>
                <w:b w:val="0"/>
                <w:bCs w:val="0"/>
                <w:sz w:val="21"/>
                <w:szCs w:val="21"/>
              </w:rPr>
              <w:t>x15</w:t>
            </w:r>
            <w:r>
              <w:rPr>
                <w:rFonts w:hint="eastAsia" w:ascii="仿宋" w:hAnsi="仿宋" w:eastAsia="仿宋" w:cs="仿宋"/>
                <w:b w:val="0"/>
                <w:bCs w:val="0"/>
                <w:sz w:val="21"/>
                <w:szCs w:val="21"/>
                <w:lang w:val="en-US" w:eastAsia="zh-CN"/>
              </w:rPr>
              <w:t>mm</w:t>
            </w:r>
            <w:r>
              <w:rPr>
                <w:rFonts w:hint="eastAsia" w:ascii="仿宋" w:hAnsi="仿宋" w:eastAsia="仿宋" w:cs="仿宋"/>
                <w:b w:val="0"/>
                <w:bCs w:val="0"/>
                <w:sz w:val="21"/>
                <w:szCs w:val="21"/>
              </w:rPr>
              <w:t>，</w:t>
            </w:r>
            <w:r>
              <w:rPr>
                <w:rFonts w:hint="eastAsia" w:ascii="仿宋" w:hAnsi="仿宋" w:eastAsia="仿宋" w:cs="仿宋"/>
                <w:b w:val="0"/>
                <w:bCs w:val="0"/>
                <w:sz w:val="21"/>
                <w:szCs w:val="21"/>
                <w:lang w:eastAsia="zh-CN"/>
              </w:rPr>
              <w:t>深度为</w:t>
            </w:r>
            <w:r>
              <w:rPr>
                <w:rFonts w:hint="eastAsia" w:ascii="仿宋" w:hAnsi="仿宋" w:eastAsia="仿宋" w:cs="仿宋"/>
                <w:b w:val="0"/>
                <w:bCs w:val="0"/>
                <w:sz w:val="21"/>
                <w:szCs w:val="21"/>
                <w:lang w:val="en-US" w:eastAsia="zh-CN"/>
              </w:rPr>
              <w:t>2mm,</w:t>
            </w:r>
            <w:r>
              <w:rPr>
                <w:rFonts w:hint="eastAsia" w:ascii="仿宋" w:hAnsi="仿宋" w:eastAsia="仿宋" w:cs="仿宋"/>
                <w:b w:val="0"/>
                <w:bCs w:val="0"/>
                <w:sz w:val="21"/>
                <w:szCs w:val="21"/>
              </w:rPr>
              <w:t>菱形与菱形的间</w:t>
            </w:r>
            <w:r>
              <w:rPr>
                <w:rFonts w:hint="eastAsia" w:ascii="仿宋" w:hAnsi="仿宋" w:eastAsia="仿宋" w:cs="仿宋"/>
                <w:b w:val="0"/>
                <w:bCs w:val="0"/>
                <w:sz w:val="21"/>
                <w:szCs w:val="21"/>
                <w:lang w:val="en-US" w:eastAsia="zh-CN"/>
              </w:rPr>
              <w:t>距为5mm</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托板正面压8筋，</w:t>
            </w:r>
            <w:r>
              <w:rPr>
                <w:rFonts w:hint="eastAsia" w:ascii="仿宋" w:hAnsi="仿宋" w:eastAsia="仿宋" w:cs="仿宋"/>
                <w:b w:val="0"/>
                <w:bCs w:val="0"/>
                <w:sz w:val="21"/>
                <w:szCs w:val="21"/>
                <w:lang w:val="en-US" w:eastAsia="zh-CN"/>
              </w:rPr>
              <w:t>筋宽度为6mm，筋深为2mm，筋间距为4mm，两侧筋与边的间距为28mm，</w:t>
            </w:r>
            <w:r>
              <w:rPr>
                <w:rFonts w:hint="eastAsia" w:ascii="仿宋" w:hAnsi="仿宋" w:eastAsia="仿宋" w:cs="仿宋"/>
                <w:b w:val="0"/>
                <w:bCs w:val="0"/>
                <w:sz w:val="21"/>
                <w:szCs w:val="21"/>
              </w:rPr>
              <w:t>隔板外形美观，结构新颖，承重能力强，钢性足。表面采用酸洗磷化后进行喷塑处理，外形美观，结构新颖，色泽鲜亮，使基材不会腐蚀。</w:t>
            </w:r>
            <w:r>
              <w:rPr>
                <w:rFonts w:hint="eastAsia" w:ascii="仿宋" w:hAnsi="仿宋" w:eastAsia="仿宋" w:cs="仿宋"/>
                <w:b/>
                <w:bCs/>
                <w:sz w:val="21"/>
                <w:szCs w:val="21"/>
              </w:rPr>
              <w:t>（详见附图）</w:t>
            </w:r>
            <w:r>
              <w:rPr>
                <w:rFonts w:hint="eastAsia" w:ascii="仿宋" w:hAnsi="仿宋" w:eastAsia="仿宋" w:cs="仿宋"/>
                <w:sz w:val="21"/>
                <w:szCs w:val="21"/>
              </w:rPr>
              <w:t xml:space="preserve"> 搁板</w:t>
            </w:r>
            <w:r>
              <w:rPr>
                <w:rFonts w:hint="eastAsia" w:ascii="仿宋" w:hAnsi="仿宋" w:eastAsia="仿宋" w:cs="仿宋"/>
                <w:b/>
                <w:bCs/>
                <w:sz w:val="21"/>
                <w:szCs w:val="21"/>
              </w:rPr>
              <w:t>（双P型搁板）产品符合GB/T 3325-2017、GB/T 35607-2017、GB/T 10125-2012、GB/T 4957-2003、GB/T 1732-1993标准；内容至少包括：</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1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①</w:t>
            </w:r>
            <w:r>
              <w:rPr>
                <w:rFonts w:hint="eastAsia" w:ascii="仿宋" w:hAnsi="仿宋" w:eastAsia="仿宋" w:cs="仿宋"/>
                <w:b/>
                <w:bCs/>
                <w:sz w:val="21"/>
                <w:szCs w:val="21"/>
              </w:rPr>
              <w:fldChar w:fldCharType="end"/>
            </w:r>
            <w:r>
              <w:rPr>
                <w:rFonts w:hint="eastAsia" w:ascii="仿宋" w:hAnsi="仿宋" w:eastAsia="仿宋" w:cs="仿宋"/>
                <w:b/>
                <w:bCs/>
                <w:sz w:val="21"/>
                <w:szCs w:val="21"/>
              </w:rPr>
              <w:t>耐腐蚀≥1000小时；</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2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②</w:t>
            </w:r>
            <w:r>
              <w:rPr>
                <w:rFonts w:hint="eastAsia" w:ascii="仿宋" w:hAnsi="仿宋" w:eastAsia="仿宋" w:cs="仿宋"/>
                <w:b/>
                <w:bCs/>
                <w:sz w:val="21"/>
                <w:szCs w:val="21"/>
              </w:rPr>
              <w:fldChar w:fldCharType="end"/>
            </w:r>
            <w:r>
              <w:rPr>
                <w:rFonts w:hint="eastAsia" w:ascii="仿宋" w:hAnsi="仿宋" w:eastAsia="仿宋" w:cs="仿宋"/>
                <w:b/>
                <w:bCs/>
                <w:sz w:val="21"/>
                <w:szCs w:val="21"/>
              </w:rPr>
              <w:t>冲击强度（冲击高度500mm，应无剥落、裂纹、皱纹）；</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3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③</w:t>
            </w:r>
            <w:r>
              <w:rPr>
                <w:rFonts w:hint="eastAsia" w:ascii="仿宋" w:hAnsi="仿宋" w:eastAsia="仿宋" w:cs="仿宋"/>
                <w:b/>
                <w:bCs/>
                <w:sz w:val="21"/>
                <w:szCs w:val="21"/>
              </w:rPr>
              <w:fldChar w:fldCharType="end"/>
            </w:r>
            <w:r>
              <w:rPr>
                <w:rFonts w:hint="eastAsia" w:ascii="仿宋" w:hAnsi="仿宋" w:eastAsia="仿宋" w:cs="仿宋"/>
                <w:b/>
                <w:bCs/>
                <w:sz w:val="21"/>
                <w:szCs w:val="21"/>
              </w:rPr>
              <w:t>硬度≥3H；</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4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④</w:t>
            </w:r>
            <w:r>
              <w:rPr>
                <w:rFonts w:hint="eastAsia" w:ascii="仿宋" w:hAnsi="仿宋" w:eastAsia="仿宋" w:cs="仿宋"/>
                <w:b/>
                <w:bCs/>
                <w:sz w:val="21"/>
                <w:szCs w:val="21"/>
              </w:rPr>
              <w:fldChar w:fldCharType="end"/>
            </w:r>
            <w:r>
              <w:rPr>
                <w:rFonts w:hint="eastAsia" w:ascii="仿宋" w:hAnsi="仿宋" w:eastAsia="仿宋" w:cs="仿宋"/>
                <w:b/>
                <w:bCs/>
                <w:sz w:val="21"/>
                <w:szCs w:val="21"/>
              </w:rPr>
              <w:t>附着力 ≤1 级；</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5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⑤</w:t>
            </w:r>
            <w:r>
              <w:rPr>
                <w:rFonts w:hint="eastAsia" w:ascii="仿宋" w:hAnsi="仿宋" w:eastAsia="仿宋" w:cs="仿宋"/>
                <w:b/>
                <w:bCs/>
                <w:sz w:val="21"/>
                <w:szCs w:val="21"/>
              </w:rPr>
              <w:fldChar w:fldCharType="end"/>
            </w:r>
            <w:r>
              <w:rPr>
                <w:rFonts w:hint="eastAsia" w:ascii="仿宋" w:hAnsi="仿宋" w:eastAsia="仿宋" w:cs="仿宋"/>
                <w:b/>
                <w:bCs/>
                <w:sz w:val="21"/>
                <w:szCs w:val="21"/>
              </w:rPr>
              <w:t>可迁移元素：铅＜0.5mg/kg、镉＜0.5mg/kg、汞＜0.5mg/kg、铬＜0.5mg/kg、锑＜0.5mg/kg、钡＜0.5mg/kg、砷＜0.5mg/kg、硒＜0.5mg/kg；</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6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⑥</w:t>
            </w:r>
            <w:r>
              <w:rPr>
                <w:rFonts w:hint="eastAsia" w:ascii="仿宋" w:hAnsi="仿宋" w:eastAsia="仿宋" w:cs="仿宋"/>
                <w:b/>
                <w:bCs/>
                <w:sz w:val="21"/>
                <w:szCs w:val="21"/>
              </w:rPr>
              <w:fldChar w:fldCharType="end"/>
            </w:r>
            <w:r>
              <w:rPr>
                <w:rFonts w:hint="eastAsia" w:ascii="仿宋" w:hAnsi="仿宋" w:eastAsia="仿宋" w:cs="仿宋"/>
                <w:b/>
                <w:bCs/>
                <w:sz w:val="21"/>
                <w:szCs w:val="21"/>
              </w:rPr>
              <w:t>中性盐雾1000h，达到10级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7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⑦</w:t>
            </w:r>
            <w:r>
              <w:rPr>
                <w:rFonts w:hint="eastAsia" w:ascii="仿宋" w:hAnsi="仿宋" w:eastAsia="仿宋" w:cs="仿宋"/>
                <w:b/>
                <w:bCs/>
                <w:sz w:val="21"/>
                <w:szCs w:val="21"/>
              </w:rPr>
              <w:fldChar w:fldCharType="end"/>
            </w:r>
            <w:r>
              <w:rPr>
                <w:rFonts w:hint="eastAsia" w:ascii="仿宋" w:hAnsi="仿宋" w:eastAsia="仿宋" w:cs="仿宋"/>
                <w:b/>
                <w:bCs/>
                <w:sz w:val="21"/>
                <w:szCs w:val="21"/>
              </w:rPr>
              <w:t>覆盖层厚度；</w:t>
            </w:r>
            <w:r>
              <w:rPr>
                <w:rFonts w:hint="eastAsia" w:ascii="仿宋" w:hAnsi="仿宋" w:eastAsia="仿宋" w:cs="仿宋"/>
                <w:b/>
                <w:bCs/>
                <w:color w:val="auto"/>
                <w:kern w:val="2"/>
                <w:sz w:val="21"/>
                <w:szCs w:val="21"/>
                <w:highlight w:val="none"/>
                <w:lang w:val="en-US" w:eastAsia="zh-CN" w:bidi="ar-SA"/>
              </w:rPr>
              <w:t>投标人提供国家认可的省级及以上检验机构出具的带“CMA”和“CNAS”标识的抽样检验报告</w:t>
            </w:r>
          </w:p>
          <w:tbl>
            <w:tblPr>
              <w:tblStyle w:val="23"/>
              <w:tblW w:w="0" w:type="auto"/>
              <w:jc w:val="center"/>
              <w:tblLayout w:type="fixed"/>
              <w:tblCellMar>
                <w:top w:w="0" w:type="dxa"/>
                <w:left w:w="108" w:type="dxa"/>
                <w:bottom w:w="0" w:type="dxa"/>
                <w:right w:w="108" w:type="dxa"/>
              </w:tblCellMar>
            </w:tblPr>
            <w:tblGrid>
              <w:gridCol w:w="2750"/>
            </w:tblGrid>
            <w:tr>
              <w:tblPrEx>
                <w:tblCellMar>
                  <w:top w:w="0" w:type="dxa"/>
                  <w:left w:w="108" w:type="dxa"/>
                  <w:bottom w:w="0" w:type="dxa"/>
                  <w:right w:w="108" w:type="dxa"/>
                </w:tblCellMar>
              </w:tblPrEx>
              <w:trPr>
                <w:trHeight w:val="446" w:hRule="atLeast"/>
                <w:jc w:val="center"/>
              </w:trPr>
              <w:tc>
                <w:tcPr>
                  <w:tcW w:w="2750" w:type="dxa"/>
                  <w:tcBorders>
                    <w:tl2br w:val="nil"/>
                    <w:tr2bl w:val="nil"/>
                  </w:tcBorders>
                  <w:noWrap w:val="0"/>
                  <w:vAlign w:val="center"/>
                </w:tcPr>
                <w:p>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效果图</w:t>
                  </w:r>
                </w:p>
              </w:tc>
            </w:tr>
            <w:tr>
              <w:tblPrEx>
                <w:tblCellMar>
                  <w:top w:w="0" w:type="dxa"/>
                  <w:left w:w="108" w:type="dxa"/>
                  <w:bottom w:w="0" w:type="dxa"/>
                  <w:right w:w="108" w:type="dxa"/>
                </w:tblCellMar>
              </w:tblPrEx>
              <w:trPr>
                <w:trHeight w:val="1095" w:hRule="atLeast"/>
                <w:jc w:val="center"/>
              </w:trPr>
              <w:tc>
                <w:tcPr>
                  <w:tcW w:w="2750" w:type="dxa"/>
                  <w:tcBorders>
                    <w:tl2br w:val="nil"/>
                    <w:tr2bl w:val="nil"/>
                  </w:tcBorders>
                  <w:noWrap w:val="0"/>
                  <w:vAlign w:val="center"/>
                </w:tcPr>
                <w:p>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drawing>
                      <wp:inline distT="0" distB="0" distL="114300" distR="114300">
                        <wp:extent cx="1604010" cy="890270"/>
                        <wp:effectExtent l="0" t="0" r="11430" b="8890"/>
                        <wp:docPr id="6" name="图片 2" descr="/private/var/mobile/Containers/Data/Application/401E5B87-8792-4F19-96E0-ED29CEBBF7EF/tmp/insert_image_tmp_dir/2022-03-15 08:51:30.529000.png2022-03-15 08:51:30.529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private/var/mobile/Containers/Data/Application/401E5B87-8792-4F19-96E0-ED29CEBBF7EF/tmp/insert_image_tmp_dir/2022-03-15 08:51:30.529000.png2022-03-15 08:51:30.529000"/>
                                <pic:cNvPicPr>
                                  <a:picLocks noChangeAspect="1"/>
                                </pic:cNvPicPr>
                              </pic:nvPicPr>
                              <pic:blipFill>
                                <a:blip r:embed="rId9"/>
                                <a:stretch>
                                  <a:fillRect/>
                                </a:stretch>
                              </pic:blipFill>
                              <pic:spPr>
                                <a:xfrm>
                                  <a:off x="0" y="0"/>
                                  <a:ext cx="1604010" cy="890270"/>
                                </a:xfrm>
                                <a:prstGeom prst="rect">
                                  <a:avLst/>
                                </a:prstGeom>
                                <a:noFill/>
                                <a:ln>
                                  <a:noFill/>
                                </a:ln>
                              </pic:spPr>
                            </pic:pic>
                          </a:graphicData>
                        </a:graphic>
                      </wp:inline>
                    </w:drawing>
                  </w:r>
                </w:p>
              </w:tc>
            </w:tr>
          </w:tbl>
          <w:p>
            <w:pPr>
              <w:spacing w:line="240" w:lineRule="auto"/>
              <w:rPr>
                <w:rFonts w:hint="eastAsia" w:ascii="仿宋" w:hAnsi="仿宋" w:eastAsia="仿宋" w:cs="仿宋"/>
                <w:sz w:val="21"/>
                <w:szCs w:val="21"/>
              </w:rPr>
            </w:pPr>
          </w:p>
          <w:p>
            <w:pPr>
              <w:pStyle w:val="39"/>
              <w:spacing w:line="240" w:lineRule="auto"/>
              <w:ind w:firstLine="0"/>
              <w:rPr>
                <w:rFonts w:hint="eastAsia" w:ascii="仿宋" w:hAnsi="仿宋" w:eastAsia="仿宋" w:cs="仿宋"/>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bCs/>
                <w:sz w:val="21"/>
                <w:szCs w:val="21"/>
              </w:rPr>
            </w:pP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6</w:t>
            </w:r>
            <w:r>
              <w:rPr>
                <w:rFonts w:hint="eastAsia" w:ascii="仿宋" w:hAnsi="仿宋" w:eastAsia="仿宋" w:cs="仿宋"/>
                <w:sz w:val="21"/>
                <w:szCs w:val="21"/>
              </w:rPr>
              <w:t>）侧板(</w:t>
            </w:r>
            <w:r>
              <w:rPr>
                <w:rFonts w:hint="eastAsia" w:ascii="仿宋" w:hAnsi="仿宋" w:eastAsia="仿宋" w:cs="仿宋"/>
                <w:b/>
                <w:bCs/>
                <w:sz w:val="21"/>
                <w:szCs w:val="21"/>
              </w:rPr>
              <w:t>加固筋侧板）</w:t>
            </w:r>
            <w:r>
              <w:rPr>
                <w:rFonts w:hint="eastAsia" w:ascii="仿宋" w:hAnsi="仿宋" w:eastAsia="仿宋" w:cs="仿宋"/>
                <w:sz w:val="21"/>
                <w:szCs w:val="21"/>
              </w:rPr>
              <w:t>：采用1.0mm优质冷轧钢板制成,整块侧板，款式新颖、结构独特、造型美观，强度高，正面按压不变形。侧板</w:t>
            </w:r>
            <w:r>
              <w:rPr>
                <w:rFonts w:hint="eastAsia" w:ascii="仿宋" w:hAnsi="仿宋" w:eastAsia="仿宋" w:cs="仿宋"/>
                <w:b/>
                <w:bCs/>
                <w:sz w:val="21"/>
                <w:szCs w:val="21"/>
              </w:rPr>
              <w:t>（加固筋侧板）所投侧板需满足GB/T 3325-2017、GB/T 35607-2017、GB/T 10125-2012、GB/T 4957-2003、GB/T 1732-1993标准要求；内容至少包括：</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1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①</w:t>
            </w:r>
            <w:r>
              <w:rPr>
                <w:rFonts w:hint="eastAsia" w:ascii="仿宋" w:hAnsi="仿宋" w:eastAsia="仿宋" w:cs="仿宋"/>
                <w:b/>
                <w:bCs/>
                <w:sz w:val="21"/>
                <w:szCs w:val="21"/>
              </w:rPr>
              <w:fldChar w:fldCharType="end"/>
            </w:r>
            <w:r>
              <w:rPr>
                <w:rFonts w:hint="eastAsia" w:ascii="仿宋" w:hAnsi="仿宋" w:eastAsia="仿宋" w:cs="仿宋"/>
                <w:b/>
                <w:bCs/>
                <w:sz w:val="21"/>
                <w:szCs w:val="21"/>
              </w:rPr>
              <w:t>耐腐蚀≥1000小时；</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2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②</w:t>
            </w:r>
            <w:r>
              <w:rPr>
                <w:rFonts w:hint="eastAsia" w:ascii="仿宋" w:hAnsi="仿宋" w:eastAsia="仿宋" w:cs="仿宋"/>
                <w:b/>
                <w:bCs/>
                <w:sz w:val="21"/>
                <w:szCs w:val="21"/>
              </w:rPr>
              <w:fldChar w:fldCharType="end"/>
            </w:r>
            <w:r>
              <w:rPr>
                <w:rFonts w:hint="eastAsia" w:ascii="仿宋" w:hAnsi="仿宋" w:eastAsia="仿宋" w:cs="仿宋"/>
                <w:b/>
                <w:bCs/>
                <w:sz w:val="21"/>
                <w:szCs w:val="21"/>
              </w:rPr>
              <w:t>冲击强度（冲击高度500mm，应无剥落、裂纹、皱纹）；</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3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③</w:t>
            </w:r>
            <w:r>
              <w:rPr>
                <w:rFonts w:hint="eastAsia" w:ascii="仿宋" w:hAnsi="仿宋" w:eastAsia="仿宋" w:cs="仿宋"/>
                <w:b/>
                <w:bCs/>
                <w:sz w:val="21"/>
                <w:szCs w:val="21"/>
              </w:rPr>
              <w:fldChar w:fldCharType="end"/>
            </w:r>
            <w:r>
              <w:rPr>
                <w:rFonts w:hint="eastAsia" w:ascii="仿宋" w:hAnsi="仿宋" w:eastAsia="仿宋" w:cs="仿宋"/>
                <w:b/>
                <w:bCs/>
                <w:sz w:val="21"/>
                <w:szCs w:val="21"/>
              </w:rPr>
              <w:t>硬度≥3H；</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4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④</w:t>
            </w:r>
            <w:r>
              <w:rPr>
                <w:rFonts w:hint="eastAsia" w:ascii="仿宋" w:hAnsi="仿宋" w:eastAsia="仿宋" w:cs="仿宋"/>
                <w:b/>
                <w:bCs/>
                <w:sz w:val="21"/>
                <w:szCs w:val="21"/>
              </w:rPr>
              <w:fldChar w:fldCharType="end"/>
            </w:r>
            <w:r>
              <w:rPr>
                <w:rFonts w:hint="eastAsia" w:ascii="仿宋" w:hAnsi="仿宋" w:eastAsia="仿宋" w:cs="仿宋"/>
                <w:b/>
                <w:bCs/>
                <w:sz w:val="21"/>
                <w:szCs w:val="21"/>
              </w:rPr>
              <w:t>附着力 ≤1 级；</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5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⑤</w:t>
            </w:r>
            <w:r>
              <w:rPr>
                <w:rFonts w:hint="eastAsia" w:ascii="仿宋" w:hAnsi="仿宋" w:eastAsia="仿宋" w:cs="仿宋"/>
                <w:b/>
                <w:bCs/>
                <w:sz w:val="21"/>
                <w:szCs w:val="21"/>
              </w:rPr>
              <w:fldChar w:fldCharType="end"/>
            </w:r>
            <w:r>
              <w:rPr>
                <w:rFonts w:hint="eastAsia" w:ascii="仿宋" w:hAnsi="仿宋" w:eastAsia="仿宋" w:cs="仿宋"/>
                <w:b/>
                <w:bCs/>
                <w:sz w:val="21"/>
                <w:szCs w:val="21"/>
              </w:rPr>
              <w:t>可迁移元素：铅＜0.5mg/kg、镉＜0.5mg/kg、汞＜0.5mg/kg、铬＜0.5mg/kg、锑＜0.5mg/kg、钡＜0.5mg/kg、砷＜0.5mg/kg、硒＜0.5mg/kg；</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6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⑥</w:t>
            </w:r>
            <w:r>
              <w:rPr>
                <w:rFonts w:hint="eastAsia" w:ascii="仿宋" w:hAnsi="仿宋" w:eastAsia="仿宋" w:cs="仿宋"/>
                <w:b/>
                <w:bCs/>
                <w:sz w:val="21"/>
                <w:szCs w:val="21"/>
              </w:rPr>
              <w:fldChar w:fldCharType="end"/>
            </w:r>
            <w:r>
              <w:rPr>
                <w:rFonts w:hint="eastAsia" w:ascii="仿宋" w:hAnsi="仿宋" w:eastAsia="仿宋" w:cs="仿宋"/>
                <w:b/>
                <w:bCs/>
                <w:sz w:val="21"/>
                <w:szCs w:val="21"/>
              </w:rPr>
              <w:t>中性盐雾1000h，达到10级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7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⑦</w:t>
            </w:r>
            <w:r>
              <w:rPr>
                <w:rFonts w:hint="eastAsia" w:ascii="仿宋" w:hAnsi="仿宋" w:eastAsia="仿宋" w:cs="仿宋"/>
                <w:b/>
                <w:bCs/>
                <w:sz w:val="21"/>
                <w:szCs w:val="21"/>
              </w:rPr>
              <w:fldChar w:fldCharType="end"/>
            </w:r>
            <w:r>
              <w:rPr>
                <w:rFonts w:hint="eastAsia" w:ascii="仿宋" w:hAnsi="仿宋" w:eastAsia="仿宋" w:cs="仿宋"/>
                <w:b/>
                <w:bCs/>
                <w:sz w:val="21"/>
                <w:szCs w:val="21"/>
              </w:rPr>
              <w:t>覆盖层厚度；</w:t>
            </w:r>
            <w:r>
              <w:rPr>
                <w:rFonts w:hint="eastAsia" w:ascii="仿宋" w:hAnsi="仿宋" w:eastAsia="仿宋" w:cs="仿宋"/>
                <w:b/>
                <w:bCs/>
                <w:color w:val="auto"/>
                <w:kern w:val="2"/>
                <w:sz w:val="21"/>
                <w:szCs w:val="21"/>
                <w:highlight w:val="none"/>
                <w:lang w:val="en-US" w:eastAsia="zh-CN" w:bidi="ar-SA"/>
              </w:rPr>
              <w:t>投标人提供国家认可的省级及以上检验机构出具的带“CMA”和“CNAS”标识的抽样检验报告</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7</w:t>
            </w:r>
            <w:r>
              <w:rPr>
                <w:rFonts w:hint="eastAsia" w:ascii="仿宋" w:hAnsi="仿宋" w:eastAsia="仿宋" w:cs="仿宋"/>
                <w:sz w:val="21"/>
                <w:szCs w:val="21"/>
              </w:rPr>
              <w:t>）顶板：采用 1.0mm 优质冷轧钢板一次成型，顶板使用螺栓紧固于立柱上端既能加强存储设备的整体刚性又能起到防尘、防水的作用。</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8</w:t>
            </w:r>
            <w:r>
              <w:rPr>
                <w:rFonts w:hint="eastAsia" w:ascii="仿宋" w:hAnsi="仿宋" w:eastAsia="仿宋" w:cs="仿宋"/>
                <w:sz w:val="21"/>
                <w:szCs w:val="21"/>
              </w:rPr>
              <w:t>) 防倾倒装置：安装在底盘外侧底部，通过四点固定使路轨与底盘连接整体，防倒性能好，结构设计合理。</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9</w:t>
            </w:r>
            <w:r>
              <w:rPr>
                <w:rFonts w:hint="eastAsia" w:ascii="仿宋" w:hAnsi="仿宋" w:eastAsia="仿宋" w:cs="仿宋"/>
                <w:sz w:val="21"/>
                <w:szCs w:val="21"/>
              </w:rPr>
              <w:t>) 防鼠板装置：架体合拢后底盘之间缝隙小于 2mm，使灰尘与老鼠无法进入。</w:t>
            </w:r>
          </w:p>
          <w:p>
            <w:pPr>
              <w:pageBreakBefore w:val="0"/>
              <w:widowControl w:val="0"/>
              <w:kinsoku/>
              <w:wordWrap/>
              <w:overflowPunct/>
              <w:topLinePunct w:val="0"/>
              <w:autoSpaceDE/>
              <w:autoSpaceDN/>
              <w:bidi w:val="0"/>
              <w:adjustRightInd w:val="0"/>
              <w:snapToGrid w:val="0"/>
              <w:spacing w:line="240" w:lineRule="auto"/>
              <w:ind w:firstLine="422" w:firstLineChars="200"/>
              <w:rPr>
                <w:rFonts w:hint="eastAsia" w:ascii="仿宋" w:hAnsi="仿宋" w:eastAsia="仿宋" w:cs="仿宋"/>
                <w:b/>
                <w:bCs/>
                <w:sz w:val="21"/>
                <w:szCs w:val="21"/>
              </w:rPr>
            </w:pPr>
          </w:p>
          <w:p>
            <w:pPr>
              <w:pageBreakBefore w:val="0"/>
              <w:widowControl w:val="0"/>
              <w:kinsoku/>
              <w:wordWrap/>
              <w:overflowPunct/>
              <w:topLinePunct w:val="0"/>
              <w:autoSpaceDE/>
              <w:autoSpaceDN/>
              <w:bidi w:val="0"/>
              <w:adjustRightInd w:val="0"/>
              <w:snapToGrid w:val="0"/>
              <w:spacing w:line="24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0</w:t>
            </w:r>
            <w:r>
              <w:rPr>
                <w:rFonts w:hint="eastAsia" w:ascii="仿宋" w:hAnsi="仿宋" w:eastAsia="仿宋" w:cs="仿宋"/>
                <w:sz w:val="21"/>
                <w:szCs w:val="21"/>
              </w:rPr>
              <w:t>) 搁板、挂板可沿立柱垂直方向调整高度，层高可任意调节，可根据需要增加或减少层数。</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1</w:t>
            </w:r>
            <w:r>
              <w:rPr>
                <w:rFonts w:hint="eastAsia" w:ascii="仿宋" w:hAnsi="仿宋" w:eastAsia="仿宋" w:cs="仿宋"/>
                <w:sz w:val="21"/>
                <w:szCs w:val="21"/>
              </w:rPr>
              <w:t>) 承重量：单列架体每层搁板上均布载重400N,双面搁板每层上均布静载荷800N，负载质量精度为额定值的±1%, 24小时卸载后，无裂纹及永久变形。</w:t>
            </w:r>
          </w:p>
          <w:p>
            <w:pPr>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数字拨盘智能密集锁</w:t>
            </w:r>
          </w:p>
          <w:p>
            <w:pPr>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锁体尺寸：70*104.5mm</w:t>
            </w:r>
          </w:p>
          <w:p>
            <w:pPr>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锁体材质：锌合金</w:t>
            </w:r>
          </w:p>
          <w:p>
            <w:pPr>
              <w:pStyle w:val="17"/>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旋钮材质：锌合金+ABS</w:t>
            </w:r>
          </w:p>
          <w:p>
            <w:pPr>
              <w:keepNext w:val="0"/>
              <w:keepLines w:val="0"/>
              <w:widowControl/>
              <w:suppressLineNumbers w:val="0"/>
              <w:spacing w:line="240" w:lineRule="auto"/>
              <w:jc w:val="left"/>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val="0"/>
                <w:bCs w:val="0"/>
                <w:color w:val="auto"/>
                <w:sz w:val="21"/>
                <w:szCs w:val="21"/>
                <w:lang w:val="en-US" w:eastAsia="zh-CN"/>
              </w:rPr>
              <w:t>多功能手摇柄:外形美观实用，表面镀铬处理，将安装于主侧板上的总锁、制动装置与摇柄合三为一 ，使摇柄具有锁止、制动及驱动三大功能，可无钥匙密码开锁。</w:t>
            </w:r>
            <w:r>
              <w:rPr>
                <w:rFonts w:hint="eastAsia" w:ascii="仿宋" w:hAnsi="仿宋" w:eastAsia="仿宋" w:cs="仿宋"/>
                <w:b/>
                <w:bCs/>
                <w:color w:val="000000"/>
                <w:kern w:val="0"/>
                <w:sz w:val="21"/>
                <w:szCs w:val="21"/>
                <w:lang w:val="en-US" w:eastAsia="zh-CN" w:bidi="ar"/>
              </w:rPr>
              <w:t>数字拨盘智能密码锁</w:t>
            </w:r>
            <w:r>
              <w:rPr>
                <w:rFonts w:hint="eastAsia" w:ascii="仿宋" w:hAnsi="仿宋" w:eastAsia="仿宋" w:cs="仿宋"/>
                <w:b/>
                <w:bCs/>
                <w:sz w:val="21"/>
                <w:szCs w:val="21"/>
              </w:rPr>
              <w:t>需满足：</w:t>
            </w:r>
            <w:r>
              <w:rPr>
                <w:rFonts w:hint="eastAsia" w:ascii="仿宋" w:hAnsi="仿宋" w:eastAsia="仿宋" w:cs="仿宋"/>
                <w:b/>
                <w:bCs/>
                <w:color w:val="000000"/>
                <w:kern w:val="0"/>
                <w:sz w:val="21"/>
                <w:szCs w:val="21"/>
                <w:lang w:val="en-US" w:eastAsia="zh-CN" w:bidi="ar"/>
              </w:rPr>
              <w:t>QB/T 1621-2015《家具锁》、GB 28481-2012《塑料家具中有害物质限量》、GB/T 16422.2-2022 《塑料 实验室 光源暴露试验方法 第 2 部分: 氙弧灯》、GB/T 250-2008 《纺织品 色牢度试验 评定变色用灰色样卡》、QB/T 3826-1999《轻工产品金属镀层和化学处理层的耐腐蚀试验方法 中性盐雾试验(NSS)法》检测标准；检测内空包括：</w:t>
            </w:r>
            <w:r>
              <w:rPr>
                <w:rFonts w:hint="eastAsia" w:ascii="仿宋" w:hAnsi="仿宋" w:eastAsia="仿宋" w:cs="仿宋"/>
                <w:b/>
                <w:bCs/>
                <w:sz w:val="21"/>
                <w:szCs w:val="21"/>
              </w:rPr>
              <w:t>①</w:t>
            </w:r>
            <w:r>
              <w:rPr>
                <w:rFonts w:hint="eastAsia" w:ascii="仿宋" w:hAnsi="仿宋" w:eastAsia="仿宋" w:cs="仿宋"/>
                <w:b/>
                <w:bCs/>
                <w:color w:val="auto"/>
                <w:kern w:val="2"/>
                <w:sz w:val="21"/>
                <w:szCs w:val="21"/>
                <w:highlight w:val="none"/>
                <w:lang w:val="en-US" w:eastAsia="zh-CN" w:bidi="ar-SA"/>
              </w:rPr>
              <w:t>邻苯二甲酸酯（DBP、BBP、DEHP、DNOP、DINP、DIDP）未检出；</w:t>
            </w:r>
            <w:r>
              <w:rPr>
                <w:rFonts w:hint="eastAsia" w:ascii="仿宋" w:hAnsi="仿宋" w:eastAsia="仿宋" w:cs="仿宋"/>
                <w:b/>
                <w:bCs/>
                <w:sz w:val="21"/>
                <w:szCs w:val="21"/>
              </w:rPr>
              <w:t>②</w:t>
            </w:r>
            <w:r>
              <w:rPr>
                <w:rFonts w:hint="eastAsia" w:ascii="仿宋" w:hAnsi="仿宋" w:eastAsia="仿宋" w:cs="仿宋"/>
                <w:b/>
                <w:bCs/>
                <w:color w:val="000000"/>
                <w:kern w:val="0"/>
                <w:sz w:val="21"/>
                <w:szCs w:val="21"/>
                <w:lang w:val="en-US" w:eastAsia="zh-CN" w:bidi="ar"/>
              </w:rPr>
              <w:t>中性盐雾试验（1200h）：涂层本身的耐蚀能力：10级、 涂层对基体金属的防蚀能力：10 级；</w:t>
            </w:r>
            <w:r>
              <w:rPr>
                <w:rFonts w:hint="eastAsia" w:ascii="仿宋" w:hAnsi="仿宋" w:eastAsia="仿宋" w:cs="仿宋"/>
                <w:b/>
                <w:bCs/>
                <w:sz w:val="21"/>
                <w:szCs w:val="21"/>
              </w:rPr>
              <w:t>③</w:t>
            </w:r>
            <w:r>
              <w:rPr>
                <w:rFonts w:hint="eastAsia" w:ascii="仿宋" w:hAnsi="仿宋" w:eastAsia="仿宋" w:cs="仿宋"/>
                <w:b/>
                <w:bCs/>
                <w:color w:val="000000"/>
                <w:kern w:val="0"/>
                <w:sz w:val="21"/>
                <w:szCs w:val="21"/>
                <w:lang w:val="en-US" w:eastAsia="zh-CN" w:bidi="ar"/>
              </w:rPr>
              <w:t>耐老化性：室外用：1000h，外观颜色变色评级≥3 级；</w:t>
            </w:r>
            <w:r>
              <w:rPr>
                <w:rFonts w:hint="eastAsia" w:ascii="仿宋" w:hAnsi="仿宋" w:eastAsia="仿宋" w:cs="仿宋"/>
                <w:b/>
                <w:bCs/>
                <w:sz w:val="21"/>
                <w:szCs w:val="21"/>
              </w:rPr>
              <w:t>④</w:t>
            </w:r>
            <w:r>
              <w:rPr>
                <w:rFonts w:hint="eastAsia" w:ascii="仿宋" w:hAnsi="仿宋" w:eastAsia="仿宋" w:cs="仿宋"/>
                <w:b/>
                <w:bCs/>
                <w:color w:val="000000"/>
                <w:kern w:val="0"/>
                <w:sz w:val="21"/>
                <w:szCs w:val="21"/>
                <w:lang w:val="en-US" w:eastAsia="zh-CN" w:bidi="ar"/>
              </w:rPr>
              <w:t>外观质量：锁头、钥匙；电镀件；涂层件；电镀件耐腐蚀：电镀件外露表面经 12h 的中性盐雾试验后，应达到外观评级 RA6 级的规定；涂层件附着力：应达到 GB/T 9286 中 2 级的规定；</w:t>
            </w:r>
            <w:r>
              <w:rPr>
                <w:rFonts w:hint="eastAsia" w:ascii="仿宋" w:hAnsi="仿宋" w:eastAsia="仿宋" w:cs="仿宋"/>
                <w:b/>
                <w:bCs/>
                <w:sz w:val="21"/>
                <w:szCs w:val="21"/>
              </w:rPr>
              <w:t>⑤</w:t>
            </w:r>
            <w:r>
              <w:rPr>
                <w:rFonts w:hint="eastAsia" w:ascii="仿宋" w:hAnsi="仿宋" w:eastAsia="仿宋" w:cs="仿宋"/>
                <w:b/>
                <w:bCs/>
                <w:color w:val="000000"/>
                <w:kern w:val="0"/>
                <w:sz w:val="21"/>
                <w:szCs w:val="21"/>
                <w:lang w:val="en-US" w:eastAsia="zh-CN" w:bidi="ar"/>
              </w:rPr>
              <w:t>保密度：钥匙牙花（个）：弹子锁：锁头直径＜20mm：4 个 5 个 、弹子锁-锁头直径≥20mm：4 个 5 个、 叶片锁：5 个 6 个；钥匙不同牙花数（种） ≥：弹子锁-锁头直径＜20mm：200  750 、弹子锁-锁头直径≥20mm：500  2500 、叶片锁：150  500、</w:t>
            </w:r>
            <w:r>
              <w:rPr>
                <w:rFonts w:hint="eastAsia" w:ascii="仿宋" w:hAnsi="仿宋" w:eastAsia="仿宋" w:cs="仿宋"/>
                <w:b/>
                <w:bCs/>
                <w:sz w:val="21"/>
                <w:szCs w:val="21"/>
              </w:rPr>
              <w:t>⑥</w:t>
            </w:r>
            <w:r>
              <w:rPr>
                <w:rFonts w:hint="eastAsia" w:ascii="仿宋" w:hAnsi="仿宋" w:eastAsia="仿宋" w:cs="仿宋"/>
                <w:b/>
                <w:bCs/>
                <w:color w:val="000000"/>
                <w:kern w:val="0"/>
                <w:sz w:val="21"/>
                <w:szCs w:val="21"/>
                <w:lang w:val="en-US" w:eastAsia="zh-CN" w:bidi="ar"/>
              </w:rPr>
              <w:t>互开率（%）：弹子锁-锁头直径＜20mm：0.575  0.612 、弹子锁-锁头直径≥20mm：0.327  0.245 、叶片锁：1.379 0.612；密码锁的编码数：不应少于 900 个；密码锁开锁：除设定编码外，应无法开锁；弹子锁锁头结构：应具有不小于 1 项的防拨安全装置；锁舌伸出长度：不应小于 6mm ；</w:t>
            </w:r>
            <w:r>
              <w:rPr>
                <w:rFonts w:hint="eastAsia" w:ascii="仿宋" w:hAnsi="仿宋" w:eastAsia="仿宋" w:cs="仿宋"/>
                <w:b/>
                <w:bCs/>
                <w:sz w:val="21"/>
                <w:szCs w:val="21"/>
              </w:rPr>
              <w:t>⑦</w:t>
            </w:r>
            <w:r>
              <w:rPr>
                <w:rFonts w:hint="eastAsia" w:ascii="仿宋" w:hAnsi="仿宋" w:eastAsia="仿宋" w:cs="仿宋"/>
                <w:b/>
                <w:bCs/>
                <w:color w:val="000000"/>
                <w:kern w:val="0"/>
                <w:sz w:val="21"/>
                <w:szCs w:val="21"/>
                <w:lang w:val="en-US" w:eastAsia="zh-CN" w:bidi="ar"/>
              </w:rPr>
              <w:t>灵活度：钥匙插拔、旋转：弹子锁不应大于 6N，叶片锁不应大于 9N、锁舌闭合力：不应大于 50N 、钥匙开启扭矩：不应大于 0.65N·m 、密码锁的操作：密码机构操作应灵活，定位准确， 在设定的编码位置，锁开、关无卡阻现象；</w:t>
            </w:r>
            <w:r>
              <w:rPr>
                <w:rFonts w:hint="eastAsia" w:ascii="仿宋" w:hAnsi="仿宋" w:eastAsia="仿宋" w:cs="仿宋"/>
                <w:b/>
                <w:bCs/>
                <w:color w:val="000000"/>
                <w:kern w:val="0"/>
                <w:sz w:val="21"/>
                <w:szCs w:val="21"/>
                <w:lang w:val="en-US" w:eastAsia="zh-CN" w:bidi="ar"/>
              </w:rPr>
              <w:fldChar w:fldCharType="begin"/>
            </w:r>
            <w:r>
              <w:rPr>
                <w:rFonts w:hint="eastAsia" w:ascii="仿宋" w:hAnsi="仿宋" w:eastAsia="仿宋" w:cs="仿宋"/>
                <w:b/>
                <w:bCs/>
                <w:color w:val="000000"/>
                <w:kern w:val="0"/>
                <w:sz w:val="21"/>
                <w:szCs w:val="21"/>
                <w:lang w:val="en-US" w:eastAsia="zh-CN" w:bidi="ar"/>
              </w:rPr>
              <w:instrText xml:space="preserve"> = 8 \* GB3 \* MERGEFORMAT </w:instrText>
            </w:r>
            <w:r>
              <w:rPr>
                <w:rFonts w:hint="eastAsia" w:ascii="仿宋" w:hAnsi="仿宋" w:eastAsia="仿宋" w:cs="仿宋"/>
                <w:b/>
                <w:bCs/>
                <w:color w:val="000000"/>
                <w:kern w:val="0"/>
                <w:sz w:val="21"/>
                <w:szCs w:val="21"/>
                <w:lang w:val="en-US" w:eastAsia="zh-CN" w:bidi="ar"/>
              </w:rPr>
              <w:fldChar w:fldCharType="separate"/>
            </w:r>
            <w:r>
              <w:rPr>
                <w:rFonts w:hint="eastAsia" w:ascii="仿宋" w:hAnsi="仿宋" w:eastAsia="仿宋" w:cs="仿宋"/>
                <w:b/>
                <w:bCs/>
                <w:sz w:val="21"/>
                <w:szCs w:val="21"/>
              </w:rPr>
              <w:t>⑧</w:t>
            </w:r>
            <w:r>
              <w:rPr>
                <w:rFonts w:hint="eastAsia" w:ascii="仿宋" w:hAnsi="仿宋" w:eastAsia="仿宋" w:cs="仿宋"/>
                <w:b/>
                <w:bCs/>
                <w:color w:val="000000"/>
                <w:kern w:val="0"/>
                <w:sz w:val="21"/>
                <w:szCs w:val="21"/>
                <w:lang w:val="en-US" w:eastAsia="zh-CN" w:bidi="ar"/>
              </w:rPr>
              <w:fldChar w:fldCharType="end"/>
            </w:r>
            <w:r>
              <w:rPr>
                <w:rFonts w:hint="eastAsia" w:ascii="仿宋" w:hAnsi="仿宋" w:eastAsia="仿宋" w:cs="仿宋"/>
                <w:b/>
                <w:bCs/>
                <w:color w:val="000000"/>
                <w:kern w:val="0"/>
                <w:sz w:val="21"/>
                <w:szCs w:val="21"/>
                <w:lang w:val="en-US" w:eastAsia="zh-CN" w:bidi="ar"/>
              </w:rPr>
              <w:t>密码锁使用寿命：密码锁使用寿命不应少于 200000 次。</w:t>
            </w:r>
            <w:r>
              <w:rPr>
                <w:rFonts w:hint="eastAsia" w:ascii="仿宋" w:hAnsi="仿宋" w:eastAsia="仿宋" w:cs="仿宋"/>
                <w:b/>
                <w:bCs/>
                <w:color w:val="auto"/>
                <w:kern w:val="2"/>
                <w:sz w:val="21"/>
                <w:szCs w:val="21"/>
                <w:highlight w:val="none"/>
                <w:lang w:val="en-US" w:eastAsia="zh-CN" w:bidi="ar-SA"/>
              </w:rPr>
              <w:t>投标人提供国家认可的省级及以上检验机构出具的带“CMA”和“CNAS”标识的抽样检验报告</w:t>
            </w:r>
          </w:p>
          <w:p>
            <w:pPr>
              <w:keepNext w:val="0"/>
              <w:keepLines w:val="0"/>
              <w:widowControl/>
              <w:suppressLineNumbers w:val="0"/>
              <w:spacing w:line="240" w:lineRule="auto"/>
              <w:jc w:val="center"/>
              <w:rPr>
                <w:rFonts w:hint="eastAsia" w:ascii="仿宋" w:hAnsi="仿宋" w:eastAsia="仿宋" w:cs="仿宋"/>
                <w:b/>
                <w:bCs/>
                <w:sz w:val="21"/>
                <w:szCs w:val="21"/>
              </w:rPr>
            </w:pPr>
            <w:r>
              <w:rPr>
                <w:rFonts w:hint="eastAsia" w:ascii="仿宋" w:hAnsi="仿宋" w:eastAsia="仿宋" w:cs="仿宋"/>
                <w:sz w:val="21"/>
                <w:szCs w:val="21"/>
                <w:lang w:eastAsia="zh-CN"/>
              </w:rPr>
              <w:drawing>
                <wp:inline distT="0" distB="0" distL="114300" distR="114300">
                  <wp:extent cx="2025015" cy="1447165"/>
                  <wp:effectExtent l="0" t="0" r="1905" b="635"/>
                  <wp:docPr id="7" name="图片 4" descr="73cd67338bcb901ebb2507e7bc1e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descr="73cd67338bcb901ebb2507e7bc1e014"/>
                          <pic:cNvPicPr>
                            <a:picLocks noChangeAspect="1"/>
                          </pic:cNvPicPr>
                        </pic:nvPicPr>
                        <pic:blipFill>
                          <a:blip r:embed="rId11"/>
                          <a:srcRect l="3717" t="14645" r="12968" b="6505"/>
                          <a:stretch>
                            <a:fillRect/>
                          </a:stretch>
                        </pic:blipFill>
                        <pic:spPr>
                          <a:xfrm>
                            <a:off x="0" y="0"/>
                            <a:ext cx="2025015" cy="1447165"/>
                          </a:xfrm>
                          <a:prstGeom prst="rect">
                            <a:avLst/>
                          </a:prstGeom>
                          <a:noFill/>
                          <a:ln>
                            <a:noFill/>
                          </a:ln>
                        </pic:spPr>
                      </pic:pic>
                    </a:graphicData>
                  </a:graphic>
                </wp:inline>
              </w:drawing>
            </w:r>
          </w:p>
          <w:p>
            <w:pPr>
              <w:pStyle w:val="14"/>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w:t>
            </w:r>
          </w:p>
          <w:p>
            <w:pPr>
              <w:pStyle w:val="4"/>
              <w:numPr>
                <w:ilvl w:val="0"/>
                <w:numId w:val="0"/>
              </w:numPr>
              <w:bidi w:val="0"/>
              <w:spacing w:line="240" w:lineRule="auto"/>
              <w:ind w:left="720" w:leftChars="0" w:hanging="720" w:firstLineChars="0"/>
              <w:rPr>
                <w:rFonts w:hint="eastAsia" w:ascii="仿宋" w:hAnsi="仿宋" w:eastAsia="仿宋" w:cs="仿宋"/>
                <w:b w:val="0"/>
                <w:bCs w:val="0"/>
                <w:color w:val="auto"/>
                <w:sz w:val="21"/>
                <w:szCs w:val="21"/>
                <w:highlight w:val="none"/>
              </w:rPr>
            </w:pPr>
            <w:bookmarkStart w:id="4" w:name="_Toc4128"/>
            <w:r>
              <w:rPr>
                <w:rFonts w:hint="eastAsia" w:ascii="仿宋" w:hAnsi="仿宋" w:eastAsia="仿宋" w:cs="仿宋"/>
                <w:b w:val="0"/>
                <w:bCs w:val="0"/>
                <w:color w:val="auto"/>
                <w:kern w:val="0"/>
                <w:sz w:val="21"/>
                <w:szCs w:val="21"/>
                <w:lang w:val="en-US" w:eastAsia="zh-CN" w:bidi="ar-SA"/>
              </w:rPr>
              <w:t>1</w:t>
            </w:r>
            <w:r>
              <w:rPr>
                <w:rFonts w:hint="eastAsia" w:ascii="仿宋" w:hAnsi="仿宋" w:eastAsia="仿宋" w:cs="仿宋"/>
                <w:b w:val="0"/>
                <w:bCs w:val="0"/>
                <w:color w:val="auto"/>
                <w:sz w:val="21"/>
                <w:szCs w:val="21"/>
                <w:highlight w:val="none"/>
                <w:lang w:val="en-US" w:eastAsia="zh-CN"/>
              </w:rPr>
              <w:t>附：固定</w:t>
            </w:r>
            <w:r>
              <w:rPr>
                <w:rFonts w:hint="eastAsia" w:ascii="仿宋" w:hAnsi="仿宋" w:eastAsia="仿宋" w:cs="仿宋"/>
                <w:b w:val="0"/>
                <w:bCs w:val="0"/>
                <w:color w:val="auto"/>
                <w:sz w:val="21"/>
                <w:szCs w:val="21"/>
                <w:highlight w:val="none"/>
              </w:rPr>
              <w:t>密集架配置说明一览表</w:t>
            </w:r>
            <w:bookmarkEnd w:id="4"/>
          </w:p>
          <w:tbl>
            <w:tblPr>
              <w:tblStyle w:val="24"/>
              <w:tblW w:w="45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9"/>
              <w:gridCol w:w="981"/>
              <w:gridCol w:w="691"/>
              <w:gridCol w:w="711"/>
              <w:gridCol w:w="14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设备名称</w:t>
                  </w: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设备配置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材料规格</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技术参数</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性能说明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架体</w:t>
                  </w: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sz w:val="21"/>
                      <w:szCs w:val="21"/>
                    </w:rPr>
                    <w:t>双P型立柱</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5</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架体结实、坚固、设备新颖，安装规范，每节单面层数和间距可自由调整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lang w:val="en-US"/>
                    </w:rPr>
                  </w:pPr>
                  <w:r>
                    <w:rPr>
                      <w:rFonts w:hint="eastAsia" w:ascii="仿宋" w:hAnsi="仿宋" w:eastAsia="仿宋" w:cs="仿宋"/>
                      <w:sz w:val="21"/>
                      <w:szCs w:val="21"/>
                    </w:rPr>
                    <w:t>双P型搁板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0</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sz w:val="21"/>
                      <w:szCs w:val="21"/>
                    </w:rPr>
                    <w:t>双菱形孔挂板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0</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背板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1.0</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门面</w:t>
                  </w: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门框</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门板平整、款式新颖，表面亚光喷塑。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bidi="ar-SA"/>
                    </w:rPr>
                    <w:t>密集架门板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rPr>
                    <w:t>.0mm</w:t>
                  </w:r>
                </w:p>
              </w:tc>
              <w:tc>
                <w:tcPr>
                  <w:tcW w:w="711" w:type="dxa"/>
                  <w:noWrap w:val="0"/>
                  <w:vAlign w:val="center"/>
                </w:tcPr>
                <w:p>
                  <w:pPr>
                    <w:widowControl w:val="0"/>
                    <w:spacing w:line="240"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钢化玻璃</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侧护板</w:t>
                  </w: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侧板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款式新颖，表面亚光喷塑。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中列制动装置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顶板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每列的接触面均有缓冲及密封装置。具有良好的防震、防尘、防鼠、防光、防潮、防火功能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防尘板、防鼠板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防倾倒装置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表面处理</w:t>
                  </w: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前处理药剂</w:t>
                  </w:r>
                </w:p>
              </w:tc>
              <w:tc>
                <w:tcPr>
                  <w:tcW w:w="1402"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ZN系磷化</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高压静电</w:t>
                  </w:r>
                </w:p>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喷塑</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环氧型聚脂混合粉</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bl>
          <w:p>
            <w:pPr>
              <w:pStyle w:val="22"/>
              <w:ind w:left="0" w:leftChars="0" w:firstLine="0" w:firstLineChars="0"/>
              <w:rPr>
                <w:rFonts w:hint="eastAsia"/>
                <w:lang w:val="en-US" w:eastAsia="zh-Hans"/>
              </w:rPr>
            </w:pPr>
          </w:p>
        </w:tc>
        <w:tc>
          <w:tcPr>
            <w:tcW w:w="5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default" w:ascii="微软雅黑" w:hAnsi="微软雅黑" w:eastAsia="微软雅黑" w:cs="微软雅黑"/>
                <w:i w:val="0"/>
                <w:iCs w:val="0"/>
                <w:color w:val="000000"/>
                <w:sz w:val="24"/>
                <w:szCs w:val="24"/>
                <w:highlight w:val="none"/>
                <w:u w:val="none"/>
                <w:lang w:val="en-US" w:eastAsia="zh-CN"/>
              </w:rPr>
            </w:pPr>
            <w:r>
              <w:rPr>
                <w:rFonts w:hint="eastAsia" w:ascii="微软雅黑" w:hAnsi="微软雅黑" w:eastAsia="微软雅黑" w:cs="微软雅黑"/>
                <w:i w:val="0"/>
                <w:iCs w:val="0"/>
                <w:color w:val="000000"/>
                <w:sz w:val="24"/>
                <w:szCs w:val="24"/>
                <w:highlight w:val="none"/>
                <w:u w:val="none"/>
                <w:lang w:val="en-US" w:eastAsia="zh-CN"/>
              </w:rPr>
              <w:t>面</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4</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both"/>
              <w:textAlignment w:val="center"/>
              <w:rPr>
                <w:rFonts w:hint="eastAsia" w:ascii="仿宋" w:hAnsi="仿宋" w:eastAsia="仿宋" w:cs="仿宋"/>
                <w:i w:val="0"/>
                <w:iCs w:val="0"/>
                <w:color w:val="000000"/>
                <w:sz w:val="24"/>
                <w:szCs w:val="24"/>
                <w:highlight w:val="none"/>
                <w:u w:val="none"/>
                <w:lang w:val="en-US" w:eastAsia="zh-CN"/>
              </w:rPr>
            </w:pPr>
          </w:p>
        </w:tc>
      </w:tr>
      <w:tr>
        <w:tblPrEx>
          <w:tblCellMar>
            <w:top w:w="0" w:type="dxa"/>
            <w:left w:w="108" w:type="dxa"/>
            <w:bottom w:w="0" w:type="dxa"/>
            <w:right w:w="108" w:type="dxa"/>
          </w:tblCellMar>
        </w:tblPrEx>
        <w:trPr>
          <w:trHeight w:val="0" w:hRule="atLeast"/>
          <w:jc w:val="center"/>
        </w:trPr>
        <w:tc>
          <w:tcPr>
            <w:tcW w:w="803"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default" w:ascii="仿宋" w:hAnsi="仿宋" w:eastAsia="仿宋" w:cs="仿宋"/>
                <w:b w:val="0"/>
                <w:bCs w:val="0"/>
                <w:i w:val="0"/>
                <w:iCs w:val="0"/>
                <w:color w:val="000000"/>
                <w:kern w:val="0"/>
                <w:sz w:val="24"/>
                <w:szCs w:val="24"/>
                <w:highlight w:val="none"/>
                <w:u w:val="none"/>
                <w:lang w:val="en-US" w:eastAsia="zh-CN" w:bidi="ar"/>
              </w:rPr>
            </w:pPr>
            <w:r>
              <w:rPr>
                <w:rFonts w:hint="eastAsia" w:ascii="仿宋" w:hAnsi="仿宋" w:eastAsia="仿宋" w:cs="仿宋"/>
                <w:b w:val="0"/>
                <w:bCs w:val="0"/>
                <w:i w:val="0"/>
                <w:iCs w:val="0"/>
                <w:color w:val="000000"/>
                <w:kern w:val="0"/>
                <w:sz w:val="24"/>
                <w:szCs w:val="24"/>
                <w:highlight w:val="none"/>
                <w:u w:val="none"/>
                <w:lang w:val="en-US" w:eastAsia="zh-CN" w:bidi="ar"/>
              </w:rPr>
              <w:t>1.3</w:t>
            </w:r>
          </w:p>
        </w:tc>
        <w:tc>
          <w:tcPr>
            <w:tcW w:w="147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固定（奖牌、奖杯荣誉)</w:t>
            </w:r>
            <w:r>
              <w:rPr>
                <w:rFonts w:hint="eastAsia" w:ascii="宋体" w:hAnsi="宋体" w:eastAsia="宋体" w:cs="宋体"/>
                <w:b w:val="0"/>
                <w:bCs w:val="0"/>
                <w:i w:val="0"/>
                <w:iCs w:val="0"/>
                <w:color w:val="auto"/>
                <w:kern w:val="0"/>
                <w:sz w:val="24"/>
                <w:szCs w:val="24"/>
                <w:u w:val="none"/>
                <w:lang w:val="en-US" w:eastAsia="zh-CN" w:bidi="ar"/>
              </w:rPr>
              <w:t>密集</w:t>
            </w:r>
            <w:r>
              <w:rPr>
                <w:rFonts w:hint="eastAsia" w:ascii="宋体" w:hAnsi="宋体" w:cs="宋体"/>
                <w:b w:val="0"/>
                <w:bCs w:val="0"/>
                <w:i w:val="0"/>
                <w:iCs w:val="0"/>
                <w:color w:val="auto"/>
                <w:kern w:val="0"/>
                <w:sz w:val="24"/>
                <w:szCs w:val="24"/>
                <w:u w:val="none"/>
                <w:lang w:val="en-US" w:eastAsia="zh-CN" w:bidi="ar"/>
              </w:rPr>
              <w:t>架</w:t>
            </w:r>
          </w:p>
        </w:tc>
        <w:tc>
          <w:tcPr>
            <w:tcW w:w="4591" w:type="dxa"/>
            <w:tcBorders>
              <w:top w:val="single" w:color="000000" w:sz="4" w:space="0"/>
              <w:left w:val="single" w:color="000000" w:sz="4" w:space="0"/>
              <w:bottom w:val="single" w:color="000000" w:sz="4" w:space="0"/>
              <w:right w:val="single" w:color="000000" w:sz="4" w:space="0"/>
            </w:tcBorders>
            <w:noWrap/>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firstLine="0" w:firstLineChars="0"/>
              <w:jc w:val="left"/>
              <w:textAlignment w:val="center"/>
              <w:rPr>
                <w:rFonts w:hint="eastAsia" w:ascii="宋体" w:hAnsi="宋体" w:eastAsia="宋体" w:cs="宋体"/>
                <w:b w:val="0"/>
                <w:bCs w:val="0"/>
                <w:sz w:val="24"/>
                <w:szCs w:val="24"/>
                <w:lang w:val="en-US" w:eastAsia="zh-CN"/>
              </w:rPr>
            </w:pPr>
            <w:r>
              <w:rPr>
                <w:rFonts w:hint="eastAsia" w:ascii="宋体" w:hAnsi="宋体" w:eastAsia="宋体" w:cs="宋体"/>
                <w:b w:val="0"/>
                <w:bCs w:val="0"/>
                <w:i w:val="0"/>
                <w:iCs w:val="0"/>
                <w:color w:val="auto"/>
                <w:kern w:val="0"/>
                <w:sz w:val="24"/>
                <w:szCs w:val="24"/>
                <w:u w:val="none"/>
                <w:lang w:val="en-US" w:eastAsia="zh-CN" w:bidi="ar"/>
              </w:rPr>
              <w:t>长5000*宽600*高1900</w:t>
            </w:r>
            <w:r>
              <w:rPr>
                <w:rFonts w:hint="eastAsia" w:ascii="宋体" w:hAnsi="宋体" w:eastAsia="宋体" w:cs="宋体"/>
                <w:b w:val="0"/>
                <w:bCs w:val="0"/>
                <w:sz w:val="24"/>
                <w:szCs w:val="24"/>
                <w:lang w:val="en-US" w:eastAsia="zh-CN"/>
              </w:rPr>
              <w:t>*1</w:t>
            </w:r>
            <w:r>
              <w:rPr>
                <w:rFonts w:hint="eastAsia" w:ascii="宋体" w:hAnsi="宋体" w:eastAsia="宋体" w:cs="宋体"/>
                <w:b w:val="0"/>
                <w:bCs w:val="0"/>
                <w:sz w:val="24"/>
                <w:szCs w:val="24"/>
              </w:rPr>
              <w:t>列</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每列5组，每组4层，单面靠墙，配玻璃门。</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lang w:val="en-US" w:eastAsia="zh-CN"/>
              </w:rPr>
              <w:t>固定</w:t>
            </w:r>
            <w:r>
              <w:rPr>
                <w:rFonts w:hint="eastAsia" w:ascii="仿宋" w:hAnsi="仿宋" w:eastAsia="仿宋" w:cs="仿宋"/>
                <w:sz w:val="21"/>
                <w:szCs w:val="21"/>
              </w:rPr>
              <w:t>密集架钢制部份性能、配置及技术参数的详细描述</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1、生产过程中材料、工艺均采用国家标准执行， 符合相关技术规范：</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（1）QB/T 4767-2014《家具用钢构件》</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sz w:val="21"/>
                <w:szCs w:val="21"/>
              </w:rPr>
              <w:fldChar w:fldCharType="begin"/>
            </w:r>
            <w:r>
              <w:rPr>
                <w:rFonts w:hint="eastAsia" w:ascii="仿宋" w:hAnsi="仿宋" w:eastAsia="仿宋" w:cs="仿宋"/>
                <w:sz w:val="21"/>
                <w:szCs w:val="21"/>
              </w:rPr>
              <w:instrText xml:space="preserve"> HYPERLINK "https://www.so.com/link?m=bAfkYenLpjqAlb8qC1/xUqS9zxserP1fk6iHfT2YkaQNM+woynjOMqqIOiJak5bReVaqa7n7UhEpVHhZL8Nh007HbN6UZo9Vuw45HJgAy40W0o7MTOfigZblOop+HgLDNudmCxg6FvZG5jSQV" \t "https://www.so.com/_blank" </w:instrText>
            </w:r>
            <w:r>
              <w:rPr>
                <w:rFonts w:hint="eastAsia" w:ascii="仿宋" w:hAnsi="仿宋" w:eastAsia="仿宋" w:cs="仿宋"/>
                <w:sz w:val="21"/>
                <w:szCs w:val="21"/>
              </w:rPr>
              <w:fldChar w:fldCharType="separate"/>
            </w:r>
            <w:r>
              <w:rPr>
                <w:rFonts w:hint="eastAsia" w:ascii="仿宋" w:hAnsi="仿宋" w:eastAsia="仿宋" w:cs="仿宋"/>
                <w:sz w:val="21"/>
                <w:szCs w:val="21"/>
              </w:rPr>
              <w:t>GB/T 5213-2019《冷轧低碳钢板及钢带</w:t>
            </w:r>
            <w:r>
              <w:rPr>
                <w:rFonts w:hint="eastAsia" w:ascii="仿宋" w:hAnsi="仿宋" w:eastAsia="仿宋" w:cs="仿宋"/>
                <w:sz w:val="21"/>
                <w:szCs w:val="21"/>
              </w:rPr>
              <w:fldChar w:fldCharType="end"/>
            </w:r>
            <w:r>
              <w:rPr>
                <w:rFonts w:hint="eastAsia" w:ascii="仿宋" w:hAnsi="仿宋" w:eastAsia="仿宋" w:cs="仿宋"/>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（3）GB/T 13667.3-2013、GB/T 35607-2017、GB/T 10125-2012、HJ 2547-2016、GB/T 4957-2003、GB/T 1732-1993、GB/T</w:t>
            </w:r>
            <w:r>
              <w:rPr>
                <w:rFonts w:hint="eastAsia" w:ascii="仿宋" w:hAnsi="仿宋" w:eastAsia="仿宋" w:cs="仿宋"/>
                <w:sz w:val="21"/>
                <w:szCs w:val="21"/>
                <w:lang w:val="en-US" w:eastAsia="zh-CN"/>
              </w:rPr>
              <w:t xml:space="preserve"> </w:t>
            </w:r>
            <w:r>
              <w:rPr>
                <w:rFonts w:hint="eastAsia" w:ascii="仿宋" w:hAnsi="仿宋" w:eastAsia="仿宋" w:cs="仿宋"/>
                <w:sz w:val="21"/>
                <w:szCs w:val="21"/>
              </w:rPr>
              <w:t>1720-1979、GB/T 10357.4-2013《技术条件》等国家标准技术参数。</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color w:val="auto"/>
                <w:kern w:val="2"/>
                <w:sz w:val="21"/>
                <w:szCs w:val="21"/>
                <w:highlight w:val="none"/>
                <w:lang w:val="en-US" w:eastAsia="zh-CN"/>
              </w:rPr>
              <w:t>3.</w:t>
            </w:r>
            <w:r>
              <w:rPr>
                <w:rFonts w:hint="eastAsia" w:ascii="仿宋" w:hAnsi="仿宋" w:eastAsia="仿宋" w:cs="仿宋"/>
                <w:color w:val="auto"/>
                <w:kern w:val="2"/>
                <w:sz w:val="21"/>
                <w:szCs w:val="21"/>
                <w:highlight w:val="none"/>
              </w:rPr>
              <w:t>2、</w:t>
            </w:r>
            <w:r>
              <w:rPr>
                <w:rFonts w:hint="eastAsia" w:ascii="仿宋" w:hAnsi="仿宋" w:eastAsia="仿宋" w:cs="仿宋"/>
                <w:color w:val="auto"/>
                <w:kern w:val="2"/>
                <w:sz w:val="21"/>
                <w:szCs w:val="21"/>
                <w:highlight w:val="none"/>
                <w:lang w:val="en-US" w:eastAsia="zh-CN"/>
              </w:rPr>
              <w:t>固定</w:t>
            </w:r>
            <w:r>
              <w:rPr>
                <w:rFonts w:hint="eastAsia" w:ascii="仿宋" w:hAnsi="仿宋" w:eastAsia="仿宋" w:cs="仿宋"/>
                <w:b/>
                <w:bCs/>
                <w:color w:val="auto"/>
                <w:kern w:val="2"/>
                <w:sz w:val="21"/>
                <w:szCs w:val="21"/>
                <w:highlight w:val="none"/>
              </w:rPr>
              <w:t>密集架技术要求：</w:t>
            </w:r>
            <w:r>
              <w:rPr>
                <w:rFonts w:hint="eastAsia" w:ascii="仿宋" w:hAnsi="仿宋" w:eastAsia="仿宋" w:cs="仿宋"/>
                <w:b/>
                <w:bCs/>
                <w:color w:val="auto"/>
                <w:kern w:val="2"/>
                <w:sz w:val="21"/>
                <w:szCs w:val="21"/>
                <w:highlight w:val="none"/>
                <w:lang w:eastAsia="zh-CN"/>
              </w:rPr>
              <w:t>（</w:t>
            </w:r>
            <w:r>
              <w:rPr>
                <w:rFonts w:hint="eastAsia" w:ascii="仿宋" w:hAnsi="仿宋" w:eastAsia="仿宋" w:cs="仿宋"/>
                <w:b/>
                <w:bCs/>
                <w:color w:val="auto"/>
                <w:kern w:val="2"/>
                <w:sz w:val="21"/>
                <w:szCs w:val="21"/>
                <w:highlight w:val="none"/>
                <w:lang w:val="en-US" w:eastAsia="zh-CN"/>
              </w:rPr>
              <w:t>1）</w:t>
            </w:r>
            <w:r>
              <w:rPr>
                <w:rFonts w:hint="eastAsia" w:ascii="仿宋" w:hAnsi="仿宋" w:eastAsia="仿宋" w:cs="仿宋"/>
                <w:sz w:val="21"/>
                <w:szCs w:val="21"/>
              </w:rPr>
              <w:t>架体（包括双P型立柱、双菱形孔挂板、双P型搁板、顶板、门面及加固筋侧板）等零（部）件组成。架顶设有防尘装置，底部设有防鼠、防倾倒装置，因而整个架体具有良好的防尘、防鼠、防潮、防火、防盗、防倾倒和保密功能。</w:t>
            </w:r>
          </w:p>
          <w:p>
            <w:pPr>
              <w:pStyle w:val="37"/>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2</w:t>
            </w:r>
            <w:r>
              <w:rPr>
                <w:rFonts w:hint="eastAsia" w:ascii="仿宋" w:hAnsi="仿宋" w:eastAsia="仿宋" w:cs="仿宋"/>
                <w:sz w:val="21"/>
                <w:szCs w:val="21"/>
              </w:rPr>
              <w:t>) 底梁</w:t>
            </w:r>
            <w:r>
              <w:rPr>
                <w:rFonts w:hint="eastAsia" w:ascii="仿宋" w:hAnsi="仿宋" w:eastAsia="仿宋" w:cs="仿宋"/>
                <w:kern w:val="0"/>
                <w:sz w:val="21"/>
                <w:szCs w:val="21"/>
              </w:rPr>
              <w:t>采用 3.0mm 优质热轧钢板，</w:t>
            </w:r>
            <w:r>
              <w:rPr>
                <w:rFonts w:hint="eastAsia" w:ascii="仿宋" w:hAnsi="仿宋" w:eastAsia="仿宋" w:cs="仿宋"/>
                <w:sz w:val="21"/>
                <w:szCs w:val="21"/>
              </w:rPr>
              <w:t>底盘采用分段焊接后整体组装式，连接牢固、运输、安装方便，底盘各段连接采用Ml0螺栓紧固，滚轮横梁采用四折成型，确保在外力作用下无任何变形情况发生。底梁下部装有防倒支架以防架体倾倒。底盘两端封头横梁与纵梁牢固焊接，在直角处上、下两平面均焊上三角形加强板，有效保证底盘架体不扭曲、错位、变形</w:t>
            </w:r>
            <w:r>
              <w:rPr>
                <w:rFonts w:hint="eastAsia" w:ascii="仿宋" w:hAnsi="仿宋" w:eastAsia="仿宋" w:cs="仿宋"/>
                <w:sz w:val="21"/>
                <w:szCs w:val="21"/>
                <w:lang w:eastAsia="zh-CN"/>
              </w:rPr>
              <w:t>。</w:t>
            </w:r>
            <w:r>
              <w:rPr>
                <w:rFonts w:hint="eastAsia" w:ascii="仿宋" w:hAnsi="仿宋" w:eastAsia="仿宋" w:cs="仿宋"/>
                <w:b/>
                <w:bCs/>
                <w:sz w:val="21"/>
                <w:szCs w:val="21"/>
                <w:lang w:val="en-US" w:eastAsia="zh-CN"/>
              </w:rPr>
              <w:t>密集架产品符合</w:t>
            </w:r>
            <w:r>
              <w:rPr>
                <w:rFonts w:hint="eastAsia" w:ascii="仿宋" w:hAnsi="仿宋" w:eastAsia="仿宋" w:cs="仿宋"/>
                <w:b/>
                <w:bCs/>
                <w:sz w:val="21"/>
                <w:szCs w:val="21"/>
              </w:rPr>
              <w:t>①硬度≥0.6；②冲击强度（冲击高度500mm，应无剥落、裂纹、皱纹）；③附着力 ≤1 级；④耐腐蚀≥1000h；⑤甲醛释放量≤0.05mg/m</w:t>
            </w:r>
            <w:r>
              <w:rPr>
                <w:rFonts w:hint="eastAsia" w:ascii="仿宋" w:hAnsi="仿宋" w:eastAsia="仿宋" w:cs="仿宋"/>
                <w:b/>
                <w:bCs/>
                <w:sz w:val="21"/>
                <w:szCs w:val="21"/>
                <w:vertAlign w:val="superscript"/>
              </w:rPr>
              <w:t>3</w:t>
            </w:r>
            <w:r>
              <w:rPr>
                <w:rFonts w:hint="eastAsia" w:ascii="仿宋" w:hAnsi="仿宋" w:eastAsia="仿宋" w:cs="仿宋"/>
                <w:b/>
                <w:bCs/>
                <w:sz w:val="21"/>
                <w:szCs w:val="21"/>
              </w:rPr>
              <w:t xml:space="preserve"> 、苯≤0.05mg/m</w:t>
            </w:r>
            <w:r>
              <w:rPr>
                <w:rFonts w:hint="eastAsia" w:ascii="仿宋" w:hAnsi="仿宋" w:eastAsia="仿宋" w:cs="仿宋"/>
                <w:b/>
                <w:bCs/>
                <w:sz w:val="21"/>
                <w:szCs w:val="21"/>
                <w:vertAlign w:val="superscript"/>
              </w:rPr>
              <w:t>3</w:t>
            </w:r>
            <w:r>
              <w:rPr>
                <w:rFonts w:hint="eastAsia" w:ascii="仿宋" w:hAnsi="仿宋" w:eastAsia="仿宋" w:cs="仿宋"/>
                <w:b/>
                <w:bCs/>
                <w:sz w:val="21"/>
                <w:szCs w:val="21"/>
              </w:rPr>
              <w:t xml:space="preserve"> 、甲苯≤0.1mg/m</w:t>
            </w:r>
            <w:r>
              <w:rPr>
                <w:rFonts w:hint="eastAsia" w:ascii="仿宋" w:hAnsi="仿宋" w:eastAsia="仿宋" w:cs="仿宋"/>
                <w:b/>
                <w:bCs/>
                <w:sz w:val="21"/>
                <w:szCs w:val="21"/>
                <w:vertAlign w:val="superscript"/>
              </w:rPr>
              <w:t>3</w:t>
            </w:r>
            <w:r>
              <w:rPr>
                <w:rFonts w:hint="eastAsia" w:ascii="仿宋" w:hAnsi="仿宋" w:eastAsia="仿宋" w:cs="仿宋"/>
                <w:b/>
                <w:bCs/>
                <w:sz w:val="21"/>
                <w:szCs w:val="21"/>
              </w:rPr>
              <w:t xml:space="preserve"> 、二甲苯≤0.1mg/m</w:t>
            </w:r>
            <w:r>
              <w:rPr>
                <w:rFonts w:hint="eastAsia" w:ascii="仿宋" w:hAnsi="仿宋" w:eastAsia="仿宋" w:cs="仿宋"/>
                <w:b/>
                <w:bCs/>
                <w:sz w:val="21"/>
                <w:szCs w:val="21"/>
                <w:vertAlign w:val="superscript"/>
              </w:rPr>
              <w:t>3</w:t>
            </w:r>
            <w:r>
              <w:rPr>
                <w:rFonts w:hint="eastAsia" w:ascii="仿宋" w:hAnsi="仿宋" w:eastAsia="仿宋" w:cs="仿宋"/>
                <w:b/>
                <w:bCs/>
                <w:sz w:val="21"/>
                <w:szCs w:val="21"/>
              </w:rPr>
              <w:t xml:space="preserve"> 、总挥发性有机化合物TVOC≤0.3mg/m</w:t>
            </w:r>
            <w:r>
              <w:rPr>
                <w:rFonts w:hint="eastAsia" w:ascii="仿宋" w:hAnsi="仿宋" w:eastAsia="仿宋" w:cs="仿宋"/>
                <w:b/>
                <w:bCs/>
                <w:sz w:val="21"/>
                <w:szCs w:val="21"/>
                <w:vertAlign w:val="superscript"/>
              </w:rPr>
              <w:t>3</w:t>
            </w:r>
            <w:r>
              <w:rPr>
                <w:rFonts w:hint="eastAsia" w:ascii="仿宋" w:hAnsi="仿宋" w:eastAsia="仿宋" w:cs="仿宋"/>
                <w:b/>
                <w:bCs/>
                <w:sz w:val="21"/>
                <w:szCs w:val="21"/>
              </w:rPr>
              <w:t xml:space="preserve"> ；⑥可迁移元素：铅＜0.5mg/kg、镉＜0.5mg/kg、汞＜0.5mg/kg、铬＜0.5mg/kg、锑＜0.5mg/kg、钡＜0.5mg/kg、砷＜0.5mg/kg、硒＜0.5mg/kg；⑦装配要求；⑧搁板静载荷(载荷值：900N)；⑨全静载荷；⑩载重运行；⑪防尘门打开时的空载稳定性；⑫防尘门打开时的加载稳定性（1000N）；⑬活动部件关闭时的空载稳定性；⑭活动部件关闭时的加载稳定性；⑮搁板水平加载稳定性（100N）；⑯中性盐雾1000小时,达到10级；⑰覆盖层厚度。</w:t>
            </w:r>
            <w:r>
              <w:rPr>
                <w:rFonts w:hint="eastAsia" w:ascii="仿宋" w:hAnsi="仿宋" w:eastAsia="仿宋" w:cs="仿宋"/>
                <w:b/>
                <w:bCs/>
                <w:color w:val="auto"/>
                <w:kern w:val="2"/>
                <w:sz w:val="21"/>
                <w:szCs w:val="21"/>
                <w:highlight w:val="none"/>
                <w:lang w:val="en-US" w:eastAsia="zh-CN" w:bidi="ar-SA"/>
              </w:rPr>
              <w:t>投标人提供国家认可的省级及以上检验机构出具的带“CMA”和“CNAS”标识的抽样检验报告</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 立柱（</w:t>
            </w:r>
            <w:r>
              <w:rPr>
                <w:rFonts w:hint="eastAsia" w:ascii="仿宋" w:hAnsi="仿宋" w:eastAsia="仿宋" w:cs="仿宋"/>
                <w:b/>
                <w:bCs/>
                <w:sz w:val="21"/>
                <w:szCs w:val="21"/>
              </w:rPr>
              <w:t>双P型立柱）</w:t>
            </w:r>
            <w:r>
              <w:rPr>
                <w:rFonts w:hint="eastAsia" w:ascii="仿宋" w:hAnsi="仿宋" w:eastAsia="仿宋" w:cs="仿宋"/>
                <w:sz w:val="21"/>
                <w:szCs w:val="21"/>
              </w:rPr>
              <w:t>：采用1.5mm优质冷轧钢板一次滚压成型，立柱正面49mm，</w:t>
            </w:r>
            <w:r>
              <w:rPr>
                <w:rFonts w:hint="eastAsia" w:ascii="仿宋" w:hAnsi="仿宋" w:eastAsia="仿宋" w:cs="仿宋"/>
                <w:sz w:val="21"/>
                <w:szCs w:val="21"/>
                <w:lang w:val="en-US" w:eastAsia="zh-CN"/>
              </w:rPr>
              <w:t>正面压两条筋，深度为2mm，宽度为6mm，</w:t>
            </w:r>
            <w:r>
              <w:rPr>
                <w:rFonts w:hint="eastAsia" w:ascii="仿宋" w:hAnsi="仿宋" w:eastAsia="仿宋" w:cs="仿宋"/>
                <w:sz w:val="21"/>
                <w:szCs w:val="21"/>
              </w:rPr>
              <w:t>两截面38mm，允许公差±0.3mm。</w:t>
            </w:r>
            <w:r>
              <w:rPr>
                <w:rFonts w:hint="eastAsia" w:ascii="仿宋" w:hAnsi="仿宋" w:eastAsia="仿宋" w:cs="仿宋"/>
                <w:sz w:val="21"/>
                <w:szCs w:val="21"/>
                <w:lang w:val="en-US" w:eastAsia="zh-CN"/>
              </w:rPr>
              <w:t>两侧面各压两条筋，深度为2mm，宽度为6mm，</w:t>
            </w:r>
            <w:r>
              <w:rPr>
                <w:rFonts w:hint="eastAsia" w:ascii="仿宋" w:hAnsi="仿宋" w:eastAsia="仿宋" w:cs="仿宋"/>
                <w:sz w:val="21"/>
                <w:szCs w:val="21"/>
              </w:rPr>
              <w:t>压筋立柱设计更人性，外形美观，结构新颖，承重能力强，钢性足。立柱均匀冲孔，层数和间距可按需要调整。立柱</w:t>
            </w:r>
            <w:r>
              <w:rPr>
                <w:rFonts w:hint="eastAsia" w:ascii="仿宋" w:hAnsi="仿宋" w:eastAsia="仿宋" w:cs="仿宋"/>
                <w:b/>
                <w:bCs/>
                <w:sz w:val="21"/>
                <w:szCs w:val="21"/>
              </w:rPr>
              <w:t>（双P型立柱）产品符合GB/T 3325-2017、GB/T 35607-2017、GB/T 10125-2012、GB/T 4957-2003、GB/T 1732-1993标准；标准要求；内容至少包括：</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1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①</w:t>
            </w:r>
            <w:r>
              <w:rPr>
                <w:rFonts w:hint="eastAsia" w:ascii="仿宋" w:hAnsi="仿宋" w:eastAsia="仿宋" w:cs="仿宋"/>
                <w:b/>
                <w:bCs/>
                <w:sz w:val="21"/>
                <w:szCs w:val="21"/>
              </w:rPr>
              <w:fldChar w:fldCharType="end"/>
            </w:r>
            <w:r>
              <w:rPr>
                <w:rFonts w:hint="eastAsia" w:ascii="仿宋" w:hAnsi="仿宋" w:eastAsia="仿宋" w:cs="仿宋"/>
                <w:b/>
                <w:bCs/>
                <w:sz w:val="21"/>
                <w:szCs w:val="21"/>
              </w:rPr>
              <w:t>耐腐蚀≥1000小时；</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2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②</w:t>
            </w:r>
            <w:r>
              <w:rPr>
                <w:rFonts w:hint="eastAsia" w:ascii="仿宋" w:hAnsi="仿宋" w:eastAsia="仿宋" w:cs="仿宋"/>
                <w:b/>
                <w:bCs/>
                <w:sz w:val="21"/>
                <w:szCs w:val="21"/>
              </w:rPr>
              <w:fldChar w:fldCharType="end"/>
            </w:r>
            <w:r>
              <w:rPr>
                <w:rFonts w:hint="eastAsia" w:ascii="仿宋" w:hAnsi="仿宋" w:eastAsia="仿宋" w:cs="仿宋"/>
                <w:b/>
                <w:bCs/>
                <w:sz w:val="21"/>
                <w:szCs w:val="21"/>
              </w:rPr>
              <w:t>冲击强度（冲击高度500mm，应无剥落、裂纹、皱纹）；</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3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③</w:t>
            </w:r>
            <w:r>
              <w:rPr>
                <w:rFonts w:hint="eastAsia" w:ascii="仿宋" w:hAnsi="仿宋" w:eastAsia="仿宋" w:cs="仿宋"/>
                <w:b/>
                <w:bCs/>
                <w:sz w:val="21"/>
                <w:szCs w:val="21"/>
              </w:rPr>
              <w:fldChar w:fldCharType="end"/>
            </w:r>
            <w:r>
              <w:rPr>
                <w:rFonts w:hint="eastAsia" w:ascii="仿宋" w:hAnsi="仿宋" w:eastAsia="仿宋" w:cs="仿宋"/>
                <w:b/>
                <w:bCs/>
                <w:sz w:val="21"/>
                <w:szCs w:val="21"/>
              </w:rPr>
              <w:t>硬度≥3H；</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4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④</w:t>
            </w:r>
            <w:r>
              <w:rPr>
                <w:rFonts w:hint="eastAsia" w:ascii="仿宋" w:hAnsi="仿宋" w:eastAsia="仿宋" w:cs="仿宋"/>
                <w:b/>
                <w:bCs/>
                <w:sz w:val="21"/>
                <w:szCs w:val="21"/>
              </w:rPr>
              <w:fldChar w:fldCharType="end"/>
            </w:r>
            <w:r>
              <w:rPr>
                <w:rFonts w:hint="eastAsia" w:ascii="仿宋" w:hAnsi="仿宋" w:eastAsia="仿宋" w:cs="仿宋"/>
                <w:b/>
                <w:bCs/>
                <w:sz w:val="21"/>
                <w:szCs w:val="21"/>
              </w:rPr>
              <w:t>附着力 ≤1 级；</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5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⑤</w:t>
            </w:r>
            <w:r>
              <w:rPr>
                <w:rFonts w:hint="eastAsia" w:ascii="仿宋" w:hAnsi="仿宋" w:eastAsia="仿宋" w:cs="仿宋"/>
                <w:b/>
                <w:bCs/>
                <w:sz w:val="21"/>
                <w:szCs w:val="21"/>
              </w:rPr>
              <w:fldChar w:fldCharType="end"/>
            </w:r>
            <w:r>
              <w:rPr>
                <w:rFonts w:hint="eastAsia" w:ascii="仿宋" w:hAnsi="仿宋" w:eastAsia="仿宋" w:cs="仿宋"/>
                <w:b/>
                <w:bCs/>
                <w:sz w:val="21"/>
                <w:szCs w:val="21"/>
              </w:rPr>
              <w:t>可迁移元素：铅＜0.5mg/kg、镉＜0.5mg/kg、汞＜0.5mg/kg、铬＜0.5mg/kg、锑＜0.5mg/kg、钡＜0.5mg/kg、砷＜0.5mg/kg、硒＜0.5mg/kg；</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6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⑥</w:t>
            </w:r>
            <w:r>
              <w:rPr>
                <w:rFonts w:hint="eastAsia" w:ascii="仿宋" w:hAnsi="仿宋" w:eastAsia="仿宋" w:cs="仿宋"/>
                <w:b/>
                <w:bCs/>
                <w:sz w:val="21"/>
                <w:szCs w:val="21"/>
              </w:rPr>
              <w:fldChar w:fldCharType="end"/>
            </w:r>
            <w:r>
              <w:rPr>
                <w:rFonts w:hint="eastAsia" w:ascii="仿宋" w:hAnsi="仿宋" w:eastAsia="仿宋" w:cs="仿宋"/>
                <w:b/>
                <w:bCs/>
                <w:sz w:val="21"/>
                <w:szCs w:val="21"/>
              </w:rPr>
              <w:t>中性盐雾1000h，达到10级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7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⑦</w:t>
            </w:r>
            <w:r>
              <w:rPr>
                <w:rFonts w:hint="eastAsia" w:ascii="仿宋" w:hAnsi="仿宋" w:eastAsia="仿宋" w:cs="仿宋"/>
                <w:b/>
                <w:bCs/>
                <w:sz w:val="21"/>
                <w:szCs w:val="21"/>
              </w:rPr>
              <w:fldChar w:fldCharType="end"/>
            </w:r>
            <w:r>
              <w:rPr>
                <w:rFonts w:hint="eastAsia" w:ascii="仿宋" w:hAnsi="仿宋" w:eastAsia="仿宋" w:cs="仿宋"/>
                <w:b/>
                <w:bCs/>
                <w:sz w:val="21"/>
                <w:szCs w:val="21"/>
              </w:rPr>
              <w:t>覆盖层厚度；</w:t>
            </w:r>
            <w:r>
              <w:rPr>
                <w:rFonts w:hint="eastAsia" w:ascii="仿宋" w:hAnsi="仿宋" w:eastAsia="仿宋" w:cs="仿宋"/>
                <w:b/>
                <w:bCs/>
                <w:color w:val="auto"/>
                <w:kern w:val="2"/>
                <w:sz w:val="21"/>
                <w:szCs w:val="21"/>
                <w:highlight w:val="none"/>
                <w:lang w:val="en-US" w:eastAsia="zh-CN" w:bidi="ar-SA"/>
              </w:rPr>
              <w:t>投标人提供国家认可的省级及以上检验机构出具的带“CMA”和“CNAS”标识的抽样检验报告</w:t>
            </w:r>
          </w:p>
          <w:p>
            <w:pPr>
              <w:pStyle w:val="37"/>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4</w:t>
            </w:r>
            <w:r>
              <w:rPr>
                <w:rFonts w:hint="eastAsia" w:ascii="仿宋" w:hAnsi="仿宋" w:eastAsia="仿宋" w:cs="仿宋"/>
                <w:sz w:val="21"/>
                <w:szCs w:val="21"/>
              </w:rPr>
              <w:t>) 挂板（</w:t>
            </w:r>
            <w:r>
              <w:rPr>
                <w:rFonts w:hint="eastAsia" w:ascii="仿宋" w:hAnsi="仿宋" w:eastAsia="仿宋" w:cs="仿宋"/>
                <w:b/>
                <w:bCs/>
                <w:sz w:val="21"/>
                <w:szCs w:val="21"/>
              </w:rPr>
              <w:t>双菱形孔挂板）</w:t>
            </w:r>
            <w:r>
              <w:rPr>
                <w:rFonts w:hint="eastAsia" w:ascii="仿宋" w:hAnsi="仿宋" w:eastAsia="仿宋" w:cs="仿宋"/>
                <w:sz w:val="21"/>
                <w:szCs w:val="21"/>
              </w:rPr>
              <w:t>：采用1.</w:t>
            </w:r>
            <w:r>
              <w:rPr>
                <w:rFonts w:hint="eastAsia" w:ascii="仿宋" w:hAnsi="仿宋" w:eastAsia="仿宋" w:cs="仿宋"/>
                <w:sz w:val="21"/>
                <w:szCs w:val="21"/>
                <w:lang w:val="en-US" w:eastAsia="zh-CN"/>
              </w:rPr>
              <w:t>0</w:t>
            </w:r>
            <w:r>
              <w:rPr>
                <w:rFonts w:hint="eastAsia" w:ascii="仿宋" w:hAnsi="仿宋" w:eastAsia="仿宋" w:cs="仿宋"/>
                <w:sz w:val="21"/>
                <w:szCs w:val="21"/>
              </w:rPr>
              <w:t>mm优质冷轧钢板，一体成型两个菱形孔使整体坚固耐用，</w:t>
            </w:r>
            <w:r>
              <w:rPr>
                <w:rFonts w:hint="eastAsia" w:ascii="仿宋" w:hAnsi="仿宋" w:eastAsia="仿宋" w:cs="仿宋"/>
                <w:b w:val="0"/>
                <w:bCs w:val="0"/>
                <w:sz w:val="21"/>
                <w:szCs w:val="21"/>
              </w:rPr>
              <w:t>菱形的尺寸</w:t>
            </w:r>
            <w:r>
              <w:rPr>
                <w:rFonts w:hint="eastAsia" w:ascii="仿宋" w:hAnsi="仿宋" w:eastAsia="仿宋" w:cs="仿宋"/>
                <w:b w:val="0"/>
                <w:bCs w:val="0"/>
                <w:sz w:val="21"/>
                <w:szCs w:val="21"/>
                <w:lang w:val="en-US" w:eastAsia="zh-CN"/>
              </w:rPr>
              <w:t>为长116mm</w:t>
            </w:r>
            <w:r>
              <w:rPr>
                <w:rFonts w:hint="eastAsia" w:ascii="仿宋" w:hAnsi="仿宋" w:eastAsia="仿宋" w:cs="仿宋"/>
                <w:b w:val="0"/>
                <w:bCs w:val="0"/>
                <w:sz w:val="21"/>
                <w:szCs w:val="21"/>
              </w:rPr>
              <w:t>x</w:t>
            </w:r>
            <w:r>
              <w:rPr>
                <w:rFonts w:hint="eastAsia" w:ascii="仿宋" w:hAnsi="仿宋" w:eastAsia="仿宋" w:cs="仿宋"/>
                <w:b w:val="0"/>
                <w:bCs w:val="0"/>
                <w:sz w:val="21"/>
                <w:szCs w:val="21"/>
                <w:lang w:val="en-US" w:eastAsia="zh-CN"/>
              </w:rPr>
              <w:t>宽50mm，深度为2mm，正面拉筋长130mm，宽7mm，深2mm，</w:t>
            </w:r>
            <w:r>
              <w:rPr>
                <w:rFonts w:hint="eastAsia" w:ascii="仿宋" w:hAnsi="仿宋" w:eastAsia="仿宋" w:cs="仿宋"/>
                <w:sz w:val="21"/>
                <w:szCs w:val="21"/>
              </w:rPr>
              <w:t>挂板中间档棒孔为I 型结构，档棒插入方孔后可挂扣在U形上，可防止档棒两端滑落，组装后平整、牢固。承重性好，外观新颖，可防止搁板前后窜动，通用性互换性好。表面再采用酸洗磷化后进行喷塑处理，外形美观，色泽鲜亮，使基本材质不会腐蚀，经久耐用。挂板与立柱之间连接方式采用四挂钩扣接，强度高，承重性能更优越，挂板与立柱对接处更牢固。（详见附图）。</w:t>
            </w:r>
            <w:r>
              <w:rPr>
                <w:rFonts w:hint="eastAsia" w:ascii="仿宋" w:hAnsi="仿宋" w:eastAsia="仿宋" w:cs="仿宋"/>
                <w:b/>
                <w:bCs/>
                <w:sz w:val="21"/>
                <w:szCs w:val="21"/>
              </w:rPr>
              <w:t>（双菱形孔挂板）产品符合GB/T 3325-2017、GB/T 35607-2017、GB/T 10125-2012、GB/T 4957-2003、GB/T 1732-1993标准要求；内容至少包括：</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1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①</w:t>
            </w:r>
            <w:r>
              <w:rPr>
                <w:rFonts w:hint="eastAsia" w:ascii="仿宋" w:hAnsi="仿宋" w:eastAsia="仿宋" w:cs="仿宋"/>
                <w:b/>
                <w:bCs/>
                <w:sz w:val="21"/>
                <w:szCs w:val="21"/>
              </w:rPr>
              <w:fldChar w:fldCharType="end"/>
            </w:r>
            <w:r>
              <w:rPr>
                <w:rFonts w:hint="eastAsia" w:ascii="仿宋" w:hAnsi="仿宋" w:eastAsia="仿宋" w:cs="仿宋"/>
                <w:b/>
                <w:bCs/>
                <w:sz w:val="21"/>
                <w:szCs w:val="21"/>
              </w:rPr>
              <w:t>耐腐蚀≥1000小时；</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2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②</w:t>
            </w:r>
            <w:r>
              <w:rPr>
                <w:rFonts w:hint="eastAsia" w:ascii="仿宋" w:hAnsi="仿宋" w:eastAsia="仿宋" w:cs="仿宋"/>
                <w:b/>
                <w:bCs/>
                <w:sz w:val="21"/>
                <w:szCs w:val="21"/>
              </w:rPr>
              <w:fldChar w:fldCharType="end"/>
            </w:r>
            <w:r>
              <w:rPr>
                <w:rFonts w:hint="eastAsia" w:ascii="仿宋" w:hAnsi="仿宋" w:eastAsia="仿宋" w:cs="仿宋"/>
                <w:b/>
                <w:bCs/>
                <w:sz w:val="21"/>
                <w:szCs w:val="21"/>
              </w:rPr>
              <w:t>冲击强度（冲击高度500mm，应无剥落、裂纹、皱纹）；</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3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③</w:t>
            </w:r>
            <w:r>
              <w:rPr>
                <w:rFonts w:hint="eastAsia" w:ascii="仿宋" w:hAnsi="仿宋" w:eastAsia="仿宋" w:cs="仿宋"/>
                <w:b/>
                <w:bCs/>
                <w:sz w:val="21"/>
                <w:szCs w:val="21"/>
              </w:rPr>
              <w:fldChar w:fldCharType="end"/>
            </w:r>
            <w:r>
              <w:rPr>
                <w:rFonts w:hint="eastAsia" w:ascii="仿宋" w:hAnsi="仿宋" w:eastAsia="仿宋" w:cs="仿宋"/>
                <w:b/>
                <w:bCs/>
                <w:sz w:val="21"/>
                <w:szCs w:val="21"/>
              </w:rPr>
              <w:t>硬度≥3H；</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4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④</w:t>
            </w:r>
            <w:r>
              <w:rPr>
                <w:rFonts w:hint="eastAsia" w:ascii="仿宋" w:hAnsi="仿宋" w:eastAsia="仿宋" w:cs="仿宋"/>
                <w:b/>
                <w:bCs/>
                <w:sz w:val="21"/>
                <w:szCs w:val="21"/>
              </w:rPr>
              <w:fldChar w:fldCharType="end"/>
            </w:r>
            <w:r>
              <w:rPr>
                <w:rFonts w:hint="eastAsia" w:ascii="仿宋" w:hAnsi="仿宋" w:eastAsia="仿宋" w:cs="仿宋"/>
                <w:b/>
                <w:bCs/>
                <w:sz w:val="21"/>
                <w:szCs w:val="21"/>
              </w:rPr>
              <w:t>附着力 ≤1 级；</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5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⑤</w:t>
            </w:r>
            <w:r>
              <w:rPr>
                <w:rFonts w:hint="eastAsia" w:ascii="仿宋" w:hAnsi="仿宋" w:eastAsia="仿宋" w:cs="仿宋"/>
                <w:b/>
                <w:bCs/>
                <w:sz w:val="21"/>
                <w:szCs w:val="21"/>
              </w:rPr>
              <w:fldChar w:fldCharType="end"/>
            </w:r>
            <w:r>
              <w:rPr>
                <w:rFonts w:hint="eastAsia" w:ascii="仿宋" w:hAnsi="仿宋" w:eastAsia="仿宋" w:cs="仿宋"/>
                <w:b/>
                <w:bCs/>
                <w:sz w:val="21"/>
                <w:szCs w:val="21"/>
              </w:rPr>
              <w:t>可迁移元素：铅＜0.5mg/kg、镉＜0.5mg/kg、汞＜0.5mg/kg、铬＜0.5mg/kg、锑＜0.5mg/kg、钡＜0.5mg/kg、砷＜0.5mg/kg、硒＜0.5mg/kg；</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6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⑥</w:t>
            </w:r>
            <w:r>
              <w:rPr>
                <w:rFonts w:hint="eastAsia" w:ascii="仿宋" w:hAnsi="仿宋" w:eastAsia="仿宋" w:cs="仿宋"/>
                <w:b/>
                <w:bCs/>
                <w:sz w:val="21"/>
                <w:szCs w:val="21"/>
              </w:rPr>
              <w:fldChar w:fldCharType="end"/>
            </w:r>
            <w:r>
              <w:rPr>
                <w:rFonts w:hint="eastAsia" w:ascii="仿宋" w:hAnsi="仿宋" w:eastAsia="仿宋" w:cs="仿宋"/>
                <w:b/>
                <w:bCs/>
                <w:sz w:val="21"/>
                <w:szCs w:val="21"/>
              </w:rPr>
              <w:t>中性盐雾1000h，达到10级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7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⑦</w:t>
            </w:r>
            <w:r>
              <w:rPr>
                <w:rFonts w:hint="eastAsia" w:ascii="仿宋" w:hAnsi="仿宋" w:eastAsia="仿宋" w:cs="仿宋"/>
                <w:b/>
                <w:bCs/>
                <w:sz w:val="21"/>
                <w:szCs w:val="21"/>
              </w:rPr>
              <w:fldChar w:fldCharType="end"/>
            </w:r>
            <w:r>
              <w:rPr>
                <w:rFonts w:hint="eastAsia" w:ascii="仿宋" w:hAnsi="仿宋" w:eastAsia="仿宋" w:cs="仿宋"/>
                <w:b/>
                <w:bCs/>
                <w:sz w:val="21"/>
                <w:szCs w:val="21"/>
              </w:rPr>
              <w:t>覆盖层厚度；</w:t>
            </w:r>
            <w:r>
              <w:rPr>
                <w:rFonts w:hint="eastAsia" w:ascii="仿宋" w:hAnsi="仿宋" w:eastAsia="仿宋" w:cs="仿宋"/>
                <w:b/>
                <w:bCs/>
                <w:color w:val="auto"/>
                <w:kern w:val="2"/>
                <w:sz w:val="21"/>
                <w:szCs w:val="21"/>
                <w:highlight w:val="none"/>
                <w:lang w:val="en-US" w:eastAsia="zh-CN" w:bidi="ar-SA"/>
              </w:rPr>
              <w:t>投标人提供国家认可的省级及以上检验机构出具的带“CMA”和“CNAS”标识的抽样检验报告</w:t>
            </w:r>
          </w:p>
          <w:tbl>
            <w:tblPr>
              <w:tblStyle w:val="23"/>
              <w:tblW w:w="0" w:type="auto"/>
              <w:jc w:val="center"/>
              <w:tblLayout w:type="fixed"/>
              <w:tblCellMar>
                <w:top w:w="0" w:type="dxa"/>
                <w:left w:w="108" w:type="dxa"/>
                <w:bottom w:w="0" w:type="dxa"/>
                <w:right w:w="108" w:type="dxa"/>
              </w:tblCellMar>
            </w:tblPr>
            <w:tblGrid>
              <w:gridCol w:w="3580"/>
            </w:tblGrid>
            <w:tr>
              <w:tblPrEx>
                <w:tblCellMar>
                  <w:top w:w="0" w:type="dxa"/>
                  <w:left w:w="108" w:type="dxa"/>
                  <w:bottom w:w="0" w:type="dxa"/>
                  <w:right w:w="108" w:type="dxa"/>
                </w:tblCellMar>
              </w:tblPrEx>
              <w:trPr>
                <w:trHeight w:val="608" w:hRule="atLeast"/>
                <w:jc w:val="center"/>
              </w:trPr>
              <w:tc>
                <w:tcPr>
                  <w:tcW w:w="358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效果图1</w:t>
                  </w:r>
                </w:p>
              </w:tc>
            </w:tr>
            <w:tr>
              <w:tblPrEx>
                <w:tblCellMar>
                  <w:top w:w="0" w:type="dxa"/>
                  <w:left w:w="108" w:type="dxa"/>
                  <w:bottom w:w="0" w:type="dxa"/>
                  <w:right w:w="108" w:type="dxa"/>
                </w:tblCellMar>
              </w:tblPrEx>
              <w:trPr>
                <w:trHeight w:val="1656" w:hRule="atLeast"/>
                <w:jc w:val="center"/>
              </w:trPr>
              <w:tc>
                <w:tcPr>
                  <w:tcW w:w="3580" w:type="dxa"/>
                  <w:tcBorders>
                    <w:tl2br w:val="nil"/>
                    <w:tr2bl w:val="nil"/>
                  </w:tcBorders>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lang w:eastAsia="zh-CN"/>
                    </w:rPr>
                    <w:drawing>
                      <wp:inline distT="0" distB="0" distL="114300" distR="114300">
                        <wp:extent cx="1442720" cy="907415"/>
                        <wp:effectExtent l="0" t="0" r="5080" b="6985"/>
                        <wp:docPr id="8" name="图片 1" descr="ecbae64ad9736b03f3356a75464be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 descr="ecbae64ad9736b03f3356a75464be206"/>
                                <pic:cNvPicPr>
                                  <a:picLocks noChangeAspect="1"/>
                                </pic:cNvPicPr>
                              </pic:nvPicPr>
                              <pic:blipFill>
                                <a:blip r:embed="rId8"/>
                                <a:stretch>
                                  <a:fillRect/>
                                </a:stretch>
                              </pic:blipFill>
                              <pic:spPr>
                                <a:xfrm>
                                  <a:off x="0" y="0"/>
                                  <a:ext cx="1442720" cy="907415"/>
                                </a:xfrm>
                                <a:prstGeom prst="rect">
                                  <a:avLst/>
                                </a:prstGeom>
                                <a:noFill/>
                                <a:ln>
                                  <a:noFill/>
                                </a:ln>
                              </pic:spPr>
                            </pic:pic>
                          </a:graphicData>
                        </a:graphic>
                      </wp:inline>
                    </w:drawing>
                  </w:r>
                </w:p>
              </w:tc>
            </w:tr>
          </w:tbl>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bCs/>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5</w:t>
            </w:r>
            <w:r>
              <w:rPr>
                <w:rFonts w:hint="eastAsia" w:ascii="仿宋" w:hAnsi="仿宋" w:eastAsia="仿宋" w:cs="仿宋"/>
                <w:sz w:val="21"/>
                <w:szCs w:val="21"/>
              </w:rPr>
              <w:t xml:space="preserve">) </w:t>
            </w:r>
            <w:r>
              <w:rPr>
                <w:rFonts w:hint="eastAsia" w:ascii="仿宋" w:hAnsi="仿宋" w:eastAsia="仿宋" w:cs="仿宋"/>
                <w:b w:val="0"/>
                <w:bCs w:val="0"/>
                <w:sz w:val="21"/>
                <w:szCs w:val="21"/>
              </w:rPr>
              <w:t>搁板（双P型搁板）：采用1.</w:t>
            </w:r>
            <w:r>
              <w:rPr>
                <w:rFonts w:hint="eastAsia" w:ascii="仿宋" w:hAnsi="仿宋" w:eastAsia="仿宋" w:cs="仿宋"/>
                <w:b w:val="0"/>
                <w:bCs w:val="0"/>
                <w:sz w:val="21"/>
                <w:szCs w:val="21"/>
                <w:lang w:val="en-US" w:eastAsia="zh-CN"/>
              </w:rPr>
              <w:t>0</w:t>
            </w:r>
            <w:r>
              <w:rPr>
                <w:rFonts w:hint="eastAsia" w:ascii="仿宋" w:hAnsi="仿宋" w:eastAsia="仿宋" w:cs="仿宋"/>
                <w:b w:val="0"/>
                <w:bCs w:val="0"/>
                <w:sz w:val="21"/>
                <w:szCs w:val="21"/>
              </w:rPr>
              <w:t>mm优质冷轧钢板，侧面两边菱形压纹一次滚压成型，菱形的尺寸</w:t>
            </w:r>
            <w:r>
              <w:rPr>
                <w:rFonts w:hint="eastAsia" w:ascii="仿宋" w:hAnsi="仿宋" w:eastAsia="仿宋" w:cs="仿宋"/>
                <w:b w:val="0"/>
                <w:bCs w:val="0"/>
                <w:sz w:val="21"/>
                <w:szCs w:val="21"/>
                <w:lang w:val="en-US" w:eastAsia="zh-CN"/>
              </w:rPr>
              <w:t>为</w:t>
            </w:r>
            <w:r>
              <w:rPr>
                <w:rFonts w:hint="eastAsia" w:ascii="仿宋" w:hAnsi="仿宋" w:eastAsia="仿宋" w:cs="仿宋"/>
                <w:b w:val="0"/>
                <w:bCs w:val="0"/>
                <w:sz w:val="21"/>
                <w:szCs w:val="21"/>
              </w:rPr>
              <w:t>20</w:t>
            </w:r>
            <w:r>
              <w:rPr>
                <w:rFonts w:hint="eastAsia" w:ascii="仿宋" w:hAnsi="仿宋" w:eastAsia="仿宋" w:cs="仿宋"/>
                <w:b w:val="0"/>
                <w:bCs w:val="0"/>
                <w:sz w:val="21"/>
                <w:szCs w:val="21"/>
                <w:lang w:val="en-US" w:eastAsia="zh-CN"/>
              </w:rPr>
              <w:t>mm</w:t>
            </w:r>
            <w:r>
              <w:rPr>
                <w:rFonts w:hint="eastAsia" w:ascii="仿宋" w:hAnsi="仿宋" w:eastAsia="仿宋" w:cs="仿宋"/>
                <w:b w:val="0"/>
                <w:bCs w:val="0"/>
                <w:sz w:val="21"/>
                <w:szCs w:val="21"/>
              </w:rPr>
              <w:t>x15</w:t>
            </w:r>
            <w:r>
              <w:rPr>
                <w:rFonts w:hint="eastAsia" w:ascii="仿宋" w:hAnsi="仿宋" w:eastAsia="仿宋" w:cs="仿宋"/>
                <w:b w:val="0"/>
                <w:bCs w:val="0"/>
                <w:sz w:val="21"/>
                <w:szCs w:val="21"/>
                <w:lang w:val="en-US" w:eastAsia="zh-CN"/>
              </w:rPr>
              <w:t>mm</w:t>
            </w:r>
            <w:r>
              <w:rPr>
                <w:rFonts w:hint="eastAsia" w:ascii="仿宋" w:hAnsi="仿宋" w:eastAsia="仿宋" w:cs="仿宋"/>
                <w:b w:val="0"/>
                <w:bCs w:val="0"/>
                <w:sz w:val="21"/>
                <w:szCs w:val="21"/>
              </w:rPr>
              <w:t>，</w:t>
            </w:r>
            <w:r>
              <w:rPr>
                <w:rFonts w:hint="eastAsia" w:ascii="仿宋" w:hAnsi="仿宋" w:eastAsia="仿宋" w:cs="仿宋"/>
                <w:b w:val="0"/>
                <w:bCs w:val="0"/>
                <w:sz w:val="21"/>
                <w:szCs w:val="21"/>
                <w:lang w:eastAsia="zh-CN"/>
              </w:rPr>
              <w:t>深度为</w:t>
            </w:r>
            <w:r>
              <w:rPr>
                <w:rFonts w:hint="eastAsia" w:ascii="仿宋" w:hAnsi="仿宋" w:eastAsia="仿宋" w:cs="仿宋"/>
                <w:b w:val="0"/>
                <w:bCs w:val="0"/>
                <w:sz w:val="21"/>
                <w:szCs w:val="21"/>
                <w:lang w:val="en-US" w:eastAsia="zh-CN"/>
              </w:rPr>
              <w:t>2mm,</w:t>
            </w:r>
            <w:r>
              <w:rPr>
                <w:rFonts w:hint="eastAsia" w:ascii="仿宋" w:hAnsi="仿宋" w:eastAsia="仿宋" w:cs="仿宋"/>
                <w:b w:val="0"/>
                <w:bCs w:val="0"/>
                <w:sz w:val="21"/>
                <w:szCs w:val="21"/>
              </w:rPr>
              <w:t>菱形与菱形的间</w:t>
            </w:r>
            <w:r>
              <w:rPr>
                <w:rFonts w:hint="eastAsia" w:ascii="仿宋" w:hAnsi="仿宋" w:eastAsia="仿宋" w:cs="仿宋"/>
                <w:b w:val="0"/>
                <w:bCs w:val="0"/>
                <w:sz w:val="21"/>
                <w:szCs w:val="21"/>
                <w:lang w:val="en-US" w:eastAsia="zh-CN"/>
              </w:rPr>
              <w:t>距为5mm</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rPr>
              <w:t>托板正面压8筋，</w:t>
            </w:r>
            <w:r>
              <w:rPr>
                <w:rFonts w:hint="eastAsia" w:ascii="仿宋" w:hAnsi="仿宋" w:eastAsia="仿宋" w:cs="仿宋"/>
                <w:b w:val="0"/>
                <w:bCs w:val="0"/>
                <w:sz w:val="21"/>
                <w:szCs w:val="21"/>
                <w:lang w:val="en-US" w:eastAsia="zh-CN"/>
              </w:rPr>
              <w:t>筋宽度为6mm，筋深为2mm，筋间距为4mm，两侧筋与边的间距为28mm，</w:t>
            </w:r>
            <w:r>
              <w:rPr>
                <w:rFonts w:hint="eastAsia" w:ascii="仿宋" w:hAnsi="仿宋" w:eastAsia="仿宋" w:cs="仿宋"/>
                <w:b w:val="0"/>
                <w:bCs w:val="0"/>
                <w:sz w:val="21"/>
                <w:szCs w:val="21"/>
              </w:rPr>
              <w:t>隔板外形美观，结构新颖，承重能力强，钢性足。表面采用酸洗磷化后进行喷塑处理，外形美观，结构新颖，色泽鲜亮，使基材不会腐蚀。</w:t>
            </w:r>
            <w:r>
              <w:rPr>
                <w:rFonts w:hint="eastAsia" w:ascii="仿宋" w:hAnsi="仿宋" w:eastAsia="仿宋" w:cs="仿宋"/>
                <w:b/>
                <w:bCs/>
                <w:sz w:val="21"/>
                <w:szCs w:val="21"/>
              </w:rPr>
              <w:t>（详见附图）</w:t>
            </w:r>
            <w:r>
              <w:rPr>
                <w:rFonts w:hint="eastAsia" w:ascii="仿宋" w:hAnsi="仿宋" w:eastAsia="仿宋" w:cs="仿宋"/>
                <w:sz w:val="21"/>
                <w:szCs w:val="21"/>
              </w:rPr>
              <w:t xml:space="preserve"> 搁板</w:t>
            </w:r>
            <w:r>
              <w:rPr>
                <w:rFonts w:hint="eastAsia" w:ascii="仿宋" w:hAnsi="仿宋" w:eastAsia="仿宋" w:cs="仿宋"/>
                <w:b/>
                <w:bCs/>
                <w:sz w:val="21"/>
                <w:szCs w:val="21"/>
              </w:rPr>
              <w:t>（双P型搁板）产品符合GB/T 3325-2017、GB/T 35607-2017、GB/T 10125-2012、GB/T 4957-2003、GB/T 1732-1993标准；内容至少包括：</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1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①</w:t>
            </w:r>
            <w:r>
              <w:rPr>
                <w:rFonts w:hint="eastAsia" w:ascii="仿宋" w:hAnsi="仿宋" w:eastAsia="仿宋" w:cs="仿宋"/>
                <w:b/>
                <w:bCs/>
                <w:sz w:val="21"/>
                <w:szCs w:val="21"/>
              </w:rPr>
              <w:fldChar w:fldCharType="end"/>
            </w:r>
            <w:r>
              <w:rPr>
                <w:rFonts w:hint="eastAsia" w:ascii="仿宋" w:hAnsi="仿宋" w:eastAsia="仿宋" w:cs="仿宋"/>
                <w:b/>
                <w:bCs/>
                <w:sz w:val="21"/>
                <w:szCs w:val="21"/>
              </w:rPr>
              <w:t>耐腐蚀≥1000小时；</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2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②</w:t>
            </w:r>
            <w:r>
              <w:rPr>
                <w:rFonts w:hint="eastAsia" w:ascii="仿宋" w:hAnsi="仿宋" w:eastAsia="仿宋" w:cs="仿宋"/>
                <w:b/>
                <w:bCs/>
                <w:sz w:val="21"/>
                <w:szCs w:val="21"/>
              </w:rPr>
              <w:fldChar w:fldCharType="end"/>
            </w:r>
            <w:r>
              <w:rPr>
                <w:rFonts w:hint="eastAsia" w:ascii="仿宋" w:hAnsi="仿宋" w:eastAsia="仿宋" w:cs="仿宋"/>
                <w:b/>
                <w:bCs/>
                <w:sz w:val="21"/>
                <w:szCs w:val="21"/>
              </w:rPr>
              <w:t>冲击强度（冲击高度500mm，应无剥落、裂纹、皱纹）；</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3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③</w:t>
            </w:r>
            <w:r>
              <w:rPr>
                <w:rFonts w:hint="eastAsia" w:ascii="仿宋" w:hAnsi="仿宋" w:eastAsia="仿宋" w:cs="仿宋"/>
                <w:b/>
                <w:bCs/>
                <w:sz w:val="21"/>
                <w:szCs w:val="21"/>
              </w:rPr>
              <w:fldChar w:fldCharType="end"/>
            </w:r>
            <w:r>
              <w:rPr>
                <w:rFonts w:hint="eastAsia" w:ascii="仿宋" w:hAnsi="仿宋" w:eastAsia="仿宋" w:cs="仿宋"/>
                <w:b/>
                <w:bCs/>
                <w:sz w:val="21"/>
                <w:szCs w:val="21"/>
              </w:rPr>
              <w:t>硬度≥3H；</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4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④</w:t>
            </w:r>
            <w:r>
              <w:rPr>
                <w:rFonts w:hint="eastAsia" w:ascii="仿宋" w:hAnsi="仿宋" w:eastAsia="仿宋" w:cs="仿宋"/>
                <w:b/>
                <w:bCs/>
                <w:sz w:val="21"/>
                <w:szCs w:val="21"/>
              </w:rPr>
              <w:fldChar w:fldCharType="end"/>
            </w:r>
            <w:r>
              <w:rPr>
                <w:rFonts w:hint="eastAsia" w:ascii="仿宋" w:hAnsi="仿宋" w:eastAsia="仿宋" w:cs="仿宋"/>
                <w:b/>
                <w:bCs/>
                <w:sz w:val="21"/>
                <w:szCs w:val="21"/>
              </w:rPr>
              <w:t>附着力 ≤1 级；</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5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⑤</w:t>
            </w:r>
            <w:r>
              <w:rPr>
                <w:rFonts w:hint="eastAsia" w:ascii="仿宋" w:hAnsi="仿宋" w:eastAsia="仿宋" w:cs="仿宋"/>
                <w:b/>
                <w:bCs/>
                <w:sz w:val="21"/>
                <w:szCs w:val="21"/>
              </w:rPr>
              <w:fldChar w:fldCharType="end"/>
            </w:r>
            <w:r>
              <w:rPr>
                <w:rFonts w:hint="eastAsia" w:ascii="仿宋" w:hAnsi="仿宋" w:eastAsia="仿宋" w:cs="仿宋"/>
                <w:b/>
                <w:bCs/>
                <w:sz w:val="21"/>
                <w:szCs w:val="21"/>
              </w:rPr>
              <w:t>可迁移元素：铅＜0.5mg/kg、镉＜0.5mg/kg、汞＜0.5mg/kg、铬＜0.5mg/kg、锑＜0.5mg/kg、钡＜0.5mg/kg、砷＜0.5mg/kg、硒＜0.5mg/kg；</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6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⑥</w:t>
            </w:r>
            <w:r>
              <w:rPr>
                <w:rFonts w:hint="eastAsia" w:ascii="仿宋" w:hAnsi="仿宋" w:eastAsia="仿宋" w:cs="仿宋"/>
                <w:b/>
                <w:bCs/>
                <w:sz w:val="21"/>
                <w:szCs w:val="21"/>
              </w:rPr>
              <w:fldChar w:fldCharType="end"/>
            </w:r>
            <w:r>
              <w:rPr>
                <w:rFonts w:hint="eastAsia" w:ascii="仿宋" w:hAnsi="仿宋" w:eastAsia="仿宋" w:cs="仿宋"/>
                <w:b/>
                <w:bCs/>
                <w:sz w:val="21"/>
                <w:szCs w:val="21"/>
              </w:rPr>
              <w:t>中性盐雾1000h，达到10级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7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⑦</w:t>
            </w:r>
            <w:r>
              <w:rPr>
                <w:rFonts w:hint="eastAsia" w:ascii="仿宋" w:hAnsi="仿宋" w:eastAsia="仿宋" w:cs="仿宋"/>
                <w:b/>
                <w:bCs/>
                <w:sz w:val="21"/>
                <w:szCs w:val="21"/>
              </w:rPr>
              <w:fldChar w:fldCharType="end"/>
            </w:r>
            <w:r>
              <w:rPr>
                <w:rFonts w:hint="eastAsia" w:ascii="仿宋" w:hAnsi="仿宋" w:eastAsia="仿宋" w:cs="仿宋"/>
                <w:b/>
                <w:bCs/>
                <w:sz w:val="21"/>
                <w:szCs w:val="21"/>
              </w:rPr>
              <w:t>覆盖层厚度；</w:t>
            </w:r>
            <w:r>
              <w:rPr>
                <w:rFonts w:hint="eastAsia" w:ascii="仿宋" w:hAnsi="仿宋" w:eastAsia="仿宋" w:cs="仿宋"/>
                <w:b/>
                <w:bCs/>
                <w:color w:val="auto"/>
                <w:kern w:val="2"/>
                <w:sz w:val="21"/>
                <w:szCs w:val="21"/>
                <w:highlight w:val="none"/>
                <w:lang w:val="en-US" w:eastAsia="zh-CN" w:bidi="ar-SA"/>
              </w:rPr>
              <w:t>投标人提供国家认可的省级及以上检验机构出具的带“CMA”和“CNAS”标识的抽样检验报告</w:t>
            </w:r>
          </w:p>
          <w:tbl>
            <w:tblPr>
              <w:tblStyle w:val="23"/>
              <w:tblW w:w="0" w:type="auto"/>
              <w:jc w:val="center"/>
              <w:tblLayout w:type="fixed"/>
              <w:tblCellMar>
                <w:top w:w="0" w:type="dxa"/>
                <w:left w:w="108" w:type="dxa"/>
                <w:bottom w:w="0" w:type="dxa"/>
                <w:right w:w="108" w:type="dxa"/>
              </w:tblCellMar>
            </w:tblPr>
            <w:tblGrid>
              <w:gridCol w:w="2750"/>
            </w:tblGrid>
            <w:tr>
              <w:tblPrEx>
                <w:tblCellMar>
                  <w:top w:w="0" w:type="dxa"/>
                  <w:left w:w="108" w:type="dxa"/>
                  <w:bottom w:w="0" w:type="dxa"/>
                  <w:right w:w="108" w:type="dxa"/>
                </w:tblCellMar>
              </w:tblPrEx>
              <w:trPr>
                <w:trHeight w:val="446" w:hRule="atLeast"/>
                <w:jc w:val="center"/>
              </w:trPr>
              <w:tc>
                <w:tcPr>
                  <w:tcW w:w="2750" w:type="dxa"/>
                  <w:tcBorders>
                    <w:tl2br w:val="nil"/>
                    <w:tr2bl w:val="nil"/>
                  </w:tcBorders>
                  <w:noWrap w:val="0"/>
                  <w:vAlign w:val="center"/>
                </w:tcPr>
                <w:p>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t>效果图</w:t>
                  </w:r>
                </w:p>
              </w:tc>
            </w:tr>
            <w:tr>
              <w:tblPrEx>
                <w:tblCellMar>
                  <w:top w:w="0" w:type="dxa"/>
                  <w:left w:w="108" w:type="dxa"/>
                  <w:bottom w:w="0" w:type="dxa"/>
                  <w:right w:w="108" w:type="dxa"/>
                </w:tblCellMar>
              </w:tblPrEx>
              <w:trPr>
                <w:trHeight w:val="1095" w:hRule="atLeast"/>
                <w:jc w:val="center"/>
              </w:trPr>
              <w:tc>
                <w:tcPr>
                  <w:tcW w:w="2750" w:type="dxa"/>
                  <w:tcBorders>
                    <w:tl2br w:val="nil"/>
                    <w:tr2bl w:val="nil"/>
                  </w:tcBorders>
                  <w:noWrap w:val="0"/>
                  <w:vAlign w:val="center"/>
                </w:tcPr>
                <w:p>
                  <w:pPr>
                    <w:adjustRightInd w:val="0"/>
                    <w:snapToGrid w:val="0"/>
                    <w:spacing w:line="240" w:lineRule="auto"/>
                    <w:jc w:val="center"/>
                    <w:rPr>
                      <w:rFonts w:hint="eastAsia" w:ascii="仿宋" w:hAnsi="仿宋" w:eastAsia="仿宋" w:cs="仿宋"/>
                      <w:sz w:val="21"/>
                      <w:szCs w:val="21"/>
                    </w:rPr>
                  </w:pPr>
                  <w:r>
                    <w:rPr>
                      <w:rFonts w:hint="eastAsia" w:ascii="仿宋" w:hAnsi="仿宋" w:eastAsia="仿宋" w:cs="仿宋"/>
                      <w:sz w:val="21"/>
                      <w:szCs w:val="21"/>
                    </w:rPr>
                    <w:drawing>
                      <wp:inline distT="0" distB="0" distL="114300" distR="114300">
                        <wp:extent cx="1604010" cy="890270"/>
                        <wp:effectExtent l="0" t="0" r="11430" b="8890"/>
                        <wp:docPr id="9" name="图片 2" descr="/private/var/mobile/Containers/Data/Application/401E5B87-8792-4F19-96E0-ED29CEBBF7EF/tmp/insert_image_tmp_dir/2022-03-15 08:51:30.529000.png2022-03-15 08:51:30.529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private/var/mobile/Containers/Data/Application/401E5B87-8792-4F19-96E0-ED29CEBBF7EF/tmp/insert_image_tmp_dir/2022-03-15 08:51:30.529000.png2022-03-15 08:51:30.529000"/>
                                <pic:cNvPicPr>
                                  <a:picLocks noChangeAspect="1"/>
                                </pic:cNvPicPr>
                              </pic:nvPicPr>
                              <pic:blipFill>
                                <a:blip r:embed="rId9"/>
                                <a:stretch>
                                  <a:fillRect/>
                                </a:stretch>
                              </pic:blipFill>
                              <pic:spPr>
                                <a:xfrm>
                                  <a:off x="0" y="0"/>
                                  <a:ext cx="1604010" cy="890270"/>
                                </a:xfrm>
                                <a:prstGeom prst="rect">
                                  <a:avLst/>
                                </a:prstGeom>
                                <a:noFill/>
                                <a:ln>
                                  <a:noFill/>
                                </a:ln>
                              </pic:spPr>
                            </pic:pic>
                          </a:graphicData>
                        </a:graphic>
                      </wp:inline>
                    </w:drawing>
                  </w:r>
                </w:p>
              </w:tc>
            </w:tr>
          </w:tbl>
          <w:p>
            <w:pPr>
              <w:spacing w:line="240" w:lineRule="auto"/>
              <w:rPr>
                <w:rFonts w:hint="eastAsia" w:ascii="仿宋" w:hAnsi="仿宋" w:eastAsia="仿宋" w:cs="仿宋"/>
                <w:sz w:val="21"/>
                <w:szCs w:val="21"/>
              </w:rPr>
            </w:pPr>
          </w:p>
          <w:p>
            <w:pPr>
              <w:pStyle w:val="39"/>
              <w:spacing w:line="240" w:lineRule="auto"/>
              <w:ind w:firstLine="0"/>
              <w:rPr>
                <w:rFonts w:hint="eastAsia" w:ascii="仿宋" w:hAnsi="仿宋" w:eastAsia="仿宋" w:cs="仿宋"/>
                <w:sz w:val="21"/>
                <w:szCs w:val="21"/>
              </w:rPr>
            </w:pPr>
          </w:p>
          <w:p>
            <w:pPr>
              <w:keepNext w:val="0"/>
              <w:keepLines w:val="0"/>
              <w:pageBreakBefore w:val="0"/>
              <w:widowControl w:val="0"/>
              <w:kinsoku/>
              <w:wordWrap/>
              <w:overflowPunct/>
              <w:topLinePunct w:val="0"/>
              <w:autoSpaceDE/>
              <w:autoSpaceDN/>
              <w:bidi w:val="0"/>
              <w:adjustRightInd w:val="0"/>
              <w:snapToGrid w:val="0"/>
              <w:spacing w:line="240" w:lineRule="auto"/>
              <w:ind w:firstLine="420" w:firstLineChars="200"/>
              <w:textAlignment w:val="auto"/>
              <w:rPr>
                <w:rFonts w:hint="eastAsia" w:ascii="仿宋" w:hAnsi="仿宋" w:eastAsia="仿宋" w:cs="仿宋"/>
                <w:b/>
                <w:bCs/>
                <w:sz w:val="21"/>
                <w:szCs w:val="21"/>
              </w:rPr>
            </w:pPr>
            <w:r>
              <w:rPr>
                <w:rFonts w:hint="eastAsia" w:ascii="仿宋" w:hAnsi="仿宋" w:eastAsia="仿宋" w:cs="仿宋"/>
                <w:sz w:val="21"/>
                <w:szCs w:val="21"/>
              </w:rPr>
              <w:t xml:space="preserve"> （</w:t>
            </w:r>
            <w:r>
              <w:rPr>
                <w:rFonts w:hint="eastAsia" w:ascii="仿宋" w:hAnsi="仿宋" w:eastAsia="仿宋" w:cs="仿宋"/>
                <w:sz w:val="21"/>
                <w:szCs w:val="21"/>
                <w:lang w:val="en-US" w:eastAsia="zh-CN"/>
              </w:rPr>
              <w:t>6</w:t>
            </w:r>
            <w:r>
              <w:rPr>
                <w:rFonts w:hint="eastAsia" w:ascii="仿宋" w:hAnsi="仿宋" w:eastAsia="仿宋" w:cs="仿宋"/>
                <w:sz w:val="21"/>
                <w:szCs w:val="21"/>
              </w:rPr>
              <w:t>）侧板(</w:t>
            </w:r>
            <w:r>
              <w:rPr>
                <w:rFonts w:hint="eastAsia" w:ascii="仿宋" w:hAnsi="仿宋" w:eastAsia="仿宋" w:cs="仿宋"/>
                <w:b/>
                <w:bCs/>
                <w:sz w:val="21"/>
                <w:szCs w:val="21"/>
              </w:rPr>
              <w:t>加固筋侧板）</w:t>
            </w:r>
            <w:r>
              <w:rPr>
                <w:rFonts w:hint="eastAsia" w:ascii="仿宋" w:hAnsi="仿宋" w:eastAsia="仿宋" w:cs="仿宋"/>
                <w:sz w:val="21"/>
                <w:szCs w:val="21"/>
              </w:rPr>
              <w:t>：采用1.0mm优质冷轧钢板制成,整块侧板，款式新颖、结构独特、造型美观，强度高，正面按压不变形。侧板</w:t>
            </w:r>
            <w:r>
              <w:rPr>
                <w:rFonts w:hint="eastAsia" w:ascii="仿宋" w:hAnsi="仿宋" w:eastAsia="仿宋" w:cs="仿宋"/>
                <w:b/>
                <w:bCs/>
                <w:sz w:val="21"/>
                <w:szCs w:val="21"/>
              </w:rPr>
              <w:t>（加固筋侧板）所投侧板需满足GB/T 3325-2017、GB/T 35607-2017、GB/T 10125-2012、GB/T 4957-2003、GB/T 1732-1993标准要求；内容至少包括：</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1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①</w:t>
            </w:r>
            <w:r>
              <w:rPr>
                <w:rFonts w:hint="eastAsia" w:ascii="仿宋" w:hAnsi="仿宋" w:eastAsia="仿宋" w:cs="仿宋"/>
                <w:b/>
                <w:bCs/>
                <w:sz w:val="21"/>
                <w:szCs w:val="21"/>
              </w:rPr>
              <w:fldChar w:fldCharType="end"/>
            </w:r>
            <w:r>
              <w:rPr>
                <w:rFonts w:hint="eastAsia" w:ascii="仿宋" w:hAnsi="仿宋" w:eastAsia="仿宋" w:cs="仿宋"/>
                <w:b/>
                <w:bCs/>
                <w:sz w:val="21"/>
                <w:szCs w:val="21"/>
              </w:rPr>
              <w:t>耐腐蚀≥1000小时；</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2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②</w:t>
            </w:r>
            <w:r>
              <w:rPr>
                <w:rFonts w:hint="eastAsia" w:ascii="仿宋" w:hAnsi="仿宋" w:eastAsia="仿宋" w:cs="仿宋"/>
                <w:b/>
                <w:bCs/>
                <w:sz w:val="21"/>
                <w:szCs w:val="21"/>
              </w:rPr>
              <w:fldChar w:fldCharType="end"/>
            </w:r>
            <w:r>
              <w:rPr>
                <w:rFonts w:hint="eastAsia" w:ascii="仿宋" w:hAnsi="仿宋" w:eastAsia="仿宋" w:cs="仿宋"/>
                <w:b/>
                <w:bCs/>
                <w:sz w:val="21"/>
                <w:szCs w:val="21"/>
              </w:rPr>
              <w:t>冲击强度（冲击高度500mm，应无剥落、裂纹、皱纹）；</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3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③</w:t>
            </w:r>
            <w:r>
              <w:rPr>
                <w:rFonts w:hint="eastAsia" w:ascii="仿宋" w:hAnsi="仿宋" w:eastAsia="仿宋" w:cs="仿宋"/>
                <w:b/>
                <w:bCs/>
                <w:sz w:val="21"/>
                <w:szCs w:val="21"/>
              </w:rPr>
              <w:fldChar w:fldCharType="end"/>
            </w:r>
            <w:r>
              <w:rPr>
                <w:rFonts w:hint="eastAsia" w:ascii="仿宋" w:hAnsi="仿宋" w:eastAsia="仿宋" w:cs="仿宋"/>
                <w:b/>
                <w:bCs/>
                <w:sz w:val="21"/>
                <w:szCs w:val="21"/>
              </w:rPr>
              <w:t>硬度≥3H；</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4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④</w:t>
            </w:r>
            <w:r>
              <w:rPr>
                <w:rFonts w:hint="eastAsia" w:ascii="仿宋" w:hAnsi="仿宋" w:eastAsia="仿宋" w:cs="仿宋"/>
                <w:b/>
                <w:bCs/>
                <w:sz w:val="21"/>
                <w:szCs w:val="21"/>
              </w:rPr>
              <w:fldChar w:fldCharType="end"/>
            </w:r>
            <w:r>
              <w:rPr>
                <w:rFonts w:hint="eastAsia" w:ascii="仿宋" w:hAnsi="仿宋" w:eastAsia="仿宋" w:cs="仿宋"/>
                <w:b/>
                <w:bCs/>
                <w:sz w:val="21"/>
                <w:szCs w:val="21"/>
              </w:rPr>
              <w:t>附着力 ≤1 级；</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5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⑤</w:t>
            </w:r>
            <w:r>
              <w:rPr>
                <w:rFonts w:hint="eastAsia" w:ascii="仿宋" w:hAnsi="仿宋" w:eastAsia="仿宋" w:cs="仿宋"/>
                <w:b/>
                <w:bCs/>
                <w:sz w:val="21"/>
                <w:szCs w:val="21"/>
              </w:rPr>
              <w:fldChar w:fldCharType="end"/>
            </w:r>
            <w:r>
              <w:rPr>
                <w:rFonts w:hint="eastAsia" w:ascii="仿宋" w:hAnsi="仿宋" w:eastAsia="仿宋" w:cs="仿宋"/>
                <w:b/>
                <w:bCs/>
                <w:sz w:val="21"/>
                <w:szCs w:val="21"/>
              </w:rPr>
              <w:t>可迁移元素：铅＜0.5mg/kg、镉＜0.5mg/kg、汞＜0.5mg/kg、铬＜0.5mg/kg、锑＜0.5mg/kg、钡＜0.5mg/kg、砷＜0.5mg/kg、硒＜0.5mg/kg；</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6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⑥</w:t>
            </w:r>
            <w:r>
              <w:rPr>
                <w:rFonts w:hint="eastAsia" w:ascii="仿宋" w:hAnsi="仿宋" w:eastAsia="仿宋" w:cs="仿宋"/>
                <w:b/>
                <w:bCs/>
                <w:sz w:val="21"/>
                <w:szCs w:val="21"/>
              </w:rPr>
              <w:fldChar w:fldCharType="end"/>
            </w:r>
            <w:r>
              <w:rPr>
                <w:rFonts w:hint="eastAsia" w:ascii="仿宋" w:hAnsi="仿宋" w:eastAsia="仿宋" w:cs="仿宋"/>
                <w:b/>
                <w:bCs/>
                <w:sz w:val="21"/>
                <w:szCs w:val="21"/>
              </w:rPr>
              <w:t>中性盐雾1000h，达到10级 ；</w:t>
            </w:r>
            <w:r>
              <w:rPr>
                <w:rFonts w:hint="eastAsia" w:ascii="仿宋" w:hAnsi="仿宋" w:eastAsia="仿宋" w:cs="仿宋"/>
                <w:b/>
                <w:bCs/>
                <w:sz w:val="21"/>
                <w:szCs w:val="21"/>
              </w:rPr>
              <w:fldChar w:fldCharType="begin"/>
            </w:r>
            <w:r>
              <w:rPr>
                <w:rFonts w:hint="eastAsia" w:ascii="仿宋" w:hAnsi="仿宋" w:eastAsia="仿宋" w:cs="仿宋"/>
                <w:b/>
                <w:bCs/>
                <w:sz w:val="21"/>
                <w:szCs w:val="21"/>
              </w:rPr>
              <w:instrText xml:space="preserve"> = 7 \* GB3 \* MERGEFORMAT </w:instrText>
            </w:r>
            <w:r>
              <w:rPr>
                <w:rFonts w:hint="eastAsia" w:ascii="仿宋" w:hAnsi="仿宋" w:eastAsia="仿宋" w:cs="仿宋"/>
                <w:b/>
                <w:bCs/>
                <w:sz w:val="21"/>
                <w:szCs w:val="21"/>
              </w:rPr>
              <w:fldChar w:fldCharType="separate"/>
            </w:r>
            <w:r>
              <w:rPr>
                <w:rFonts w:hint="eastAsia" w:ascii="仿宋" w:hAnsi="仿宋" w:eastAsia="仿宋" w:cs="仿宋"/>
                <w:b/>
                <w:bCs/>
                <w:sz w:val="21"/>
                <w:szCs w:val="21"/>
              </w:rPr>
              <w:t>⑦</w:t>
            </w:r>
            <w:r>
              <w:rPr>
                <w:rFonts w:hint="eastAsia" w:ascii="仿宋" w:hAnsi="仿宋" w:eastAsia="仿宋" w:cs="仿宋"/>
                <w:b/>
                <w:bCs/>
                <w:sz w:val="21"/>
                <w:szCs w:val="21"/>
              </w:rPr>
              <w:fldChar w:fldCharType="end"/>
            </w:r>
            <w:r>
              <w:rPr>
                <w:rFonts w:hint="eastAsia" w:ascii="仿宋" w:hAnsi="仿宋" w:eastAsia="仿宋" w:cs="仿宋"/>
                <w:b/>
                <w:bCs/>
                <w:sz w:val="21"/>
                <w:szCs w:val="21"/>
              </w:rPr>
              <w:t>覆盖层厚度；</w:t>
            </w:r>
            <w:r>
              <w:rPr>
                <w:rFonts w:hint="eastAsia" w:ascii="仿宋" w:hAnsi="仿宋" w:eastAsia="仿宋" w:cs="仿宋"/>
                <w:b/>
                <w:bCs/>
                <w:color w:val="auto"/>
                <w:kern w:val="2"/>
                <w:sz w:val="21"/>
                <w:szCs w:val="21"/>
                <w:highlight w:val="none"/>
                <w:lang w:val="en-US" w:eastAsia="zh-CN" w:bidi="ar-SA"/>
              </w:rPr>
              <w:t>投标人提供国家认可的省级及以上检验机构出具的带“CMA”和“CNAS”标识的抽样检验报告</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7</w:t>
            </w:r>
            <w:r>
              <w:rPr>
                <w:rFonts w:hint="eastAsia" w:ascii="仿宋" w:hAnsi="仿宋" w:eastAsia="仿宋" w:cs="仿宋"/>
                <w:sz w:val="21"/>
                <w:szCs w:val="21"/>
              </w:rPr>
              <w:t>）顶板：采用 1.0mm 优质冷轧钢板一次成型，顶板使用螺栓紧固于立柱上端既能加强存储设备的整体刚性又能起到防尘、防水的作用。</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8</w:t>
            </w:r>
            <w:r>
              <w:rPr>
                <w:rFonts w:hint="eastAsia" w:ascii="仿宋" w:hAnsi="仿宋" w:eastAsia="仿宋" w:cs="仿宋"/>
                <w:sz w:val="21"/>
                <w:szCs w:val="21"/>
              </w:rPr>
              <w:t>) 防倾倒装置：安装在底盘外侧底部，通过四点固定使路轨与底盘连接整体，防倒性能好，结构设计合理。</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9</w:t>
            </w:r>
            <w:r>
              <w:rPr>
                <w:rFonts w:hint="eastAsia" w:ascii="仿宋" w:hAnsi="仿宋" w:eastAsia="仿宋" w:cs="仿宋"/>
                <w:sz w:val="21"/>
                <w:szCs w:val="21"/>
              </w:rPr>
              <w:t>) 防鼠板装置：架体合拢后底盘之间缝隙小于 2mm，使灰尘与老鼠无法进入。</w:t>
            </w:r>
          </w:p>
          <w:p>
            <w:pPr>
              <w:pageBreakBefore w:val="0"/>
              <w:widowControl w:val="0"/>
              <w:kinsoku/>
              <w:wordWrap/>
              <w:overflowPunct/>
              <w:topLinePunct w:val="0"/>
              <w:autoSpaceDE/>
              <w:autoSpaceDN/>
              <w:bidi w:val="0"/>
              <w:adjustRightInd w:val="0"/>
              <w:snapToGrid w:val="0"/>
              <w:spacing w:line="240" w:lineRule="auto"/>
              <w:ind w:firstLine="422" w:firstLineChars="200"/>
              <w:rPr>
                <w:rFonts w:hint="eastAsia" w:ascii="仿宋" w:hAnsi="仿宋" w:eastAsia="仿宋" w:cs="仿宋"/>
                <w:b/>
                <w:bCs/>
                <w:sz w:val="21"/>
                <w:szCs w:val="21"/>
              </w:rPr>
            </w:pPr>
          </w:p>
          <w:p>
            <w:pPr>
              <w:pageBreakBefore w:val="0"/>
              <w:widowControl w:val="0"/>
              <w:kinsoku/>
              <w:wordWrap/>
              <w:overflowPunct/>
              <w:topLinePunct w:val="0"/>
              <w:autoSpaceDE/>
              <w:autoSpaceDN/>
              <w:bidi w:val="0"/>
              <w:adjustRightInd w:val="0"/>
              <w:snapToGrid w:val="0"/>
              <w:spacing w:line="24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0</w:t>
            </w:r>
            <w:r>
              <w:rPr>
                <w:rFonts w:hint="eastAsia" w:ascii="仿宋" w:hAnsi="仿宋" w:eastAsia="仿宋" w:cs="仿宋"/>
                <w:sz w:val="21"/>
                <w:szCs w:val="21"/>
              </w:rPr>
              <w:t>) 搁板、挂板可沿立柱垂直方向调整高度，层高可任意调节，可根据需要增加或减少层数。</w:t>
            </w:r>
          </w:p>
          <w:p>
            <w:pPr>
              <w:pageBreakBefore w:val="0"/>
              <w:widowControl w:val="0"/>
              <w:kinsoku/>
              <w:wordWrap/>
              <w:overflowPunct/>
              <w:topLinePunct w:val="0"/>
              <w:autoSpaceDE/>
              <w:autoSpaceDN/>
              <w:bidi w:val="0"/>
              <w:adjustRightInd w:val="0"/>
              <w:snapToGrid w:val="0"/>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val="en-US" w:eastAsia="zh-CN"/>
              </w:rPr>
              <w:t>1</w:t>
            </w:r>
            <w:r>
              <w:rPr>
                <w:rFonts w:hint="eastAsia" w:ascii="仿宋" w:hAnsi="仿宋" w:eastAsia="仿宋" w:cs="仿宋"/>
                <w:sz w:val="21"/>
                <w:szCs w:val="21"/>
              </w:rPr>
              <w:t>) 承重量：单列架体每层搁板上均布载重400N,双面搁板每层上均布静载荷800N，负载质量精度为额定值的±1%, 24小时卸载后，无裂纹及永久变形。</w:t>
            </w:r>
          </w:p>
          <w:p>
            <w:pPr>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数字拨盘智能密集锁</w:t>
            </w:r>
          </w:p>
          <w:p>
            <w:pPr>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锁体尺寸：70*104.5mm</w:t>
            </w:r>
          </w:p>
          <w:p>
            <w:pPr>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锁体材质：锌合金</w:t>
            </w:r>
          </w:p>
          <w:p>
            <w:pPr>
              <w:pStyle w:val="17"/>
              <w:spacing w:beforeAutospacing="0" w:afterAutospacing="0" w:line="240" w:lineRule="auto"/>
              <w:ind w:left="0" w:leftChars="0" w:firstLine="735" w:firstLineChars="350"/>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旋钮材质：锌合金+ABS</w:t>
            </w:r>
          </w:p>
          <w:p>
            <w:pPr>
              <w:keepNext w:val="0"/>
              <w:keepLines w:val="0"/>
              <w:widowControl/>
              <w:suppressLineNumbers w:val="0"/>
              <w:spacing w:line="240" w:lineRule="auto"/>
              <w:jc w:val="left"/>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val="0"/>
                <w:bCs w:val="0"/>
                <w:color w:val="auto"/>
                <w:sz w:val="21"/>
                <w:szCs w:val="21"/>
                <w:lang w:val="en-US" w:eastAsia="zh-CN"/>
              </w:rPr>
              <w:t>多功能手摇柄:外形美观实用，表面镀铬处理，将安装于主侧板上的总锁、制动装置与摇柄合三为一 ，使摇柄具有锁止、制动及驱动三大功能，可无钥匙密码开锁。</w:t>
            </w:r>
            <w:r>
              <w:rPr>
                <w:rFonts w:hint="eastAsia" w:ascii="仿宋" w:hAnsi="仿宋" w:eastAsia="仿宋" w:cs="仿宋"/>
                <w:b/>
                <w:bCs/>
                <w:color w:val="000000"/>
                <w:kern w:val="0"/>
                <w:sz w:val="21"/>
                <w:szCs w:val="21"/>
                <w:lang w:val="en-US" w:eastAsia="zh-CN" w:bidi="ar"/>
              </w:rPr>
              <w:t>数字拨盘智能密码锁</w:t>
            </w:r>
            <w:r>
              <w:rPr>
                <w:rFonts w:hint="eastAsia" w:ascii="仿宋" w:hAnsi="仿宋" w:eastAsia="仿宋" w:cs="仿宋"/>
                <w:b/>
                <w:bCs/>
                <w:sz w:val="21"/>
                <w:szCs w:val="21"/>
              </w:rPr>
              <w:t>需满足：</w:t>
            </w:r>
            <w:r>
              <w:rPr>
                <w:rFonts w:hint="eastAsia" w:ascii="仿宋" w:hAnsi="仿宋" w:eastAsia="仿宋" w:cs="仿宋"/>
                <w:b/>
                <w:bCs/>
                <w:color w:val="000000"/>
                <w:kern w:val="0"/>
                <w:sz w:val="21"/>
                <w:szCs w:val="21"/>
                <w:lang w:val="en-US" w:eastAsia="zh-CN" w:bidi="ar"/>
              </w:rPr>
              <w:t>QB/T 1621-2015《家具锁》、GB 28481-2012《塑料家具中有害物质限量》、GB/T 16422.2-2022 《塑料 实验室 光源暴露试验方法 第 2 部分: 氙弧灯》、GB/T 250-2008 《纺织品 色牢度试验 评定变色用灰色样卡》、QB/T 3826-1999《轻工产品金属镀层和化学处理层的耐腐蚀试验方法 中性盐雾试验(NSS)法》检测标准；检测内空包括：</w:t>
            </w:r>
            <w:r>
              <w:rPr>
                <w:rFonts w:hint="eastAsia" w:ascii="仿宋" w:hAnsi="仿宋" w:eastAsia="仿宋" w:cs="仿宋"/>
                <w:b/>
                <w:bCs/>
                <w:sz w:val="21"/>
                <w:szCs w:val="21"/>
              </w:rPr>
              <w:t>①</w:t>
            </w:r>
            <w:r>
              <w:rPr>
                <w:rFonts w:hint="eastAsia" w:ascii="仿宋" w:hAnsi="仿宋" w:eastAsia="仿宋" w:cs="仿宋"/>
                <w:b/>
                <w:bCs/>
                <w:color w:val="auto"/>
                <w:kern w:val="2"/>
                <w:sz w:val="21"/>
                <w:szCs w:val="21"/>
                <w:highlight w:val="none"/>
                <w:lang w:val="en-US" w:eastAsia="zh-CN" w:bidi="ar-SA"/>
              </w:rPr>
              <w:t>邻苯二甲酸酯（DBP、BBP、DEHP、DNOP、DINP、DIDP）未检出；</w:t>
            </w:r>
            <w:r>
              <w:rPr>
                <w:rFonts w:hint="eastAsia" w:ascii="仿宋" w:hAnsi="仿宋" w:eastAsia="仿宋" w:cs="仿宋"/>
                <w:b/>
                <w:bCs/>
                <w:sz w:val="21"/>
                <w:szCs w:val="21"/>
              </w:rPr>
              <w:t>②</w:t>
            </w:r>
            <w:r>
              <w:rPr>
                <w:rFonts w:hint="eastAsia" w:ascii="仿宋" w:hAnsi="仿宋" w:eastAsia="仿宋" w:cs="仿宋"/>
                <w:b/>
                <w:bCs/>
                <w:color w:val="000000"/>
                <w:kern w:val="0"/>
                <w:sz w:val="21"/>
                <w:szCs w:val="21"/>
                <w:lang w:val="en-US" w:eastAsia="zh-CN" w:bidi="ar"/>
              </w:rPr>
              <w:t>中性盐雾试验（1200h）：涂层本身的耐蚀能力：10级、 涂层对基体金属的防蚀能力：10 级；</w:t>
            </w:r>
            <w:r>
              <w:rPr>
                <w:rFonts w:hint="eastAsia" w:ascii="仿宋" w:hAnsi="仿宋" w:eastAsia="仿宋" w:cs="仿宋"/>
                <w:b/>
                <w:bCs/>
                <w:sz w:val="21"/>
                <w:szCs w:val="21"/>
              </w:rPr>
              <w:t>③</w:t>
            </w:r>
            <w:r>
              <w:rPr>
                <w:rFonts w:hint="eastAsia" w:ascii="仿宋" w:hAnsi="仿宋" w:eastAsia="仿宋" w:cs="仿宋"/>
                <w:b/>
                <w:bCs/>
                <w:color w:val="000000"/>
                <w:kern w:val="0"/>
                <w:sz w:val="21"/>
                <w:szCs w:val="21"/>
                <w:lang w:val="en-US" w:eastAsia="zh-CN" w:bidi="ar"/>
              </w:rPr>
              <w:t>耐老化性：室外用：1000h，外观颜色变色评级≥3 级；</w:t>
            </w:r>
            <w:r>
              <w:rPr>
                <w:rFonts w:hint="eastAsia" w:ascii="仿宋" w:hAnsi="仿宋" w:eastAsia="仿宋" w:cs="仿宋"/>
                <w:b/>
                <w:bCs/>
                <w:sz w:val="21"/>
                <w:szCs w:val="21"/>
              </w:rPr>
              <w:t>④</w:t>
            </w:r>
            <w:r>
              <w:rPr>
                <w:rFonts w:hint="eastAsia" w:ascii="仿宋" w:hAnsi="仿宋" w:eastAsia="仿宋" w:cs="仿宋"/>
                <w:b/>
                <w:bCs/>
                <w:color w:val="000000"/>
                <w:kern w:val="0"/>
                <w:sz w:val="21"/>
                <w:szCs w:val="21"/>
                <w:lang w:val="en-US" w:eastAsia="zh-CN" w:bidi="ar"/>
              </w:rPr>
              <w:t>外观质量：锁头、钥匙；电镀件；涂层件；电镀件耐腐蚀：电镀件外露表面经 12h 的中性盐雾试验后，应达到外观评级 RA6 级的规定；涂层件附着力：应达到 GB/T 9286 中 2 级的规定；</w:t>
            </w:r>
            <w:r>
              <w:rPr>
                <w:rFonts w:hint="eastAsia" w:ascii="仿宋" w:hAnsi="仿宋" w:eastAsia="仿宋" w:cs="仿宋"/>
                <w:b/>
                <w:bCs/>
                <w:sz w:val="21"/>
                <w:szCs w:val="21"/>
              </w:rPr>
              <w:t>⑤</w:t>
            </w:r>
            <w:r>
              <w:rPr>
                <w:rFonts w:hint="eastAsia" w:ascii="仿宋" w:hAnsi="仿宋" w:eastAsia="仿宋" w:cs="仿宋"/>
                <w:b/>
                <w:bCs/>
                <w:color w:val="000000"/>
                <w:kern w:val="0"/>
                <w:sz w:val="21"/>
                <w:szCs w:val="21"/>
                <w:lang w:val="en-US" w:eastAsia="zh-CN" w:bidi="ar"/>
              </w:rPr>
              <w:t>保密度：钥匙牙花（个）：弹子锁：锁头直径＜20mm：4 个 5 个 、弹子锁-锁头直径≥20mm：4 个 5 个、 叶片锁：5 个 6 个；钥匙不同牙花数（种） ≥：弹子锁-锁头直径＜20mm：200  750 、弹子锁-锁头直径≥20mm：500  2500 、叶片锁：150  500、</w:t>
            </w:r>
            <w:r>
              <w:rPr>
                <w:rFonts w:hint="eastAsia" w:ascii="仿宋" w:hAnsi="仿宋" w:eastAsia="仿宋" w:cs="仿宋"/>
                <w:b/>
                <w:bCs/>
                <w:sz w:val="21"/>
                <w:szCs w:val="21"/>
              </w:rPr>
              <w:t>⑥</w:t>
            </w:r>
            <w:r>
              <w:rPr>
                <w:rFonts w:hint="eastAsia" w:ascii="仿宋" w:hAnsi="仿宋" w:eastAsia="仿宋" w:cs="仿宋"/>
                <w:b/>
                <w:bCs/>
                <w:color w:val="000000"/>
                <w:kern w:val="0"/>
                <w:sz w:val="21"/>
                <w:szCs w:val="21"/>
                <w:lang w:val="en-US" w:eastAsia="zh-CN" w:bidi="ar"/>
              </w:rPr>
              <w:t>互开率（%）：弹子锁-锁头直径＜20mm：0.575  0.612 、弹子锁-锁头直径≥20mm：0.327  0.245 、叶片锁：1.379 0.612；密码锁的编码数：不应少于 900 个；密码锁开锁：除设定编码外，应无法开锁；弹子锁锁头结构：应具有不小于 1 项的防拨安全装置；锁舌伸出长度：不应小于 6mm ；</w:t>
            </w:r>
            <w:r>
              <w:rPr>
                <w:rFonts w:hint="eastAsia" w:ascii="仿宋" w:hAnsi="仿宋" w:eastAsia="仿宋" w:cs="仿宋"/>
                <w:b/>
                <w:bCs/>
                <w:sz w:val="21"/>
                <w:szCs w:val="21"/>
              </w:rPr>
              <w:t>⑦</w:t>
            </w:r>
            <w:r>
              <w:rPr>
                <w:rFonts w:hint="eastAsia" w:ascii="仿宋" w:hAnsi="仿宋" w:eastAsia="仿宋" w:cs="仿宋"/>
                <w:b/>
                <w:bCs/>
                <w:color w:val="000000"/>
                <w:kern w:val="0"/>
                <w:sz w:val="21"/>
                <w:szCs w:val="21"/>
                <w:lang w:val="en-US" w:eastAsia="zh-CN" w:bidi="ar"/>
              </w:rPr>
              <w:t>灵活度：钥匙插拔、旋转：弹子锁不应大于 6N，叶片锁不应大于 9N、锁舌闭合力：不应大于 50N 、钥匙开启扭矩：不应大于 0.65N·m 、密码锁的操作：密码机构操作应灵活，定位准确， 在设定的编码位置，锁开、关无卡阻现象；</w:t>
            </w:r>
            <w:r>
              <w:rPr>
                <w:rFonts w:hint="eastAsia" w:ascii="仿宋" w:hAnsi="仿宋" w:eastAsia="仿宋" w:cs="仿宋"/>
                <w:b/>
                <w:bCs/>
                <w:color w:val="000000"/>
                <w:kern w:val="0"/>
                <w:sz w:val="21"/>
                <w:szCs w:val="21"/>
                <w:lang w:val="en-US" w:eastAsia="zh-CN" w:bidi="ar"/>
              </w:rPr>
              <w:fldChar w:fldCharType="begin"/>
            </w:r>
            <w:r>
              <w:rPr>
                <w:rFonts w:hint="eastAsia" w:ascii="仿宋" w:hAnsi="仿宋" w:eastAsia="仿宋" w:cs="仿宋"/>
                <w:b/>
                <w:bCs/>
                <w:color w:val="000000"/>
                <w:kern w:val="0"/>
                <w:sz w:val="21"/>
                <w:szCs w:val="21"/>
                <w:lang w:val="en-US" w:eastAsia="zh-CN" w:bidi="ar"/>
              </w:rPr>
              <w:instrText xml:space="preserve"> = 8 \* GB3 \* MERGEFORMAT </w:instrText>
            </w:r>
            <w:r>
              <w:rPr>
                <w:rFonts w:hint="eastAsia" w:ascii="仿宋" w:hAnsi="仿宋" w:eastAsia="仿宋" w:cs="仿宋"/>
                <w:b/>
                <w:bCs/>
                <w:color w:val="000000"/>
                <w:kern w:val="0"/>
                <w:sz w:val="21"/>
                <w:szCs w:val="21"/>
                <w:lang w:val="en-US" w:eastAsia="zh-CN" w:bidi="ar"/>
              </w:rPr>
              <w:fldChar w:fldCharType="separate"/>
            </w:r>
            <w:r>
              <w:rPr>
                <w:rFonts w:hint="eastAsia" w:ascii="仿宋" w:hAnsi="仿宋" w:eastAsia="仿宋" w:cs="仿宋"/>
                <w:b/>
                <w:bCs/>
                <w:sz w:val="21"/>
                <w:szCs w:val="21"/>
              </w:rPr>
              <w:t>⑧</w:t>
            </w:r>
            <w:r>
              <w:rPr>
                <w:rFonts w:hint="eastAsia" w:ascii="仿宋" w:hAnsi="仿宋" w:eastAsia="仿宋" w:cs="仿宋"/>
                <w:b/>
                <w:bCs/>
                <w:color w:val="000000"/>
                <w:kern w:val="0"/>
                <w:sz w:val="21"/>
                <w:szCs w:val="21"/>
                <w:lang w:val="en-US" w:eastAsia="zh-CN" w:bidi="ar"/>
              </w:rPr>
              <w:fldChar w:fldCharType="end"/>
            </w:r>
            <w:r>
              <w:rPr>
                <w:rFonts w:hint="eastAsia" w:ascii="仿宋" w:hAnsi="仿宋" w:eastAsia="仿宋" w:cs="仿宋"/>
                <w:b/>
                <w:bCs/>
                <w:color w:val="000000"/>
                <w:kern w:val="0"/>
                <w:sz w:val="21"/>
                <w:szCs w:val="21"/>
                <w:lang w:val="en-US" w:eastAsia="zh-CN" w:bidi="ar"/>
              </w:rPr>
              <w:t>密码锁使用寿命：密码锁使用寿命不应少于 200000 次。</w:t>
            </w:r>
            <w:r>
              <w:rPr>
                <w:rFonts w:hint="eastAsia" w:ascii="仿宋" w:hAnsi="仿宋" w:eastAsia="仿宋" w:cs="仿宋"/>
                <w:b/>
                <w:bCs/>
                <w:color w:val="auto"/>
                <w:kern w:val="2"/>
                <w:sz w:val="21"/>
                <w:szCs w:val="21"/>
                <w:highlight w:val="none"/>
                <w:lang w:val="en-US" w:eastAsia="zh-CN" w:bidi="ar-SA"/>
              </w:rPr>
              <w:t>投标人提供国家认可的省级及以上检验机构出具的带“CMA”和“CNAS”标识的抽样检验报告</w:t>
            </w:r>
          </w:p>
          <w:p>
            <w:pPr>
              <w:keepNext w:val="0"/>
              <w:keepLines w:val="0"/>
              <w:widowControl/>
              <w:suppressLineNumbers w:val="0"/>
              <w:spacing w:line="240" w:lineRule="auto"/>
              <w:jc w:val="center"/>
              <w:rPr>
                <w:rFonts w:hint="eastAsia" w:ascii="仿宋" w:hAnsi="仿宋" w:eastAsia="仿宋" w:cs="仿宋"/>
                <w:b/>
                <w:bCs/>
                <w:sz w:val="21"/>
                <w:szCs w:val="21"/>
              </w:rPr>
            </w:pPr>
            <w:r>
              <w:rPr>
                <w:rFonts w:hint="eastAsia" w:ascii="仿宋" w:hAnsi="仿宋" w:eastAsia="仿宋" w:cs="仿宋"/>
                <w:sz w:val="21"/>
                <w:szCs w:val="21"/>
                <w:lang w:eastAsia="zh-CN"/>
              </w:rPr>
              <w:drawing>
                <wp:inline distT="0" distB="0" distL="114300" distR="114300">
                  <wp:extent cx="2025015" cy="1447165"/>
                  <wp:effectExtent l="0" t="0" r="1905" b="635"/>
                  <wp:docPr id="10" name="图片 4" descr="73cd67338bcb901ebb2507e7bc1e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73cd67338bcb901ebb2507e7bc1e014"/>
                          <pic:cNvPicPr>
                            <a:picLocks noChangeAspect="1"/>
                          </pic:cNvPicPr>
                        </pic:nvPicPr>
                        <pic:blipFill>
                          <a:blip r:embed="rId11"/>
                          <a:srcRect l="3717" t="14645" r="12968" b="6505"/>
                          <a:stretch>
                            <a:fillRect/>
                          </a:stretch>
                        </pic:blipFill>
                        <pic:spPr>
                          <a:xfrm>
                            <a:off x="0" y="0"/>
                            <a:ext cx="2025015" cy="1447165"/>
                          </a:xfrm>
                          <a:prstGeom prst="rect">
                            <a:avLst/>
                          </a:prstGeom>
                          <a:noFill/>
                          <a:ln>
                            <a:noFill/>
                          </a:ln>
                        </pic:spPr>
                      </pic:pic>
                    </a:graphicData>
                  </a:graphic>
                </wp:inline>
              </w:drawing>
            </w:r>
          </w:p>
          <w:p>
            <w:pPr>
              <w:pStyle w:val="14"/>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w:t>
            </w:r>
          </w:p>
          <w:p>
            <w:pPr>
              <w:pStyle w:val="4"/>
              <w:numPr>
                <w:ilvl w:val="0"/>
                <w:numId w:val="0"/>
              </w:numPr>
              <w:bidi w:val="0"/>
              <w:spacing w:line="240" w:lineRule="auto"/>
              <w:ind w:left="720" w:leftChars="0" w:hanging="720" w:firstLineChars="0"/>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kern w:val="0"/>
                <w:sz w:val="21"/>
                <w:szCs w:val="21"/>
                <w:lang w:val="en-US" w:eastAsia="zh-CN" w:bidi="ar-SA"/>
              </w:rPr>
              <w:t>1</w:t>
            </w:r>
            <w:r>
              <w:rPr>
                <w:rFonts w:hint="eastAsia" w:ascii="仿宋" w:hAnsi="仿宋" w:eastAsia="仿宋" w:cs="仿宋"/>
                <w:b w:val="0"/>
                <w:bCs w:val="0"/>
                <w:color w:val="auto"/>
                <w:sz w:val="21"/>
                <w:szCs w:val="21"/>
                <w:highlight w:val="none"/>
                <w:lang w:val="en-US" w:eastAsia="zh-CN"/>
              </w:rPr>
              <w:t>附：固定</w:t>
            </w:r>
            <w:r>
              <w:rPr>
                <w:rFonts w:hint="eastAsia" w:ascii="仿宋" w:hAnsi="仿宋" w:eastAsia="仿宋" w:cs="仿宋"/>
                <w:b w:val="0"/>
                <w:bCs w:val="0"/>
                <w:color w:val="auto"/>
                <w:sz w:val="21"/>
                <w:szCs w:val="21"/>
                <w:highlight w:val="none"/>
              </w:rPr>
              <w:t>密集架配置说明一览表</w:t>
            </w:r>
          </w:p>
          <w:tbl>
            <w:tblPr>
              <w:tblStyle w:val="24"/>
              <w:tblW w:w="451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9"/>
              <w:gridCol w:w="981"/>
              <w:gridCol w:w="691"/>
              <w:gridCol w:w="711"/>
              <w:gridCol w:w="14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设备名称</w:t>
                  </w: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设备配置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材料规格</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技术参数</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性能说明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架体</w:t>
                  </w: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sz w:val="21"/>
                      <w:szCs w:val="21"/>
                    </w:rPr>
                    <w:t>双P型立柱</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5</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架体结实、坚固、设备新颖，安装规范，每节单面层数和间距可自由调整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lang w:val="en-US"/>
                    </w:rPr>
                  </w:pPr>
                  <w:r>
                    <w:rPr>
                      <w:rFonts w:hint="eastAsia" w:ascii="仿宋" w:hAnsi="仿宋" w:eastAsia="仿宋" w:cs="仿宋"/>
                      <w:sz w:val="21"/>
                      <w:szCs w:val="21"/>
                    </w:rPr>
                    <w:t>双P型搁板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0</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sz w:val="21"/>
                      <w:szCs w:val="21"/>
                    </w:rPr>
                    <w:t>双菱形孔挂板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w:t>
                  </w:r>
                  <w:r>
                    <w:rPr>
                      <w:rFonts w:hint="eastAsia" w:ascii="仿宋" w:hAnsi="仿宋" w:eastAsia="仿宋" w:cs="仿宋"/>
                      <w:b w:val="0"/>
                      <w:bCs w:val="0"/>
                      <w:color w:val="auto"/>
                      <w:sz w:val="21"/>
                      <w:szCs w:val="21"/>
                      <w:highlight w:val="none"/>
                      <w:lang w:val="en-US" w:eastAsia="zh-CN"/>
                    </w:rPr>
                    <w:t>0</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背板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1.0</w:t>
                  </w:r>
                  <w:r>
                    <w:rPr>
                      <w:rFonts w:hint="eastAsia" w:ascii="仿宋" w:hAnsi="仿宋" w:eastAsia="仿宋" w:cs="仿宋"/>
                      <w:b w:val="0"/>
                      <w:bCs w:val="0"/>
                      <w:color w:val="auto"/>
                      <w:sz w:val="21"/>
                      <w:szCs w:val="21"/>
                      <w:highlight w:val="none"/>
                    </w:rPr>
                    <w:t>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门面</w:t>
                  </w: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门框</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rPr>
                    <w:t>门板平整、款式新颖，表面亚光喷塑。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4"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kern w:val="2"/>
                      <w:sz w:val="21"/>
                      <w:szCs w:val="21"/>
                      <w:highlight w:val="none"/>
                      <w:lang w:val="en-US" w:eastAsia="zh-CN" w:bidi="ar-SA"/>
                    </w:rPr>
                    <w:t>密集架门板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rPr>
                    <w:t>.0mm</w:t>
                  </w:r>
                </w:p>
              </w:tc>
              <w:tc>
                <w:tcPr>
                  <w:tcW w:w="711" w:type="dxa"/>
                  <w:noWrap w:val="0"/>
                  <w:vAlign w:val="center"/>
                </w:tcPr>
                <w:p>
                  <w:pPr>
                    <w:widowControl w:val="0"/>
                    <w:spacing w:line="240" w:lineRule="auto"/>
                    <w:rPr>
                      <w:rFonts w:hint="default"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钢化玻璃</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侧护板</w:t>
                  </w: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侧板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款式新颖，表面亚光喷塑。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中列制动装置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顶板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每列的接触面均有缓冲及密封装置。具有良好的防震、防尘、防鼠、防光、防潮、防火功能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防尘板、防鼠板</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防倾倒装置</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3.0mm</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冷轧钢板</w:t>
                  </w:r>
                </w:p>
              </w:tc>
              <w:tc>
                <w:tcPr>
                  <w:tcW w:w="1476"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94" w:hRule="atLeast"/>
                <w:jc w:val="center"/>
              </w:trPr>
              <w:tc>
                <w:tcPr>
                  <w:tcW w:w="659" w:type="dxa"/>
                  <w:vMerge w:val="restart"/>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表面处理</w:t>
                  </w: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前处理药剂</w:t>
                  </w:r>
                </w:p>
              </w:tc>
              <w:tc>
                <w:tcPr>
                  <w:tcW w:w="1402" w:type="dxa"/>
                  <w:gridSpan w:val="2"/>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ZN系磷化</w:t>
                  </w: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0" w:hRule="atLeast"/>
                <w:jc w:val="center"/>
              </w:trPr>
              <w:tc>
                <w:tcPr>
                  <w:tcW w:w="659" w:type="dxa"/>
                  <w:vMerge w:val="continue"/>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98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高压静电</w:t>
                  </w:r>
                </w:p>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喷塑</w:t>
                  </w:r>
                </w:p>
              </w:tc>
              <w:tc>
                <w:tcPr>
                  <w:tcW w:w="69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环氧型聚脂混合粉</w:t>
                  </w:r>
                </w:p>
              </w:tc>
              <w:tc>
                <w:tcPr>
                  <w:tcW w:w="711"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c>
                <w:tcPr>
                  <w:tcW w:w="1476" w:type="dxa"/>
                  <w:noWrap w:val="0"/>
                  <w:vAlign w:val="center"/>
                </w:tcPr>
                <w:p>
                  <w:pPr>
                    <w:widowControl w:val="0"/>
                    <w:spacing w:line="240" w:lineRule="auto"/>
                    <w:rPr>
                      <w:rFonts w:hint="eastAsia" w:ascii="仿宋" w:hAnsi="仿宋" w:eastAsia="仿宋" w:cs="仿宋"/>
                      <w:b w:val="0"/>
                      <w:bCs w:val="0"/>
                      <w:color w:val="auto"/>
                      <w:sz w:val="21"/>
                      <w:szCs w:val="21"/>
                      <w:highlight w:val="none"/>
                    </w:rPr>
                  </w:pPr>
                </w:p>
              </w:tc>
            </w:tr>
          </w:tbl>
          <w:p>
            <w:pPr>
              <w:pStyle w:val="22"/>
              <w:ind w:left="0" w:leftChars="0" w:firstLine="0" w:firstLineChars="0"/>
              <w:rPr>
                <w:rFonts w:hint="eastAsia"/>
                <w:lang w:val="en-US" w:eastAsia="zh-Hans"/>
              </w:rPr>
            </w:pPr>
          </w:p>
        </w:tc>
        <w:tc>
          <w:tcPr>
            <w:tcW w:w="5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default" w:ascii="微软雅黑" w:hAnsi="微软雅黑" w:eastAsia="微软雅黑" w:cs="微软雅黑"/>
                <w:i w:val="0"/>
                <w:iCs w:val="0"/>
                <w:color w:val="000000"/>
                <w:sz w:val="24"/>
                <w:szCs w:val="24"/>
                <w:highlight w:val="none"/>
                <w:u w:val="none"/>
                <w:lang w:val="en-US" w:eastAsia="zh-CN"/>
              </w:rPr>
            </w:pPr>
            <w:r>
              <w:rPr>
                <w:rFonts w:hint="eastAsia" w:ascii="微软雅黑" w:hAnsi="微软雅黑" w:eastAsia="微软雅黑" w:cs="微软雅黑"/>
                <w:i w:val="0"/>
                <w:iCs w:val="0"/>
                <w:color w:val="000000"/>
                <w:sz w:val="24"/>
                <w:szCs w:val="24"/>
                <w:highlight w:val="none"/>
                <w:u w:val="none"/>
                <w:lang w:val="en-US" w:eastAsia="zh-CN"/>
              </w:rPr>
              <w:t>面</w:t>
            </w:r>
          </w:p>
        </w:tc>
        <w:tc>
          <w:tcPr>
            <w:tcW w:w="89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center"/>
              <w:textAlignment w:val="center"/>
              <w:rPr>
                <w:rFonts w:hint="default" w:ascii="仿宋" w:hAnsi="仿宋" w:eastAsia="仿宋" w:cs="仿宋"/>
                <w:i w:val="0"/>
                <w:iCs w:val="0"/>
                <w:color w:val="000000"/>
                <w:sz w:val="24"/>
                <w:szCs w:val="24"/>
                <w:highlight w:val="none"/>
                <w:u w:val="none"/>
                <w:lang w:val="en-US" w:eastAsia="zh-CN"/>
              </w:rPr>
            </w:pPr>
            <w:r>
              <w:rPr>
                <w:rFonts w:hint="eastAsia" w:ascii="仿宋" w:hAnsi="仿宋" w:eastAsia="仿宋" w:cs="仿宋"/>
                <w:i w:val="0"/>
                <w:iCs w:val="0"/>
                <w:color w:val="000000"/>
                <w:sz w:val="24"/>
                <w:szCs w:val="24"/>
                <w:highlight w:val="none"/>
                <w:u w:val="none"/>
                <w:lang w:val="en-US" w:eastAsia="zh-CN"/>
              </w:rPr>
              <w:t>5</w:t>
            </w:r>
          </w:p>
        </w:tc>
        <w:tc>
          <w:tcPr>
            <w:tcW w:w="108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pageBreakBefore w:val="0"/>
              <w:widowControl/>
              <w:suppressLineNumbers w:val="0"/>
              <w:kinsoku/>
              <w:wordWrap/>
              <w:overflowPunct/>
              <w:topLinePunct w:val="0"/>
              <w:autoSpaceDE/>
              <w:autoSpaceDN/>
              <w:bidi w:val="0"/>
              <w:adjustRightInd/>
              <w:snapToGrid w:val="0"/>
              <w:spacing w:after="0" w:line="240" w:lineRule="auto"/>
              <w:ind w:left="0" w:leftChars="0" w:right="0" w:rightChars="0" w:firstLine="0" w:firstLineChars="0"/>
              <w:jc w:val="both"/>
              <w:textAlignment w:val="center"/>
              <w:rPr>
                <w:rFonts w:hint="eastAsia" w:ascii="仿宋" w:hAnsi="仿宋" w:eastAsia="仿宋" w:cs="仿宋"/>
                <w:i w:val="0"/>
                <w:iCs w:val="0"/>
                <w:color w:val="000000"/>
                <w:sz w:val="24"/>
                <w:szCs w:val="24"/>
                <w:highlight w:val="none"/>
                <w:u w:val="none"/>
                <w:lang w:val="en-US" w:eastAsia="zh-CN"/>
              </w:rPr>
            </w:pPr>
          </w:p>
        </w:tc>
      </w:tr>
    </w:tbl>
    <w:p>
      <w:pPr>
        <w:pStyle w:val="22"/>
        <w:ind w:left="0" w:leftChars="0" w:firstLine="0" w:firstLineChars="0"/>
        <w:rPr>
          <w:rFonts w:hint="eastAsia"/>
        </w:rPr>
      </w:pPr>
    </w:p>
    <w:p>
      <w:pPr>
        <w:pageBreakBefore w:val="0"/>
        <w:widowControl w:val="0"/>
        <w:numPr>
          <w:ilvl w:val="0"/>
          <w:numId w:val="0"/>
        </w:numPr>
        <w:kinsoku/>
        <w:wordWrap/>
        <w:overflowPunct/>
        <w:topLinePunct w:val="0"/>
        <w:autoSpaceDE/>
        <w:autoSpaceDN/>
        <w:bidi w:val="0"/>
        <w:snapToGrid w:val="0"/>
        <w:spacing w:beforeAutospacing="0" w:afterAutospacing="0" w:line="360" w:lineRule="auto"/>
        <w:rPr>
          <w:rFonts w:hint="eastAsia" w:ascii="宋体" w:hAnsi="宋体" w:eastAsia="宋体" w:cs="宋体"/>
          <w:snapToGrid w:val="0"/>
          <w:color w:val="auto"/>
          <w:kern w:val="0"/>
          <w:sz w:val="24"/>
          <w:szCs w:val="24"/>
        </w:rPr>
      </w:pPr>
    </w:p>
    <w:p>
      <w:pPr>
        <w:pStyle w:val="3"/>
        <w:pageBreakBefore w:val="0"/>
        <w:widowControl w:val="0"/>
        <w:numPr>
          <w:ilvl w:val="1"/>
          <w:numId w:val="0"/>
        </w:numPr>
        <w:kinsoku/>
        <w:wordWrap/>
        <w:overflowPunct/>
        <w:topLinePunct w:val="0"/>
        <w:autoSpaceDE/>
        <w:autoSpaceDN/>
        <w:bidi w:val="0"/>
        <w:spacing w:before="0" w:beforeLines="0" w:beforeAutospacing="0" w:after="0" w:afterLines="0" w:afterAutospacing="0" w:line="360" w:lineRule="auto"/>
        <w:ind w:left="0" w:firstLine="482" w:firstLineChars="200"/>
        <w:rPr>
          <w:rFonts w:hint="eastAsia" w:ascii="宋体" w:hAnsi="宋体" w:eastAsia="宋体" w:cs="宋体"/>
          <w:color w:val="auto"/>
          <w:sz w:val="24"/>
          <w:szCs w:val="24"/>
        </w:rPr>
      </w:pPr>
      <w:bookmarkStart w:id="5" w:name="_Toc479145855"/>
      <w:r>
        <w:rPr>
          <w:rFonts w:hint="eastAsia" w:ascii="宋体" w:hAnsi="宋体" w:eastAsia="宋体" w:cs="宋体"/>
          <w:color w:val="auto"/>
          <w:sz w:val="24"/>
          <w:szCs w:val="24"/>
          <w:lang w:val="en-US" w:eastAsia="zh-CN"/>
        </w:rPr>
        <w:t>3.2</w:t>
      </w:r>
      <w:r>
        <w:rPr>
          <w:rFonts w:hint="eastAsia" w:ascii="宋体" w:hAnsi="宋体" w:eastAsia="宋体" w:cs="宋体"/>
          <w:color w:val="auto"/>
          <w:sz w:val="24"/>
          <w:szCs w:val="24"/>
        </w:rPr>
        <w:t xml:space="preserve"> 其他要求</w:t>
      </w:r>
      <w:bookmarkEnd w:id="5"/>
    </w:p>
    <w:p>
      <w:pPr>
        <w:pageBreakBefore w:val="0"/>
        <w:widowControl w:val="0"/>
        <w:numPr>
          <w:ilvl w:val="0"/>
          <w:numId w:val="4"/>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移动档案</w:t>
      </w:r>
      <w:r>
        <w:rPr>
          <w:rFonts w:hint="eastAsia" w:ascii="宋体" w:hAnsi="宋体" w:eastAsia="宋体" w:cs="宋体"/>
          <w:b w:val="0"/>
          <w:bCs/>
          <w:color w:val="auto"/>
          <w:sz w:val="24"/>
          <w:szCs w:val="24"/>
          <w:lang w:eastAsia="zh-CN"/>
        </w:rPr>
        <w:t>密集</w:t>
      </w:r>
      <w:r>
        <w:rPr>
          <w:rFonts w:hint="eastAsia" w:ascii="宋体" w:hAnsi="宋体" w:eastAsia="宋体" w:cs="宋体"/>
          <w:b w:val="0"/>
          <w:bCs/>
          <w:color w:val="auto"/>
          <w:sz w:val="24"/>
          <w:szCs w:val="24"/>
          <w:lang w:val="en-US" w:eastAsia="zh-CN"/>
        </w:rPr>
        <w:t>架</w:t>
      </w:r>
      <w:r>
        <w:rPr>
          <w:rFonts w:hint="eastAsia" w:ascii="宋体" w:hAnsi="宋体" w:eastAsia="宋体" w:cs="宋体"/>
          <w:snapToGrid w:val="0"/>
          <w:color w:val="auto"/>
          <w:kern w:val="0"/>
          <w:sz w:val="24"/>
          <w:szCs w:val="24"/>
        </w:rPr>
        <w:t>采用组合装配式设计，每列架体设有安全限位及防倾倒装置，以保障通道内的人员安全。边架装有锁具，用于整体闭锁。</w:t>
      </w:r>
    </w:p>
    <w:p>
      <w:pPr>
        <w:pageBreakBefore w:val="0"/>
        <w:widowControl w:val="0"/>
        <w:numPr>
          <w:ilvl w:val="0"/>
          <w:numId w:val="4"/>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顶部有防尘板，底部有防鼠装置。具有良好的防尘、防鼠、防潮和防火功能。</w:t>
      </w:r>
    </w:p>
    <w:p>
      <w:pPr>
        <w:pageBreakBefore w:val="0"/>
        <w:widowControl w:val="0"/>
        <w:numPr>
          <w:ilvl w:val="0"/>
          <w:numId w:val="4"/>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传动机构采用精密轴承，传动灵活平稳。层板层距根据需要可自由调整。</w:t>
      </w:r>
    </w:p>
    <w:p>
      <w:pPr>
        <w:pageBreakBefore w:val="0"/>
        <w:widowControl w:val="0"/>
        <w:numPr>
          <w:ilvl w:val="0"/>
          <w:numId w:val="4"/>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列锁检测保护，为了彻底保护操作人员的人身安全，只要操作人员在进入</w:t>
      </w:r>
      <w:r>
        <w:rPr>
          <w:rFonts w:hint="eastAsia" w:ascii="宋体" w:hAnsi="宋体" w:eastAsia="宋体" w:cs="宋体"/>
          <w:b w:val="0"/>
          <w:bCs/>
          <w:color w:val="auto"/>
          <w:sz w:val="24"/>
          <w:szCs w:val="24"/>
          <w:lang w:eastAsia="zh-CN"/>
        </w:rPr>
        <w:t>密集</w:t>
      </w:r>
      <w:r>
        <w:rPr>
          <w:rFonts w:hint="eastAsia" w:ascii="宋体" w:hAnsi="宋体" w:eastAsia="宋体" w:cs="宋体"/>
          <w:b w:val="0"/>
          <w:bCs/>
          <w:color w:val="auto"/>
          <w:sz w:val="24"/>
          <w:szCs w:val="24"/>
          <w:lang w:val="en-US" w:eastAsia="zh-CN"/>
        </w:rPr>
        <w:t>架</w:t>
      </w:r>
      <w:r>
        <w:rPr>
          <w:rFonts w:hint="eastAsia" w:ascii="宋体" w:hAnsi="宋体" w:eastAsia="宋体" w:cs="宋体"/>
          <w:snapToGrid w:val="0"/>
          <w:color w:val="auto"/>
          <w:kern w:val="0"/>
          <w:sz w:val="24"/>
          <w:szCs w:val="24"/>
        </w:rPr>
        <w:t>前扳下刹车装置,此区</w:t>
      </w:r>
      <w:r>
        <w:rPr>
          <w:rFonts w:hint="eastAsia" w:ascii="宋体" w:hAnsi="宋体" w:eastAsia="宋体" w:cs="宋体"/>
          <w:b w:val="0"/>
          <w:bCs/>
          <w:color w:val="auto"/>
          <w:sz w:val="24"/>
          <w:szCs w:val="24"/>
          <w:lang w:eastAsia="zh-CN"/>
        </w:rPr>
        <w:t>密集</w:t>
      </w:r>
      <w:r>
        <w:rPr>
          <w:rFonts w:hint="eastAsia" w:ascii="宋体" w:hAnsi="宋体" w:eastAsia="宋体" w:cs="宋体"/>
          <w:snapToGrid w:val="0"/>
          <w:color w:val="auto"/>
          <w:kern w:val="0"/>
          <w:sz w:val="24"/>
          <w:szCs w:val="24"/>
        </w:rPr>
        <w:t>柜将无法在操作人员出来后解除此刹车装置前再进行任何操控。</w:t>
      </w:r>
    </w:p>
    <w:p>
      <w:pPr>
        <w:pageBreakBefore w:val="0"/>
        <w:widowControl w:val="0"/>
        <w:numPr>
          <w:ilvl w:val="0"/>
          <w:numId w:val="4"/>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多个作业可并行排队，同一时间多区</w:t>
      </w:r>
      <w:r>
        <w:rPr>
          <w:rFonts w:hint="eastAsia" w:ascii="宋体" w:hAnsi="宋体" w:eastAsia="宋体" w:cs="宋体"/>
          <w:b w:val="0"/>
          <w:bCs/>
          <w:color w:val="auto"/>
          <w:sz w:val="24"/>
          <w:szCs w:val="24"/>
          <w:lang w:eastAsia="zh-CN"/>
        </w:rPr>
        <w:t>密集</w:t>
      </w:r>
      <w:r>
        <w:rPr>
          <w:rFonts w:hint="eastAsia" w:ascii="宋体" w:hAnsi="宋体" w:eastAsia="宋体" w:cs="宋体"/>
          <w:b w:val="0"/>
          <w:bCs/>
          <w:color w:val="auto"/>
          <w:sz w:val="24"/>
          <w:szCs w:val="24"/>
          <w:lang w:val="en-US" w:eastAsia="zh-CN"/>
        </w:rPr>
        <w:t>架</w:t>
      </w:r>
      <w:r>
        <w:rPr>
          <w:rFonts w:hint="eastAsia" w:ascii="宋体" w:hAnsi="宋体" w:eastAsia="宋体" w:cs="宋体"/>
          <w:snapToGrid w:val="0"/>
          <w:color w:val="auto"/>
          <w:kern w:val="0"/>
          <w:sz w:val="24"/>
          <w:szCs w:val="24"/>
        </w:rPr>
        <w:t>可同时工作。</w:t>
      </w:r>
    </w:p>
    <w:p>
      <w:pPr>
        <w:pageBreakBefore w:val="0"/>
        <w:widowControl w:val="0"/>
        <w:numPr>
          <w:ilvl w:val="0"/>
          <w:numId w:val="4"/>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多个作业可串行排队，同一区在一次命令中,多列可按顺序依次打开。</w:t>
      </w:r>
    </w:p>
    <w:p>
      <w:pPr>
        <w:pageBreakBefore w:val="0"/>
        <w:widowControl w:val="0"/>
        <w:numPr>
          <w:ilvl w:val="0"/>
          <w:numId w:val="4"/>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rPr>
        <w:t>单机的数据库管理界面亲切直观，内置多种档案资料查找方式，支持模糊查询,使档案资料的查询检索方便快捷。</w:t>
      </w:r>
    </w:p>
    <w:p>
      <w:pPr>
        <w:pageBreakBefore w:val="0"/>
        <w:widowControl w:val="0"/>
        <w:numPr>
          <w:ilvl w:val="0"/>
          <w:numId w:val="4"/>
        </w:numPr>
        <w:kinsoku/>
        <w:wordWrap/>
        <w:overflowPunct/>
        <w:topLinePunct w:val="0"/>
        <w:autoSpaceDE/>
        <w:autoSpaceDN/>
        <w:bidi w:val="0"/>
        <w:snapToGrid w:val="0"/>
        <w:spacing w:beforeAutospacing="0" w:afterAutospacing="0" w:line="360" w:lineRule="auto"/>
        <w:ind w:left="0" w:firstLine="480" w:firstLineChars="200"/>
        <w:rPr>
          <w:snapToGrid w:val="0"/>
          <w:kern w:val="0"/>
          <w:sz w:val="24"/>
        </w:rPr>
      </w:pPr>
      <w:r>
        <w:rPr>
          <w:rFonts w:hint="eastAsia" w:ascii="宋体" w:hAnsi="宋体" w:eastAsia="宋体" w:cs="宋体"/>
          <w:snapToGrid w:val="0"/>
          <w:color w:val="auto"/>
          <w:kern w:val="0"/>
          <w:sz w:val="24"/>
          <w:szCs w:val="24"/>
        </w:rPr>
        <w:t>设有红外传感器，本红外装置为门禁感应结构，不管</w:t>
      </w:r>
      <w:r>
        <w:rPr>
          <w:rFonts w:hint="eastAsia" w:ascii="宋体" w:hAnsi="宋体" w:eastAsia="宋体" w:cs="宋体"/>
          <w:b w:val="0"/>
          <w:bCs/>
          <w:color w:val="auto"/>
          <w:sz w:val="24"/>
          <w:szCs w:val="24"/>
          <w:lang w:eastAsia="zh-CN"/>
        </w:rPr>
        <w:t>密集</w:t>
      </w:r>
      <w:r>
        <w:rPr>
          <w:rFonts w:hint="eastAsia" w:ascii="宋体" w:hAnsi="宋体" w:eastAsia="宋体" w:cs="宋体"/>
          <w:snapToGrid w:val="0"/>
          <w:color w:val="auto"/>
          <w:kern w:val="0"/>
          <w:sz w:val="24"/>
          <w:szCs w:val="24"/>
        </w:rPr>
        <w:t>柜在移动或者已停止，只要有人员进入此</w:t>
      </w:r>
      <w:r>
        <w:rPr>
          <w:rFonts w:hint="eastAsia" w:ascii="宋体" w:hAnsi="宋体" w:eastAsia="宋体" w:cs="宋体"/>
          <w:b w:val="0"/>
          <w:bCs/>
          <w:color w:val="auto"/>
          <w:sz w:val="24"/>
          <w:szCs w:val="24"/>
          <w:lang w:eastAsia="zh-CN"/>
        </w:rPr>
        <w:t>密集</w:t>
      </w:r>
      <w:r>
        <w:rPr>
          <w:rFonts w:hint="eastAsia" w:ascii="宋体" w:hAnsi="宋体" w:eastAsia="宋体" w:cs="宋体"/>
          <w:snapToGrid w:val="0"/>
          <w:color w:val="auto"/>
          <w:kern w:val="0"/>
          <w:sz w:val="24"/>
          <w:szCs w:val="24"/>
        </w:rPr>
        <w:t>柜内，</w:t>
      </w:r>
      <w:r>
        <w:rPr>
          <w:rFonts w:hint="eastAsia" w:ascii="宋体" w:hAnsi="宋体" w:eastAsia="宋体" w:cs="宋体"/>
          <w:b w:val="0"/>
          <w:bCs/>
          <w:color w:val="auto"/>
          <w:sz w:val="24"/>
          <w:szCs w:val="24"/>
          <w:lang w:eastAsia="zh-CN"/>
        </w:rPr>
        <w:t>密集</w:t>
      </w:r>
      <w:r>
        <w:rPr>
          <w:rFonts w:hint="eastAsia" w:ascii="宋体" w:hAnsi="宋体" w:eastAsia="宋体" w:cs="宋体"/>
          <w:snapToGrid w:val="0"/>
          <w:color w:val="auto"/>
          <w:kern w:val="0"/>
          <w:sz w:val="24"/>
          <w:szCs w:val="24"/>
        </w:rPr>
        <w:t>柜就作出停止和禁止移动反映，进入人员和出来人员次数必需一致，以保护操作人员的安全。</w:t>
      </w:r>
    </w:p>
    <w:p>
      <w:pPr>
        <w:pageBreakBefore w:val="0"/>
        <w:widowControl w:val="0"/>
        <w:numPr>
          <w:ilvl w:val="0"/>
          <w:numId w:val="4"/>
        </w:numPr>
        <w:kinsoku/>
        <w:wordWrap/>
        <w:overflowPunct/>
        <w:topLinePunct w:val="0"/>
        <w:autoSpaceDE/>
        <w:autoSpaceDN/>
        <w:bidi w:val="0"/>
        <w:snapToGrid w:val="0"/>
        <w:spacing w:beforeAutospacing="0" w:afterAutospacing="0" w:line="360" w:lineRule="auto"/>
        <w:ind w:left="0" w:firstLine="480" w:firstLineChars="200"/>
        <w:rPr>
          <w:snapToGrid w:val="0"/>
          <w:kern w:val="0"/>
          <w:sz w:val="24"/>
        </w:rPr>
      </w:pPr>
      <w:r>
        <w:rPr>
          <w:rFonts w:hint="eastAsia"/>
          <w:snapToGrid w:val="0"/>
          <w:kern w:val="0"/>
          <w:sz w:val="24"/>
          <w:lang w:val="en-US" w:eastAsia="zh-CN"/>
        </w:rPr>
        <w:t>架</w:t>
      </w:r>
      <w:r>
        <w:rPr>
          <w:snapToGrid w:val="0"/>
          <w:kern w:val="0"/>
          <w:sz w:val="24"/>
        </w:rPr>
        <w:t>体在打开与关闭时，应运行环缓慢，平稳，手动摇动</w:t>
      </w:r>
      <w:r>
        <w:rPr>
          <w:rFonts w:hint="eastAsia" w:ascii="宋体" w:hAnsi="宋体" w:eastAsia="宋体" w:cs="宋体"/>
          <w:b w:val="0"/>
          <w:bCs/>
          <w:color w:val="auto"/>
          <w:sz w:val="24"/>
          <w:szCs w:val="24"/>
          <w:lang w:eastAsia="zh-CN"/>
        </w:rPr>
        <w:t>密集</w:t>
      </w:r>
      <w:r>
        <w:rPr>
          <w:rFonts w:hint="eastAsia" w:ascii="宋体" w:hAnsi="宋体" w:eastAsia="宋体" w:cs="宋体"/>
          <w:b w:val="0"/>
          <w:bCs/>
          <w:color w:val="auto"/>
          <w:sz w:val="24"/>
          <w:szCs w:val="24"/>
          <w:lang w:val="en-US" w:eastAsia="zh-CN"/>
        </w:rPr>
        <w:t>架</w:t>
      </w:r>
      <w:r>
        <w:rPr>
          <w:snapToGrid w:val="0"/>
          <w:kern w:val="0"/>
          <w:sz w:val="24"/>
        </w:rPr>
        <w:t>时应轻便灵活。</w:t>
      </w:r>
    </w:p>
    <w:p>
      <w:pPr>
        <w:pageBreakBefore w:val="0"/>
        <w:widowControl w:val="0"/>
        <w:numPr>
          <w:ilvl w:val="0"/>
          <w:numId w:val="0"/>
        </w:numPr>
        <w:kinsoku/>
        <w:wordWrap/>
        <w:overflowPunct/>
        <w:topLinePunct w:val="0"/>
        <w:autoSpaceDE/>
        <w:autoSpaceDN/>
        <w:bidi w:val="0"/>
        <w:snapToGrid w:val="0"/>
        <w:spacing w:beforeAutospacing="0" w:afterAutospacing="0" w:line="360" w:lineRule="auto"/>
        <w:ind w:leftChars="200"/>
        <w:rPr>
          <w:rFonts w:hint="eastAsia" w:ascii="宋体" w:hAnsi="宋体" w:eastAsia="宋体" w:cs="宋体"/>
          <w:snapToGrid w:val="0"/>
          <w:color w:val="auto"/>
          <w:kern w:val="0"/>
          <w:sz w:val="24"/>
          <w:szCs w:val="24"/>
        </w:rPr>
      </w:pPr>
    </w:p>
    <w:p>
      <w:pPr>
        <w:pStyle w:val="3"/>
        <w:pageBreakBefore w:val="0"/>
        <w:widowControl w:val="0"/>
        <w:numPr>
          <w:ilvl w:val="1"/>
          <w:numId w:val="0"/>
        </w:numPr>
        <w:kinsoku/>
        <w:wordWrap/>
        <w:overflowPunct/>
        <w:topLinePunct w:val="0"/>
        <w:autoSpaceDE/>
        <w:autoSpaceDN/>
        <w:bidi w:val="0"/>
        <w:spacing w:before="0" w:beforeLines="0" w:beforeAutospacing="0" w:after="0" w:afterLines="0" w:afterAutospacing="0" w:line="360" w:lineRule="auto"/>
        <w:ind w:left="0" w:firstLine="482" w:firstLineChars="200"/>
        <w:rPr>
          <w:rFonts w:hint="eastAsia" w:ascii="宋体" w:hAnsi="宋体" w:eastAsia="宋体" w:cs="宋体"/>
          <w:sz w:val="24"/>
          <w:szCs w:val="24"/>
        </w:rPr>
      </w:pPr>
      <w:bookmarkStart w:id="6" w:name="_Toc479145859"/>
      <w:r>
        <w:rPr>
          <w:rFonts w:hint="eastAsia" w:ascii="宋体" w:hAnsi="宋体" w:eastAsia="宋体" w:cs="宋体"/>
          <w:sz w:val="24"/>
          <w:szCs w:val="24"/>
          <w:lang w:val="en-US" w:eastAsia="zh-CN"/>
        </w:rPr>
        <w:t>4</w:t>
      </w:r>
      <w:r>
        <w:rPr>
          <w:rFonts w:hint="eastAsia" w:ascii="宋体" w:hAnsi="宋体" w:eastAsia="宋体" w:cs="宋体"/>
          <w:sz w:val="24"/>
          <w:szCs w:val="24"/>
        </w:rPr>
        <w:t>. 质量保证和售后服务</w:t>
      </w:r>
      <w:bookmarkEnd w:id="6"/>
    </w:p>
    <w:p>
      <w:pPr>
        <w:pageBreakBefore w:val="0"/>
        <w:widowControl w:val="0"/>
        <w:numPr>
          <w:ilvl w:val="0"/>
          <w:numId w:val="5"/>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kern w:val="0"/>
          <w:sz w:val="24"/>
          <w:szCs w:val="24"/>
        </w:rPr>
      </w:pPr>
      <w:r>
        <w:rPr>
          <w:rFonts w:hint="eastAsia" w:ascii="宋体" w:hAnsi="宋体" w:eastAsia="宋体" w:cs="宋体"/>
          <w:snapToGrid w:val="0"/>
          <w:color w:val="auto"/>
          <w:kern w:val="0"/>
          <w:sz w:val="24"/>
          <w:szCs w:val="24"/>
        </w:rPr>
        <w:t>智能</w:t>
      </w:r>
      <w:r>
        <w:rPr>
          <w:rFonts w:hint="eastAsia" w:ascii="宋体" w:hAnsi="宋体" w:eastAsia="宋体" w:cs="宋体"/>
          <w:snapToGrid w:val="0"/>
          <w:color w:val="auto"/>
          <w:kern w:val="0"/>
          <w:sz w:val="24"/>
          <w:szCs w:val="24"/>
          <w:lang w:eastAsia="zh-CN"/>
        </w:rPr>
        <w:t>档案</w:t>
      </w:r>
      <w:r>
        <w:rPr>
          <w:rFonts w:hint="eastAsia" w:ascii="宋体" w:hAnsi="宋体" w:eastAsia="宋体" w:cs="宋体"/>
          <w:b w:val="0"/>
          <w:bCs/>
          <w:color w:val="auto"/>
          <w:sz w:val="24"/>
          <w:szCs w:val="24"/>
          <w:lang w:eastAsia="zh-CN"/>
        </w:rPr>
        <w:t>密集</w:t>
      </w:r>
      <w:r>
        <w:rPr>
          <w:rFonts w:hint="eastAsia" w:ascii="宋体" w:hAnsi="宋体" w:eastAsia="宋体" w:cs="宋体"/>
          <w:b w:val="0"/>
          <w:bCs/>
          <w:color w:val="auto"/>
          <w:sz w:val="24"/>
          <w:szCs w:val="24"/>
          <w:lang w:val="en-US" w:eastAsia="zh-CN"/>
        </w:rPr>
        <w:t>架</w:t>
      </w:r>
      <w:r>
        <w:rPr>
          <w:rFonts w:hint="eastAsia" w:ascii="宋体" w:hAnsi="宋体" w:eastAsia="宋体" w:cs="宋体"/>
          <w:snapToGrid w:val="0"/>
          <w:kern w:val="0"/>
          <w:sz w:val="24"/>
          <w:szCs w:val="24"/>
        </w:rPr>
        <w:t>系统必须实行“三包“，</w:t>
      </w:r>
      <w:r>
        <w:rPr>
          <w:rFonts w:hint="eastAsia" w:ascii="宋体" w:hAnsi="宋体" w:eastAsia="宋体" w:cs="宋体"/>
          <w:snapToGrid w:val="0"/>
          <w:kern w:val="0"/>
          <w:sz w:val="24"/>
          <w:szCs w:val="24"/>
          <w:lang w:val="en-US" w:eastAsia="zh-CN"/>
        </w:rPr>
        <w:t>5</w:t>
      </w:r>
      <w:r>
        <w:rPr>
          <w:rFonts w:hint="eastAsia" w:ascii="宋体" w:hAnsi="宋体" w:eastAsia="宋体" w:cs="宋体"/>
          <w:snapToGrid w:val="0"/>
          <w:kern w:val="0"/>
          <w:sz w:val="24"/>
          <w:szCs w:val="24"/>
        </w:rPr>
        <w:t>年免费保修、</w:t>
      </w:r>
      <w:r>
        <w:rPr>
          <w:rFonts w:ascii="宋体" w:hAnsi="宋体" w:cs="宋体"/>
          <w:kern w:val="0"/>
          <w:sz w:val="24"/>
          <w:szCs w:val="24"/>
          <w:highlight w:val="none"/>
        </w:rPr>
        <w:t>终生</w:t>
      </w:r>
      <w:r>
        <w:rPr>
          <w:rFonts w:hint="eastAsia" w:ascii="宋体" w:hAnsi="宋体" w:cs="宋体"/>
          <w:kern w:val="0"/>
          <w:sz w:val="24"/>
          <w:szCs w:val="24"/>
          <w:highlight w:val="none"/>
        </w:rPr>
        <w:t>维护</w:t>
      </w:r>
      <w:r>
        <w:rPr>
          <w:rFonts w:hint="eastAsia" w:ascii="宋体" w:hAnsi="宋体" w:eastAsia="宋体" w:cs="宋体"/>
          <w:snapToGrid w:val="0"/>
          <w:kern w:val="0"/>
          <w:sz w:val="24"/>
          <w:szCs w:val="24"/>
          <w:highlight w:val="none"/>
        </w:rPr>
        <w:t>。</w:t>
      </w:r>
    </w:p>
    <w:p>
      <w:pPr>
        <w:pageBreakBefore w:val="0"/>
        <w:widowControl w:val="0"/>
        <w:numPr>
          <w:ilvl w:val="0"/>
          <w:numId w:val="5"/>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投标方应向招标方提供免费现场技术培训。</w:t>
      </w:r>
    </w:p>
    <w:p>
      <w:pPr>
        <w:pageBreakBefore w:val="0"/>
        <w:widowControl w:val="0"/>
        <w:numPr>
          <w:ilvl w:val="0"/>
          <w:numId w:val="5"/>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本技术标书解释权属招标方，设计方案及其变更均需取得需方同意，方可实施。</w:t>
      </w:r>
    </w:p>
    <w:p>
      <w:pPr>
        <w:pageBreakBefore w:val="0"/>
        <w:widowControl w:val="0"/>
        <w:numPr>
          <w:ilvl w:val="0"/>
          <w:numId w:val="5"/>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若需方在使用过程中发现如有与说明书所设不符之处，需方有权退货，退货所发生费用由供方承担。需方可要求供方赔偿相关损失。</w:t>
      </w:r>
      <w:bookmarkStart w:id="7" w:name="_Toc156230639"/>
    </w:p>
    <w:p>
      <w:pPr>
        <w:pageBreakBefore w:val="0"/>
        <w:widowControl w:val="0"/>
        <w:numPr>
          <w:ilvl w:val="0"/>
          <w:numId w:val="5"/>
        </w:numPr>
        <w:kinsoku/>
        <w:wordWrap/>
        <w:overflowPunct/>
        <w:topLinePunct w:val="0"/>
        <w:autoSpaceDE/>
        <w:autoSpaceDN/>
        <w:bidi w:val="0"/>
        <w:snapToGrid w:val="0"/>
        <w:spacing w:beforeAutospacing="0" w:afterAutospacing="0" w:line="360" w:lineRule="auto"/>
        <w:ind w:left="0" w:firstLine="480" w:firstLineChars="200"/>
        <w:rPr>
          <w:rFonts w:hint="eastAsia" w:ascii="宋体" w:hAnsi="宋体" w:eastAsia="宋体" w:cs="宋体"/>
          <w:snapToGrid w:val="0"/>
          <w:kern w:val="0"/>
          <w:sz w:val="24"/>
          <w:szCs w:val="24"/>
        </w:rPr>
      </w:pPr>
      <w:r>
        <w:rPr>
          <w:rFonts w:hint="eastAsia" w:ascii="宋体" w:hAnsi="宋体" w:eastAsia="宋体" w:cs="宋体"/>
          <w:snapToGrid w:val="0"/>
          <w:kern w:val="0"/>
          <w:sz w:val="24"/>
          <w:szCs w:val="24"/>
        </w:rPr>
        <w:t>售后要求</w:t>
      </w:r>
      <w:bookmarkEnd w:id="7"/>
      <w:r>
        <w:rPr>
          <w:rFonts w:hint="eastAsia" w:ascii="宋体" w:hAnsi="宋体" w:eastAsia="宋体" w:cs="宋体"/>
          <w:snapToGrid w:val="0"/>
          <w:kern w:val="0"/>
          <w:sz w:val="24"/>
          <w:szCs w:val="24"/>
          <w:lang w:eastAsia="zh-CN"/>
        </w:rPr>
        <w:t>：</w:t>
      </w:r>
      <w:r>
        <w:rPr>
          <w:rFonts w:hint="eastAsia" w:ascii="宋体" w:hAnsi="宋体" w:eastAsia="宋体" w:cs="宋体"/>
          <w:snapToGrid w:val="0"/>
          <w:kern w:val="0"/>
          <w:sz w:val="24"/>
          <w:szCs w:val="24"/>
        </w:rPr>
        <w:t>软件免费升级。</w:t>
      </w:r>
    </w:p>
    <w:p>
      <w:pPr>
        <w:pStyle w:val="22"/>
        <w:rPr>
          <w:rFonts w:hint="eastAsia" w:ascii="宋体" w:hAnsi="宋体" w:eastAsia="宋体" w:cs="宋体"/>
          <w:snapToGrid w:val="0"/>
          <w:kern w:val="0"/>
          <w:sz w:val="24"/>
          <w:szCs w:val="24"/>
        </w:rPr>
      </w:pPr>
    </w:p>
    <w:p>
      <w:pPr>
        <w:rPr>
          <w:rFonts w:hint="eastAsia" w:ascii="宋体" w:hAnsi="宋体" w:eastAsia="宋体" w:cs="宋体"/>
          <w:snapToGrid w:val="0"/>
          <w:kern w:val="0"/>
          <w:sz w:val="24"/>
          <w:szCs w:val="24"/>
        </w:rPr>
      </w:pPr>
    </w:p>
    <w:p>
      <w:pPr>
        <w:pStyle w:val="22"/>
        <w:rPr>
          <w:rFonts w:hint="eastAsia" w:ascii="宋体" w:hAnsi="宋体" w:eastAsia="宋体" w:cs="宋体"/>
          <w:snapToGrid w:val="0"/>
          <w:kern w:val="0"/>
          <w:sz w:val="24"/>
          <w:szCs w:val="24"/>
        </w:rPr>
      </w:pPr>
    </w:p>
    <w:p>
      <w:pPr>
        <w:pStyle w:val="41"/>
        <w:ind w:firstLine="420" w:firstLineChars="0"/>
        <w:jc w:val="center"/>
        <w:outlineLvl w:val="3"/>
        <w:rPr>
          <w:rFonts w:hAnsi="宋体"/>
          <w:sz w:val="28"/>
          <w:szCs w:val="28"/>
        </w:rPr>
      </w:pPr>
      <w:r>
        <w:rPr>
          <w:rFonts w:hint="eastAsia" w:hAnsi="宋体"/>
          <w:sz w:val="28"/>
          <w:szCs w:val="28"/>
          <w:lang w:val="en-US" w:eastAsia="zh-CN"/>
        </w:rPr>
        <w:t>3</w:t>
      </w:r>
      <w:r>
        <w:rPr>
          <w:rFonts w:hint="eastAsia" w:hAnsi="宋体"/>
          <w:sz w:val="28"/>
          <w:szCs w:val="28"/>
        </w:rPr>
        <w:t>.</w:t>
      </w:r>
      <w:r>
        <w:rPr>
          <w:rFonts w:hint="eastAsia" w:hAnsi="宋体"/>
          <w:sz w:val="28"/>
          <w:szCs w:val="28"/>
          <w:lang w:val="en-US" w:eastAsia="zh-CN"/>
        </w:rPr>
        <w:t>3</w:t>
      </w:r>
      <w:r>
        <w:rPr>
          <w:rFonts w:hint="eastAsia" w:hAnsi="宋体"/>
          <w:sz w:val="28"/>
          <w:szCs w:val="28"/>
        </w:rPr>
        <w:t>供货范围及设备需求一览表</w:t>
      </w:r>
    </w:p>
    <w:tbl>
      <w:tblPr>
        <w:tblStyle w:val="23"/>
        <w:tblW w:w="9572" w:type="dxa"/>
        <w:tblInd w:w="-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1127"/>
        <w:gridCol w:w="4682"/>
        <w:gridCol w:w="1409"/>
        <w:gridCol w:w="14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eastAsia" w:ascii="宋体" w:hAnsi="宋体" w:cs="宋体"/>
                <w:kern w:val="0"/>
                <w:sz w:val="22"/>
                <w:szCs w:val="22"/>
              </w:rPr>
            </w:pPr>
          </w:p>
          <w:p>
            <w:pPr>
              <w:widowControl/>
              <w:jc w:val="center"/>
              <w:rPr>
                <w:rFonts w:ascii="宋体" w:hAnsi="宋体" w:cs="宋体"/>
                <w:kern w:val="0"/>
                <w:sz w:val="22"/>
                <w:szCs w:val="22"/>
              </w:rPr>
            </w:pPr>
            <w:r>
              <w:rPr>
                <w:rFonts w:hint="eastAsia" w:ascii="宋体" w:hAnsi="宋体" w:cs="宋体"/>
                <w:kern w:val="0"/>
                <w:sz w:val="22"/>
                <w:szCs w:val="22"/>
              </w:rPr>
              <w:t>序号</w:t>
            </w:r>
          </w:p>
          <w:p>
            <w:pPr>
              <w:widowControl/>
              <w:jc w:val="center"/>
              <w:rPr>
                <w:rFonts w:hint="eastAsia" w:ascii="宋体" w:hAnsi="宋体" w:eastAsia="宋体" w:cs="宋体"/>
                <w:kern w:val="0"/>
                <w:sz w:val="22"/>
                <w:szCs w:val="22"/>
                <w:lang w:val="en-US" w:eastAsia="zh-CN" w:bidi="ar-SA"/>
              </w:rPr>
            </w:pPr>
          </w:p>
        </w:tc>
        <w:tc>
          <w:tcPr>
            <w:tcW w:w="1127" w:type="dxa"/>
            <w:tcBorders>
              <w:tl2br w:val="nil"/>
              <w:tr2bl w:val="nil"/>
            </w:tcBorders>
            <w:noWrap w:val="0"/>
            <w:vAlign w:val="center"/>
          </w:tcPr>
          <w:p>
            <w:pPr>
              <w:widowControl/>
              <w:jc w:val="center"/>
              <w:rPr>
                <w:rFonts w:hint="eastAsia" w:ascii="宋体" w:hAnsi="宋体" w:eastAsia="宋体" w:cs="宋体"/>
                <w:kern w:val="0"/>
                <w:sz w:val="22"/>
                <w:szCs w:val="22"/>
                <w:lang w:val="en-US" w:eastAsia="zh-CN" w:bidi="ar-SA"/>
              </w:rPr>
            </w:pPr>
            <w:r>
              <w:rPr>
                <w:rFonts w:hint="eastAsia" w:ascii="宋体" w:hAnsi="宋体" w:cs="宋体"/>
                <w:kern w:val="0"/>
                <w:sz w:val="22"/>
                <w:szCs w:val="22"/>
              </w:rPr>
              <w:t>设备名称</w:t>
            </w:r>
          </w:p>
        </w:tc>
        <w:tc>
          <w:tcPr>
            <w:tcW w:w="4682" w:type="dxa"/>
            <w:tcBorders>
              <w:tl2br w:val="nil"/>
              <w:tr2bl w:val="nil"/>
            </w:tcBorders>
            <w:noWrap w:val="0"/>
            <w:vAlign w:val="center"/>
          </w:tcPr>
          <w:p>
            <w:pPr>
              <w:jc w:val="center"/>
              <w:rPr>
                <w:rFonts w:hint="eastAsia" w:ascii="宋体" w:hAnsi="宋体" w:eastAsia="宋体" w:cs="Times New Roman"/>
                <w:kern w:val="2"/>
                <w:sz w:val="18"/>
                <w:szCs w:val="18"/>
                <w:lang w:val="en-US" w:eastAsia="zh-CN" w:bidi="ar-SA"/>
              </w:rPr>
            </w:pPr>
            <w:r>
              <w:rPr>
                <w:rFonts w:hint="eastAsia" w:ascii="宋体" w:hAnsi="宋体"/>
                <w:sz w:val="18"/>
                <w:szCs w:val="18"/>
              </w:rPr>
              <w:t>型式、规格</w:t>
            </w:r>
          </w:p>
        </w:tc>
        <w:tc>
          <w:tcPr>
            <w:tcW w:w="1409" w:type="dxa"/>
            <w:tcBorders>
              <w:tl2br w:val="nil"/>
              <w:tr2bl w:val="nil"/>
            </w:tcBorders>
            <w:noWrap w:val="0"/>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单位</w:t>
            </w:r>
          </w:p>
        </w:tc>
        <w:tc>
          <w:tcPr>
            <w:tcW w:w="1490" w:type="dxa"/>
            <w:tcBorders>
              <w:tl2br w:val="nil"/>
              <w:tr2bl w:val="nil"/>
            </w:tcBorders>
            <w:noWrap w:val="0"/>
            <w:vAlign w:val="center"/>
          </w:tcPr>
          <w:p>
            <w:pPr>
              <w:widowControl/>
              <w:jc w:val="center"/>
              <w:rPr>
                <w:rFonts w:hint="eastAsia" w:ascii="宋体" w:hAnsi="宋体" w:eastAsia="宋体" w:cs="宋体"/>
                <w:kern w:val="0"/>
                <w:sz w:val="18"/>
                <w:szCs w:val="18"/>
                <w:lang w:val="en-US" w:eastAsia="zh-CN" w:bidi="ar-SA"/>
              </w:rPr>
            </w:pPr>
            <w:r>
              <w:rPr>
                <w:rFonts w:hint="eastAsia" w:ascii="宋体" w:hAnsi="宋体" w:cs="宋体"/>
                <w:kern w:val="0"/>
                <w:sz w:val="18"/>
                <w:szCs w:val="18"/>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991" w:type="dxa"/>
            <w:gridSpan w:val="2"/>
            <w:tcBorders>
              <w:tl2br w:val="nil"/>
              <w:tr2bl w:val="nil"/>
            </w:tcBorders>
            <w:noWrap w:val="0"/>
            <w:vAlign w:val="center"/>
          </w:tcPr>
          <w:p>
            <w:pPr>
              <w:widowControl/>
              <w:jc w:val="center"/>
              <w:rPr>
                <w:rFonts w:hint="eastAsia" w:ascii="宋体" w:hAnsi="宋体" w:cs="宋体"/>
                <w:kern w:val="0"/>
                <w:sz w:val="18"/>
                <w:szCs w:val="18"/>
                <w:lang w:val="en-US" w:eastAsia="zh-CN"/>
              </w:rPr>
            </w:pPr>
            <w:r>
              <w:rPr>
                <w:rFonts w:hint="eastAsia" w:ascii="宋体" w:hAnsi="宋体" w:cs="宋体"/>
                <w:b/>
                <w:bCs/>
                <w:kern w:val="0"/>
                <w:sz w:val="22"/>
                <w:szCs w:val="22"/>
                <w:lang w:val="en-US" w:eastAsia="zh-CN"/>
              </w:rPr>
              <w:t>1</w:t>
            </w:r>
            <w:r>
              <w:rPr>
                <w:rFonts w:hint="eastAsia" w:ascii="宋体" w:hAnsi="宋体" w:cs="宋体"/>
                <w:kern w:val="0"/>
                <w:sz w:val="22"/>
                <w:szCs w:val="22"/>
                <w:lang w:val="en-US" w:eastAsia="zh-CN"/>
              </w:rPr>
              <w:t>密集柜</w:t>
            </w:r>
          </w:p>
        </w:tc>
        <w:tc>
          <w:tcPr>
            <w:tcW w:w="4682" w:type="dxa"/>
            <w:tcBorders>
              <w:tl2br w:val="nil"/>
              <w:tr2bl w:val="nil"/>
            </w:tcBorders>
            <w:noWrap w:val="0"/>
            <w:vAlign w:val="center"/>
          </w:tcPr>
          <w:p>
            <w:pPr>
              <w:widowControl/>
              <w:jc w:val="both"/>
              <w:rPr>
                <w:rFonts w:hint="eastAsia" w:ascii="宋体" w:hAnsi="宋体" w:eastAsia="宋体" w:cs="宋体"/>
                <w:kern w:val="0"/>
                <w:sz w:val="18"/>
                <w:szCs w:val="18"/>
                <w:lang w:val="en-US" w:eastAsia="zh-CN"/>
              </w:rPr>
            </w:pPr>
          </w:p>
        </w:tc>
        <w:tc>
          <w:tcPr>
            <w:tcW w:w="1409" w:type="dxa"/>
            <w:tcBorders>
              <w:tl2br w:val="nil"/>
              <w:tr2bl w:val="nil"/>
            </w:tcBorders>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套</w:t>
            </w:r>
          </w:p>
        </w:tc>
        <w:tc>
          <w:tcPr>
            <w:tcW w:w="1490"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1.1</w:t>
            </w:r>
          </w:p>
        </w:tc>
        <w:tc>
          <w:tcPr>
            <w:tcW w:w="1127" w:type="dxa"/>
            <w:tcBorders>
              <w:tl2br w:val="nil"/>
              <w:tr2bl w:val="nil"/>
            </w:tcBorders>
            <w:noWrap w:val="0"/>
            <w:vAlign w:val="center"/>
          </w:tcPr>
          <w:p>
            <w:pPr>
              <w:widowControl/>
              <w:jc w:val="center"/>
              <w:rPr>
                <w:rFonts w:hint="eastAsia" w:ascii="宋体" w:hAnsi="宋体" w:cs="宋体"/>
                <w:kern w:val="0"/>
                <w:sz w:val="18"/>
                <w:szCs w:val="18"/>
                <w:lang w:val="en-US" w:eastAsia="zh-CN"/>
              </w:rPr>
            </w:pPr>
            <w:r>
              <w:rPr>
                <w:rFonts w:hint="eastAsia" w:ascii="宋体" w:hAnsi="宋体" w:cs="宋体"/>
                <w:kern w:val="0"/>
                <w:sz w:val="18"/>
                <w:szCs w:val="18"/>
                <w:lang w:val="en-US" w:eastAsia="zh-CN"/>
              </w:rPr>
              <w:t>智能密集架</w:t>
            </w:r>
          </w:p>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（含智能密集架软件管理系统1套）</w:t>
            </w:r>
          </w:p>
        </w:tc>
        <w:tc>
          <w:tcPr>
            <w:tcW w:w="4682" w:type="dxa"/>
            <w:tcBorders>
              <w:tl2br w:val="nil"/>
              <w:tr2bl w:val="nil"/>
            </w:tcBorders>
            <w:noWrap w:val="0"/>
            <w:vAlign w:val="center"/>
          </w:tcPr>
          <w:p>
            <w:pPr>
              <w:widowControl/>
              <w:jc w:val="both"/>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智能型（双柱双面）；驱动：手动+电动+电脑/APP远程；安全：红外防夹、急停、烟雾报警 。</w:t>
            </w:r>
          </w:p>
          <w:p>
            <w:pPr>
              <w:widowControl/>
              <w:jc w:val="both"/>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规格：单节H2200×W900×600mm；4节为1列；立柱≥1.5mm、搁板≥1.0mm冷轧钢板；每层承重≥80kg、 轨道20×20mm方钢；层数5层可调。</w:t>
            </w:r>
          </w:p>
        </w:tc>
        <w:tc>
          <w:tcPr>
            <w:tcW w:w="1409"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列</w:t>
            </w:r>
          </w:p>
        </w:tc>
        <w:tc>
          <w:tcPr>
            <w:tcW w:w="1490"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1.1.1</w:t>
            </w:r>
          </w:p>
        </w:tc>
        <w:tc>
          <w:tcPr>
            <w:tcW w:w="1127" w:type="dxa"/>
            <w:tcBorders>
              <w:tl2br w:val="nil"/>
              <w:tr2bl w:val="nil"/>
            </w:tcBorders>
            <w:noWrap w:val="0"/>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val="en-US" w:eastAsia="zh-CN"/>
              </w:rPr>
              <w:t>备品</w:t>
            </w:r>
            <w:r>
              <w:rPr>
                <w:rFonts w:hint="eastAsia" w:ascii="宋体" w:hAnsi="宋体" w:cs="宋体"/>
                <w:kern w:val="0"/>
                <w:sz w:val="18"/>
                <w:szCs w:val="18"/>
                <w:lang w:eastAsia="zh-CN"/>
              </w:rPr>
              <w:t>、配件</w:t>
            </w:r>
          </w:p>
        </w:tc>
        <w:tc>
          <w:tcPr>
            <w:tcW w:w="4682" w:type="dxa"/>
            <w:tcBorders>
              <w:tl2br w:val="nil"/>
              <w:tr2bl w:val="nil"/>
            </w:tcBorders>
            <w:noWrap w:val="0"/>
            <w:vAlign w:val="center"/>
          </w:tcPr>
          <w:p>
            <w:pPr>
              <w:widowControl/>
              <w:jc w:val="both"/>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以上述设备配套，可直接替换使用，符合相关技术标准。</w:t>
            </w:r>
          </w:p>
        </w:tc>
        <w:tc>
          <w:tcPr>
            <w:tcW w:w="1409" w:type="dxa"/>
            <w:tcBorders>
              <w:tl2br w:val="nil"/>
              <w:tr2bl w:val="nil"/>
            </w:tcBorders>
            <w:noWrap w:val="0"/>
            <w:vAlign w:val="center"/>
          </w:tcPr>
          <w:p>
            <w:pPr>
              <w:widowControl/>
              <w:jc w:val="center"/>
              <w:rPr>
                <w:rFonts w:hint="eastAsia" w:ascii="宋体" w:hAnsi="宋体" w:eastAsia="宋体" w:cs="宋体"/>
                <w:kern w:val="0"/>
                <w:sz w:val="18"/>
                <w:szCs w:val="18"/>
                <w:lang w:eastAsia="zh-CN"/>
              </w:rPr>
            </w:pPr>
            <w:r>
              <w:rPr>
                <w:rFonts w:hint="eastAsia" w:ascii="宋体" w:hAnsi="宋体" w:cs="宋体"/>
                <w:kern w:val="0"/>
                <w:sz w:val="18"/>
                <w:szCs w:val="18"/>
                <w:lang w:eastAsia="zh-CN"/>
              </w:rPr>
              <w:t>套</w:t>
            </w:r>
          </w:p>
        </w:tc>
        <w:tc>
          <w:tcPr>
            <w:tcW w:w="1490"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1.1.2</w:t>
            </w:r>
          </w:p>
        </w:tc>
        <w:tc>
          <w:tcPr>
            <w:tcW w:w="1127" w:type="dxa"/>
            <w:tcBorders>
              <w:tl2br w:val="nil"/>
              <w:tr2bl w:val="nil"/>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说明书</w:t>
            </w:r>
          </w:p>
        </w:tc>
        <w:tc>
          <w:tcPr>
            <w:tcW w:w="4682" w:type="dxa"/>
            <w:tcBorders>
              <w:tl2br w:val="nil"/>
              <w:tr2bl w:val="nil"/>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适配该装置的功能、参数设置、显示说明书</w:t>
            </w:r>
          </w:p>
        </w:tc>
        <w:tc>
          <w:tcPr>
            <w:tcW w:w="1409" w:type="dxa"/>
            <w:tcBorders>
              <w:tl2br w:val="nil"/>
              <w:tr2bl w:val="nil"/>
            </w:tcBorders>
            <w:noWrap w:val="0"/>
            <w:vAlign w:val="center"/>
          </w:tcPr>
          <w:p>
            <w:pPr>
              <w:jc w:val="center"/>
              <w:rPr>
                <w:rFonts w:ascii="宋体" w:hAnsi="宋体" w:cs="宋体"/>
                <w:kern w:val="0"/>
                <w:sz w:val="18"/>
                <w:szCs w:val="18"/>
              </w:rPr>
            </w:pPr>
            <w:r>
              <w:rPr>
                <w:rFonts w:hint="eastAsia" w:ascii="宋体" w:hAnsi="宋体" w:cs="宋体"/>
                <w:kern w:val="0"/>
                <w:sz w:val="18"/>
                <w:szCs w:val="18"/>
              </w:rPr>
              <w:t>份</w:t>
            </w:r>
          </w:p>
        </w:tc>
        <w:tc>
          <w:tcPr>
            <w:tcW w:w="1490"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1.1.3</w:t>
            </w:r>
          </w:p>
        </w:tc>
        <w:tc>
          <w:tcPr>
            <w:tcW w:w="1127" w:type="dxa"/>
            <w:tcBorders>
              <w:tl2br w:val="nil"/>
              <w:tr2bl w:val="nil"/>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出厂报告</w:t>
            </w:r>
          </w:p>
        </w:tc>
        <w:tc>
          <w:tcPr>
            <w:tcW w:w="4682" w:type="dxa"/>
            <w:tcBorders>
              <w:tl2br w:val="nil"/>
              <w:tr2bl w:val="nil"/>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出厂检验包含主要指标精度</w:t>
            </w:r>
          </w:p>
        </w:tc>
        <w:tc>
          <w:tcPr>
            <w:tcW w:w="1409" w:type="dxa"/>
            <w:tcBorders>
              <w:tl2br w:val="nil"/>
              <w:tr2bl w:val="nil"/>
            </w:tcBorders>
            <w:noWrap w:val="0"/>
            <w:vAlign w:val="center"/>
          </w:tcPr>
          <w:p>
            <w:pPr>
              <w:jc w:val="center"/>
              <w:rPr>
                <w:rFonts w:ascii="宋体" w:hAnsi="宋体" w:cs="宋体"/>
                <w:kern w:val="0"/>
                <w:sz w:val="18"/>
                <w:szCs w:val="18"/>
              </w:rPr>
            </w:pPr>
            <w:r>
              <w:rPr>
                <w:rFonts w:hint="eastAsia" w:ascii="宋体" w:hAnsi="宋体" w:cs="宋体"/>
                <w:kern w:val="0"/>
                <w:sz w:val="18"/>
                <w:szCs w:val="18"/>
              </w:rPr>
              <w:t>份</w:t>
            </w:r>
          </w:p>
        </w:tc>
        <w:tc>
          <w:tcPr>
            <w:tcW w:w="1490"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b w:val="0"/>
                <w:bCs w:val="0"/>
                <w:kern w:val="0"/>
                <w:sz w:val="18"/>
                <w:szCs w:val="18"/>
                <w:lang w:val="en-US" w:eastAsia="zh-CN"/>
              </w:rPr>
              <w:t>1.2</w:t>
            </w:r>
          </w:p>
        </w:tc>
        <w:tc>
          <w:tcPr>
            <w:tcW w:w="1127"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固定密集架</w:t>
            </w:r>
          </w:p>
        </w:tc>
        <w:tc>
          <w:tcPr>
            <w:tcW w:w="4682" w:type="dxa"/>
            <w:tcBorders>
              <w:tl2br w:val="nil"/>
              <w:tr2bl w:val="nil"/>
            </w:tcBorders>
            <w:noWrap w:val="0"/>
            <w:vAlign w:val="center"/>
          </w:tcPr>
          <w:p>
            <w:pPr>
              <w:widowControl/>
              <w:jc w:val="center"/>
              <w:rPr>
                <w:rFonts w:ascii="宋体" w:hAnsi="宋体" w:eastAsia="宋体" w:cs="宋体"/>
                <w:sz w:val="21"/>
                <w:szCs w:val="21"/>
              </w:rPr>
            </w:pPr>
            <w:r>
              <w:rPr>
                <w:rStyle w:val="26"/>
                <w:rFonts w:hint="eastAsia" w:ascii="宋体" w:hAnsi="宋体" w:cs="宋体"/>
                <w:b w:val="0"/>
                <w:bCs w:val="0"/>
                <w:color w:val="000000"/>
                <w:sz w:val="21"/>
                <w:szCs w:val="21"/>
                <w:lang w:val="en-US" w:eastAsia="zh-CN"/>
              </w:rPr>
              <w:t>型</w:t>
            </w:r>
            <w:r>
              <w:rPr>
                <w:rStyle w:val="26"/>
                <w:rFonts w:ascii="宋体" w:hAnsi="宋体" w:eastAsia="宋体" w:cs="宋体"/>
                <w:b w:val="0"/>
                <w:bCs w:val="0"/>
                <w:color w:val="000000"/>
                <w:sz w:val="21"/>
                <w:szCs w:val="21"/>
              </w:rPr>
              <w:t>式</w:t>
            </w:r>
            <w:r>
              <w:rPr>
                <w:rFonts w:ascii="宋体" w:hAnsi="宋体" w:eastAsia="宋体" w:cs="宋体"/>
                <w:sz w:val="21"/>
                <w:szCs w:val="21"/>
              </w:rPr>
              <w:t>：双柱式固定密集架，整体式底盘，</w:t>
            </w:r>
            <w:r>
              <w:rPr>
                <w:rFonts w:hint="eastAsia" w:ascii="宋体" w:hAnsi="宋体" w:eastAsia="宋体" w:cs="宋体"/>
                <w:sz w:val="21"/>
                <w:szCs w:val="21"/>
                <w:lang w:val="en-US" w:eastAsia="zh-CN"/>
              </w:rPr>
              <w:t>单面</w:t>
            </w:r>
            <w:r>
              <w:rPr>
                <w:rFonts w:ascii="宋体" w:hAnsi="宋体" w:eastAsia="宋体" w:cs="宋体"/>
                <w:sz w:val="21"/>
                <w:szCs w:val="21"/>
              </w:rPr>
              <w:t>架体。</w:t>
            </w:r>
          </w:p>
          <w:p>
            <w:pPr>
              <w:widowControl/>
              <w:jc w:val="center"/>
              <w:rPr>
                <w:rFonts w:ascii="宋体" w:hAnsi="宋体" w:cs="宋体"/>
                <w:kern w:val="0"/>
                <w:sz w:val="18"/>
                <w:szCs w:val="18"/>
              </w:rPr>
            </w:pPr>
            <w:r>
              <w:rPr>
                <w:rStyle w:val="26"/>
                <w:rFonts w:ascii="宋体" w:hAnsi="宋体" w:eastAsia="宋体" w:cs="宋体"/>
                <w:b w:val="0"/>
                <w:bCs w:val="0"/>
                <w:color w:val="000000"/>
                <w:sz w:val="21"/>
                <w:szCs w:val="21"/>
              </w:rPr>
              <w:t>规格</w:t>
            </w:r>
            <w:r>
              <w:rPr>
                <w:rFonts w:ascii="宋体" w:hAnsi="宋体" w:eastAsia="宋体" w:cs="宋体"/>
                <w:sz w:val="21"/>
                <w:szCs w:val="21"/>
              </w:rPr>
              <w:t xml:space="preserve">：单节尺寸 </w:t>
            </w:r>
            <w:r>
              <w:rPr>
                <w:rFonts w:hint="eastAsia" w:ascii="宋体" w:hAnsi="宋体" w:eastAsia="宋体" w:cs="宋体"/>
                <w:sz w:val="21"/>
                <w:szCs w:val="21"/>
                <w:lang w:val="en-US" w:eastAsia="zh-CN"/>
              </w:rPr>
              <w:t>19</w:t>
            </w:r>
            <w:r>
              <w:rPr>
                <w:rFonts w:ascii="宋体" w:hAnsi="宋体" w:eastAsia="宋体" w:cs="宋体"/>
                <w:sz w:val="21"/>
                <w:szCs w:val="21"/>
              </w:rPr>
              <w:t>00×</w:t>
            </w:r>
            <w:r>
              <w:rPr>
                <w:rFonts w:hint="eastAsia" w:ascii="宋体" w:hAnsi="宋体" w:eastAsia="宋体" w:cs="宋体"/>
                <w:sz w:val="21"/>
                <w:szCs w:val="21"/>
                <w:lang w:val="en-US" w:eastAsia="zh-CN"/>
              </w:rPr>
              <w:t>10</w:t>
            </w:r>
            <w:r>
              <w:rPr>
                <w:rFonts w:ascii="宋体" w:hAnsi="宋体" w:eastAsia="宋体" w:cs="宋体"/>
                <w:sz w:val="21"/>
                <w:szCs w:val="21"/>
              </w:rPr>
              <w:t>00×60</w:t>
            </w:r>
            <w:r>
              <w:rPr>
                <w:rFonts w:hint="eastAsia" w:ascii="宋体" w:hAnsi="宋体" w:eastAsia="宋体" w:cs="宋体"/>
                <w:sz w:val="21"/>
                <w:szCs w:val="21"/>
                <w:lang w:val="en-US" w:eastAsia="zh-CN"/>
              </w:rPr>
              <w:t>0</w:t>
            </w:r>
            <w:r>
              <w:rPr>
                <w:rFonts w:ascii="宋体" w:hAnsi="宋体" w:eastAsia="宋体" w:cs="宋体"/>
                <w:sz w:val="21"/>
                <w:szCs w:val="21"/>
              </w:rPr>
              <w:t>mm (高 × 宽 × 深)；</w:t>
            </w:r>
            <w:r>
              <w:rPr>
                <w:rFonts w:hint="eastAsia" w:ascii="宋体" w:hAnsi="宋体" w:eastAsia="宋体" w:cs="宋体"/>
                <w:sz w:val="21"/>
                <w:szCs w:val="21"/>
                <w:lang w:val="en-US" w:eastAsia="zh-CN"/>
              </w:rPr>
              <w:t>4节1列。</w:t>
            </w:r>
            <w:r>
              <w:rPr>
                <w:rFonts w:ascii="宋体" w:hAnsi="宋体" w:eastAsia="宋体" w:cs="宋体"/>
                <w:sz w:val="21"/>
                <w:szCs w:val="21"/>
              </w:rPr>
              <w:t>立柱≥1.5mm、搁板≥1.</w:t>
            </w:r>
            <w:r>
              <w:rPr>
                <w:rFonts w:hint="eastAsia" w:ascii="宋体" w:hAnsi="宋体" w:eastAsia="宋体" w:cs="宋体"/>
                <w:sz w:val="21"/>
                <w:szCs w:val="21"/>
                <w:lang w:val="en-US" w:eastAsia="zh-CN"/>
              </w:rPr>
              <w:t>0</w:t>
            </w:r>
            <w:r>
              <w:rPr>
                <w:rFonts w:ascii="宋体" w:hAnsi="宋体" w:eastAsia="宋体" w:cs="宋体"/>
                <w:sz w:val="21"/>
                <w:szCs w:val="21"/>
              </w:rPr>
              <w:t>mm 冷轧钢板；每层承重≥80kg</w:t>
            </w:r>
            <w:r>
              <w:rPr>
                <w:rFonts w:hint="eastAsia" w:ascii="宋体" w:hAnsi="宋体" w:eastAsia="宋体" w:cs="宋体"/>
                <w:sz w:val="21"/>
                <w:szCs w:val="21"/>
                <w:lang w:eastAsia="zh-CN"/>
              </w:rPr>
              <w:t>，</w:t>
            </w:r>
            <w:r>
              <w:rPr>
                <w:rFonts w:ascii="宋体" w:hAnsi="宋体" w:eastAsia="宋体" w:cs="宋体"/>
                <w:sz w:val="21"/>
                <w:szCs w:val="21"/>
              </w:rPr>
              <w:t>表面经静电喷塑处理，符合 GB/T 13667 标准</w:t>
            </w:r>
            <w:r>
              <w:rPr>
                <w:rFonts w:ascii="宋体" w:hAnsi="宋体" w:eastAsia="宋体" w:cs="宋体"/>
                <w:sz w:val="24"/>
                <w:szCs w:val="24"/>
              </w:rPr>
              <w:t>。</w:t>
            </w:r>
          </w:p>
        </w:tc>
        <w:tc>
          <w:tcPr>
            <w:tcW w:w="1409" w:type="dxa"/>
            <w:tcBorders>
              <w:tl2br w:val="nil"/>
              <w:tr2bl w:val="nil"/>
            </w:tcBorders>
            <w:noWrap w:val="0"/>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列</w:t>
            </w:r>
          </w:p>
        </w:tc>
        <w:tc>
          <w:tcPr>
            <w:tcW w:w="1490" w:type="dxa"/>
            <w:tcBorders>
              <w:tl2br w:val="nil"/>
              <w:tr2bl w:val="nil"/>
            </w:tcBorders>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1.2.1</w:t>
            </w:r>
          </w:p>
        </w:tc>
        <w:tc>
          <w:tcPr>
            <w:tcW w:w="1127"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备品、备件</w:t>
            </w:r>
          </w:p>
        </w:tc>
        <w:tc>
          <w:tcPr>
            <w:tcW w:w="4682" w:type="dxa"/>
            <w:tcBorders>
              <w:tl2br w:val="nil"/>
              <w:tr2bl w:val="nil"/>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以上述设备配套，可直接替换使用，符合相关技术标准。</w:t>
            </w:r>
          </w:p>
        </w:tc>
        <w:tc>
          <w:tcPr>
            <w:tcW w:w="1409" w:type="dxa"/>
            <w:tcBorders>
              <w:tl2br w:val="nil"/>
              <w:tr2bl w:val="nil"/>
            </w:tcBorders>
            <w:noWrap w:val="0"/>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套</w:t>
            </w:r>
          </w:p>
        </w:tc>
        <w:tc>
          <w:tcPr>
            <w:tcW w:w="1490" w:type="dxa"/>
            <w:tcBorders>
              <w:tl2br w:val="nil"/>
              <w:tr2bl w:val="nil"/>
            </w:tcBorders>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1.2.2</w:t>
            </w:r>
          </w:p>
        </w:tc>
        <w:tc>
          <w:tcPr>
            <w:tcW w:w="1127"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说明书</w:t>
            </w:r>
          </w:p>
        </w:tc>
        <w:tc>
          <w:tcPr>
            <w:tcW w:w="4682" w:type="dxa"/>
            <w:tcBorders>
              <w:tl2br w:val="nil"/>
              <w:tr2bl w:val="nil"/>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适配该装置的功能、参数设置、显示说明书</w:t>
            </w:r>
          </w:p>
        </w:tc>
        <w:tc>
          <w:tcPr>
            <w:tcW w:w="1409" w:type="dxa"/>
            <w:tcBorders>
              <w:tl2br w:val="nil"/>
              <w:tr2bl w:val="nil"/>
            </w:tcBorders>
            <w:noWrap w:val="0"/>
            <w:vAlign w:val="center"/>
          </w:tcPr>
          <w:p>
            <w:pPr>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份</w:t>
            </w:r>
          </w:p>
        </w:tc>
        <w:tc>
          <w:tcPr>
            <w:tcW w:w="1490"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1.2.3</w:t>
            </w:r>
          </w:p>
        </w:tc>
        <w:tc>
          <w:tcPr>
            <w:tcW w:w="1127"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出厂报告</w:t>
            </w:r>
          </w:p>
        </w:tc>
        <w:tc>
          <w:tcPr>
            <w:tcW w:w="4682" w:type="dxa"/>
            <w:tcBorders>
              <w:tl2br w:val="nil"/>
              <w:tr2bl w:val="nil"/>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出厂检验包含主要指标精度</w:t>
            </w:r>
          </w:p>
        </w:tc>
        <w:tc>
          <w:tcPr>
            <w:tcW w:w="1409" w:type="dxa"/>
            <w:tcBorders>
              <w:tl2br w:val="nil"/>
              <w:tr2bl w:val="nil"/>
            </w:tcBorders>
            <w:noWrap w:val="0"/>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份</w:t>
            </w:r>
          </w:p>
        </w:tc>
        <w:tc>
          <w:tcPr>
            <w:tcW w:w="1490"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b w:val="0"/>
                <w:bCs w:val="0"/>
                <w:kern w:val="0"/>
                <w:sz w:val="18"/>
                <w:szCs w:val="18"/>
                <w:lang w:val="en-US" w:eastAsia="zh-CN"/>
              </w:rPr>
              <w:t>1.3</w:t>
            </w:r>
          </w:p>
        </w:tc>
        <w:tc>
          <w:tcPr>
            <w:tcW w:w="1127"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固定密集架</w:t>
            </w:r>
          </w:p>
        </w:tc>
        <w:tc>
          <w:tcPr>
            <w:tcW w:w="4682" w:type="dxa"/>
            <w:tcBorders>
              <w:tl2br w:val="nil"/>
              <w:tr2bl w:val="nil"/>
            </w:tcBorders>
            <w:noWrap w:val="0"/>
            <w:vAlign w:val="center"/>
          </w:tcPr>
          <w:p>
            <w:pPr>
              <w:widowControl/>
              <w:jc w:val="center"/>
              <w:rPr>
                <w:rFonts w:ascii="宋体" w:hAnsi="宋体" w:eastAsia="宋体" w:cs="宋体"/>
                <w:sz w:val="21"/>
                <w:szCs w:val="21"/>
              </w:rPr>
            </w:pPr>
            <w:r>
              <w:rPr>
                <w:rStyle w:val="26"/>
                <w:rFonts w:hint="eastAsia" w:ascii="宋体" w:hAnsi="宋体" w:cs="宋体"/>
                <w:b w:val="0"/>
                <w:bCs w:val="0"/>
                <w:color w:val="000000"/>
                <w:sz w:val="21"/>
                <w:szCs w:val="21"/>
                <w:lang w:val="en-US" w:eastAsia="zh-CN"/>
              </w:rPr>
              <w:t>型</w:t>
            </w:r>
            <w:r>
              <w:rPr>
                <w:rStyle w:val="26"/>
                <w:rFonts w:ascii="宋体" w:hAnsi="宋体" w:eastAsia="宋体" w:cs="宋体"/>
                <w:b w:val="0"/>
                <w:bCs w:val="0"/>
                <w:color w:val="000000"/>
                <w:sz w:val="21"/>
                <w:szCs w:val="21"/>
              </w:rPr>
              <w:t>式</w:t>
            </w:r>
            <w:r>
              <w:rPr>
                <w:rFonts w:ascii="宋体" w:hAnsi="宋体" w:eastAsia="宋体" w:cs="宋体"/>
                <w:sz w:val="21"/>
                <w:szCs w:val="21"/>
              </w:rPr>
              <w:t>：双柱式固定密集架，整体式底盘，</w:t>
            </w:r>
            <w:r>
              <w:rPr>
                <w:rFonts w:hint="eastAsia" w:ascii="宋体" w:hAnsi="宋体" w:eastAsia="宋体" w:cs="宋体"/>
                <w:sz w:val="21"/>
                <w:szCs w:val="21"/>
                <w:lang w:val="en-US" w:eastAsia="zh-CN"/>
              </w:rPr>
              <w:t>单面</w:t>
            </w:r>
            <w:r>
              <w:rPr>
                <w:rFonts w:ascii="宋体" w:hAnsi="宋体" w:eastAsia="宋体" w:cs="宋体"/>
                <w:sz w:val="21"/>
                <w:szCs w:val="21"/>
              </w:rPr>
              <w:t>架体。</w:t>
            </w:r>
          </w:p>
          <w:p>
            <w:pPr>
              <w:widowControl/>
              <w:jc w:val="center"/>
              <w:rPr>
                <w:rFonts w:ascii="宋体" w:hAnsi="宋体" w:cs="宋体"/>
                <w:kern w:val="0"/>
                <w:sz w:val="18"/>
                <w:szCs w:val="18"/>
              </w:rPr>
            </w:pPr>
            <w:r>
              <w:rPr>
                <w:rStyle w:val="26"/>
                <w:rFonts w:ascii="宋体" w:hAnsi="宋体" w:eastAsia="宋体" w:cs="宋体"/>
                <w:b w:val="0"/>
                <w:bCs w:val="0"/>
                <w:color w:val="000000"/>
                <w:sz w:val="21"/>
                <w:szCs w:val="21"/>
              </w:rPr>
              <w:t>规格</w:t>
            </w:r>
            <w:r>
              <w:rPr>
                <w:rFonts w:ascii="宋体" w:hAnsi="宋体" w:eastAsia="宋体" w:cs="宋体"/>
                <w:b w:val="0"/>
                <w:bCs w:val="0"/>
                <w:sz w:val="21"/>
                <w:szCs w:val="21"/>
              </w:rPr>
              <w:t>：</w:t>
            </w:r>
            <w:r>
              <w:rPr>
                <w:rFonts w:ascii="宋体" w:hAnsi="宋体" w:eastAsia="宋体" w:cs="宋体"/>
                <w:sz w:val="21"/>
                <w:szCs w:val="21"/>
              </w:rPr>
              <w:t xml:space="preserve">单节尺寸 </w:t>
            </w:r>
            <w:r>
              <w:rPr>
                <w:rFonts w:hint="eastAsia" w:ascii="宋体" w:hAnsi="宋体" w:eastAsia="宋体" w:cs="宋体"/>
                <w:sz w:val="21"/>
                <w:szCs w:val="21"/>
                <w:lang w:val="en-US" w:eastAsia="zh-CN"/>
              </w:rPr>
              <w:t>19</w:t>
            </w:r>
            <w:r>
              <w:rPr>
                <w:rFonts w:ascii="宋体" w:hAnsi="宋体" w:eastAsia="宋体" w:cs="宋体"/>
                <w:sz w:val="21"/>
                <w:szCs w:val="21"/>
              </w:rPr>
              <w:t>00×</w:t>
            </w:r>
            <w:r>
              <w:rPr>
                <w:rFonts w:hint="eastAsia" w:ascii="宋体" w:hAnsi="宋体" w:eastAsia="宋体" w:cs="宋体"/>
                <w:sz w:val="21"/>
                <w:szCs w:val="21"/>
                <w:lang w:val="en-US" w:eastAsia="zh-CN"/>
              </w:rPr>
              <w:t>10</w:t>
            </w:r>
            <w:r>
              <w:rPr>
                <w:rFonts w:ascii="宋体" w:hAnsi="宋体" w:eastAsia="宋体" w:cs="宋体"/>
                <w:sz w:val="21"/>
                <w:szCs w:val="21"/>
              </w:rPr>
              <w:t>00×60</w:t>
            </w:r>
            <w:r>
              <w:rPr>
                <w:rFonts w:hint="eastAsia" w:ascii="宋体" w:hAnsi="宋体" w:eastAsia="宋体" w:cs="宋体"/>
                <w:sz w:val="21"/>
                <w:szCs w:val="21"/>
                <w:lang w:val="en-US" w:eastAsia="zh-CN"/>
              </w:rPr>
              <w:t>0</w:t>
            </w:r>
            <w:r>
              <w:rPr>
                <w:rFonts w:ascii="宋体" w:hAnsi="宋体" w:eastAsia="宋体" w:cs="宋体"/>
                <w:sz w:val="21"/>
                <w:szCs w:val="21"/>
              </w:rPr>
              <w:t>mm (高 × 宽 × 深)；</w:t>
            </w:r>
            <w:r>
              <w:rPr>
                <w:rFonts w:hint="eastAsia" w:ascii="宋体" w:hAnsi="宋体" w:cs="宋体"/>
                <w:sz w:val="21"/>
                <w:szCs w:val="21"/>
                <w:lang w:val="en-US" w:eastAsia="zh-CN"/>
              </w:rPr>
              <w:t>5</w:t>
            </w:r>
            <w:r>
              <w:rPr>
                <w:rFonts w:hint="eastAsia" w:ascii="宋体" w:hAnsi="宋体" w:eastAsia="宋体" w:cs="宋体"/>
                <w:sz w:val="21"/>
                <w:szCs w:val="21"/>
                <w:lang w:val="en-US" w:eastAsia="zh-CN"/>
              </w:rPr>
              <w:t>节1列。</w:t>
            </w:r>
            <w:r>
              <w:rPr>
                <w:rFonts w:ascii="宋体" w:hAnsi="宋体" w:eastAsia="宋体" w:cs="宋体"/>
                <w:sz w:val="21"/>
                <w:szCs w:val="21"/>
              </w:rPr>
              <w:t>立柱≥1.5mm、搁板≥1.</w:t>
            </w:r>
            <w:r>
              <w:rPr>
                <w:rFonts w:hint="eastAsia" w:ascii="宋体" w:hAnsi="宋体" w:eastAsia="宋体" w:cs="宋体"/>
                <w:sz w:val="21"/>
                <w:szCs w:val="21"/>
                <w:lang w:val="en-US" w:eastAsia="zh-CN"/>
              </w:rPr>
              <w:t>0</w:t>
            </w:r>
            <w:r>
              <w:rPr>
                <w:rFonts w:ascii="宋体" w:hAnsi="宋体" w:eastAsia="宋体" w:cs="宋体"/>
                <w:sz w:val="21"/>
                <w:szCs w:val="21"/>
              </w:rPr>
              <w:t>mm 冷轧钢板；每层承重≥80kg</w:t>
            </w:r>
            <w:r>
              <w:rPr>
                <w:rFonts w:hint="eastAsia" w:ascii="宋体" w:hAnsi="宋体" w:eastAsia="宋体" w:cs="宋体"/>
                <w:sz w:val="21"/>
                <w:szCs w:val="21"/>
                <w:lang w:eastAsia="zh-CN"/>
              </w:rPr>
              <w:t>，</w:t>
            </w:r>
            <w:r>
              <w:rPr>
                <w:rFonts w:ascii="宋体" w:hAnsi="宋体" w:eastAsia="宋体" w:cs="宋体"/>
                <w:sz w:val="21"/>
                <w:szCs w:val="21"/>
              </w:rPr>
              <w:t>表面经静电喷塑处理，符合 GB/T 13667 标准</w:t>
            </w:r>
            <w:r>
              <w:rPr>
                <w:rFonts w:ascii="宋体" w:hAnsi="宋体" w:eastAsia="宋体" w:cs="宋体"/>
                <w:sz w:val="24"/>
                <w:szCs w:val="24"/>
              </w:rPr>
              <w:t>。</w:t>
            </w:r>
          </w:p>
        </w:tc>
        <w:tc>
          <w:tcPr>
            <w:tcW w:w="1409" w:type="dxa"/>
            <w:tcBorders>
              <w:tl2br w:val="nil"/>
              <w:tr2bl w:val="nil"/>
            </w:tcBorders>
            <w:noWrap w:val="0"/>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列</w:t>
            </w:r>
          </w:p>
        </w:tc>
        <w:tc>
          <w:tcPr>
            <w:tcW w:w="1490" w:type="dxa"/>
            <w:tcBorders>
              <w:tl2br w:val="nil"/>
              <w:tr2bl w:val="nil"/>
            </w:tcBorders>
            <w:noWrap w:val="0"/>
            <w:vAlign w:val="center"/>
          </w:tcPr>
          <w:p>
            <w:pPr>
              <w:widowControl/>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1.3.1</w:t>
            </w:r>
          </w:p>
        </w:tc>
        <w:tc>
          <w:tcPr>
            <w:tcW w:w="1127"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备品、备件</w:t>
            </w:r>
          </w:p>
        </w:tc>
        <w:tc>
          <w:tcPr>
            <w:tcW w:w="4682" w:type="dxa"/>
            <w:tcBorders>
              <w:tl2br w:val="nil"/>
              <w:tr2bl w:val="nil"/>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lang w:val="en-US" w:eastAsia="zh-CN"/>
              </w:rPr>
              <w:t>以上述设备配套，可直接替换使用，符合相关技术标准。</w:t>
            </w:r>
          </w:p>
        </w:tc>
        <w:tc>
          <w:tcPr>
            <w:tcW w:w="1409" w:type="dxa"/>
            <w:tcBorders>
              <w:tl2br w:val="nil"/>
              <w:tr2bl w:val="nil"/>
            </w:tcBorders>
            <w:noWrap w:val="0"/>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套</w:t>
            </w:r>
          </w:p>
        </w:tc>
        <w:tc>
          <w:tcPr>
            <w:tcW w:w="1490"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1.3.2</w:t>
            </w:r>
          </w:p>
        </w:tc>
        <w:tc>
          <w:tcPr>
            <w:tcW w:w="1127"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说明书</w:t>
            </w:r>
          </w:p>
        </w:tc>
        <w:tc>
          <w:tcPr>
            <w:tcW w:w="4682" w:type="dxa"/>
            <w:tcBorders>
              <w:tl2br w:val="nil"/>
              <w:tr2bl w:val="nil"/>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适配该装置的功能、参数设置、显示说明书</w:t>
            </w:r>
          </w:p>
        </w:tc>
        <w:tc>
          <w:tcPr>
            <w:tcW w:w="1409" w:type="dxa"/>
            <w:tcBorders>
              <w:tl2br w:val="nil"/>
              <w:tr2bl w:val="nil"/>
            </w:tcBorders>
            <w:noWrap w:val="0"/>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份</w:t>
            </w:r>
          </w:p>
        </w:tc>
        <w:tc>
          <w:tcPr>
            <w:tcW w:w="1490"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64"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1.3.3</w:t>
            </w:r>
          </w:p>
        </w:tc>
        <w:tc>
          <w:tcPr>
            <w:tcW w:w="1127" w:type="dxa"/>
            <w:tcBorders>
              <w:tl2br w:val="nil"/>
              <w:tr2bl w:val="nil"/>
            </w:tcBorders>
            <w:noWrap w:val="0"/>
            <w:vAlign w:val="center"/>
          </w:tcPr>
          <w:p>
            <w:pPr>
              <w:widowControl/>
              <w:jc w:val="center"/>
              <w:rPr>
                <w:rFonts w:hint="default" w:ascii="宋体" w:hAnsi="宋体" w:cs="宋体"/>
                <w:kern w:val="0"/>
                <w:sz w:val="18"/>
                <w:szCs w:val="18"/>
                <w:lang w:val="en-US" w:eastAsia="zh-CN"/>
              </w:rPr>
            </w:pPr>
            <w:r>
              <w:rPr>
                <w:rFonts w:hint="eastAsia" w:ascii="宋体" w:hAnsi="宋体" w:cs="宋体"/>
                <w:kern w:val="0"/>
                <w:sz w:val="18"/>
                <w:szCs w:val="18"/>
                <w:lang w:val="en-US" w:eastAsia="zh-CN"/>
              </w:rPr>
              <w:t>出厂报告</w:t>
            </w:r>
          </w:p>
        </w:tc>
        <w:tc>
          <w:tcPr>
            <w:tcW w:w="4682" w:type="dxa"/>
            <w:tcBorders>
              <w:tl2br w:val="nil"/>
              <w:tr2bl w:val="nil"/>
            </w:tcBorders>
            <w:noWrap w:val="0"/>
            <w:vAlign w:val="center"/>
          </w:tcPr>
          <w:p>
            <w:pPr>
              <w:widowControl/>
              <w:jc w:val="center"/>
              <w:rPr>
                <w:rFonts w:ascii="宋体" w:hAnsi="宋体" w:cs="宋体"/>
                <w:kern w:val="0"/>
                <w:sz w:val="18"/>
                <w:szCs w:val="18"/>
              </w:rPr>
            </w:pPr>
            <w:r>
              <w:rPr>
                <w:rFonts w:hint="eastAsia" w:ascii="宋体" w:hAnsi="宋体" w:cs="宋体"/>
                <w:kern w:val="0"/>
                <w:sz w:val="18"/>
                <w:szCs w:val="18"/>
              </w:rPr>
              <w:t>出厂检验包含主要指标精度</w:t>
            </w:r>
          </w:p>
        </w:tc>
        <w:tc>
          <w:tcPr>
            <w:tcW w:w="1409" w:type="dxa"/>
            <w:tcBorders>
              <w:tl2br w:val="nil"/>
              <w:tr2bl w:val="nil"/>
            </w:tcBorders>
            <w:noWrap w:val="0"/>
            <w:vAlign w:val="center"/>
          </w:tcPr>
          <w:p>
            <w:pPr>
              <w:jc w:val="center"/>
              <w:rPr>
                <w:rFonts w:hint="eastAsia" w:ascii="宋体" w:hAnsi="宋体" w:eastAsia="宋体" w:cs="宋体"/>
                <w:kern w:val="0"/>
                <w:sz w:val="18"/>
                <w:szCs w:val="18"/>
                <w:lang w:val="en-US" w:eastAsia="zh-CN"/>
              </w:rPr>
            </w:pPr>
            <w:r>
              <w:rPr>
                <w:rFonts w:hint="eastAsia" w:ascii="宋体" w:hAnsi="宋体" w:cs="宋体"/>
                <w:kern w:val="0"/>
                <w:sz w:val="18"/>
                <w:szCs w:val="18"/>
                <w:lang w:val="en-US" w:eastAsia="zh-CN"/>
              </w:rPr>
              <w:t>份</w:t>
            </w:r>
          </w:p>
        </w:tc>
        <w:tc>
          <w:tcPr>
            <w:tcW w:w="1490" w:type="dxa"/>
            <w:tcBorders>
              <w:tl2br w:val="nil"/>
              <w:tr2bl w:val="nil"/>
            </w:tcBorders>
            <w:noWrap w:val="0"/>
            <w:vAlign w:val="center"/>
          </w:tcPr>
          <w:p>
            <w:pPr>
              <w:widowControl/>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w:t>
            </w:r>
          </w:p>
        </w:tc>
      </w:tr>
    </w:tbl>
    <w:p>
      <w:pPr>
        <w:rPr>
          <w:rFonts w:hint="eastAsia"/>
        </w:rPr>
      </w:pPr>
    </w:p>
    <w:sectPr>
      <w:headerReference r:id="rId4" w:type="first"/>
      <w:footerReference r:id="rId6" w:type="first"/>
      <w:headerReference r:id="rId3" w:type="default"/>
      <w:footerReference r:id="rId5" w:type="default"/>
      <w:pgSz w:w="11906" w:h="16838"/>
      <w:pgMar w:top="1440" w:right="1286" w:bottom="1440" w:left="1260" w:header="851" w:footer="992" w:gutter="0"/>
      <w:pgBorders>
        <w:top w:val="none" w:sz="0" w:space="0"/>
        <w:left w:val="none" w:sz="0" w:space="0"/>
        <w:bottom w:val="none" w:sz="0" w:space="0"/>
        <w:right w:val="none" w:sz="0" w:space="0"/>
      </w:pgBorders>
      <w:pgNumType w:fmt="decimal"/>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宋?">
    <w:altName w:val="宋体"/>
    <w:panose1 w:val="00000000000000000000"/>
    <w:charset w:val="81"/>
    <w:family w:val="auto"/>
    <w:pitch w:val="default"/>
    <w:sig w:usb0="00000000" w:usb1="00000000" w:usb2="00000010" w:usb3="00000000" w:csb0="00080000" w:csb1="00000000"/>
  </w:font>
  <w:font w:name="Arial Unicode MS">
    <w:altName w:val="宋体"/>
    <w:panose1 w:val="020B0604020202020204"/>
    <w:charset w:val="86"/>
    <w:family w:val="roman"/>
    <w:pitch w:val="default"/>
    <w:sig w:usb0="00000000" w:usb1="00000000" w:usb2="0000003F" w:usb3="00000000" w:csb0="603F01FF" w:csb1="FFFF0000"/>
  </w:font>
  <w:font w:name="楷体à.ā">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7"/>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vert="horz" wrap="none" lIns="0" tIns="0" rIns="0" bIns="0" anchor="t" anchorCtr="0" upright="0">
                      <a:spAutoFit/>
                    </wps:bodyPr>
                  </wps:wsp>
                </a:graphicData>
              </a:graphic>
            </wp:anchor>
          </w:drawing>
        </mc:Choice>
        <mc:Fallback>
          <w:pict>
            <v:shape id="文本框 4"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qJ5HVucB&#10;AADJAwAADgAAAAAAAAABACAAAAAiAQAAZHJzL2Uyb0RvYy54bWxQSwUGAAAAAAYABgBZAQAAewUA&#10;AAAA&#10;">
              <v:fill on="f" focussize="0,0"/>
              <v:stroke on="f" weight="1.25pt"/>
              <v:imagedata o:title=""/>
              <o:lock v:ext="edit" aspectratio="f"/>
              <v:textbox inset="0mm,0mm,0mm,0mm" style="mso-fit-shape-to-text:t;">
                <w:txbxContent>
                  <w:p>
                    <w:pPr>
                      <w:pStyle w:val="17"/>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7"/>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oaYJL0wAAAAUB&#10;AAAPAAAAAAAAAAEAIAAAACIAAABkcnMvZG93bnJldi54bWxQSwECFAAUAAAACACHTuJAcmQi9+cB&#10;AADJAwAADgAAAAAAAAABACAAAAAiAQAAZHJzL2Uyb0RvYy54bWxQSwUGAAAAAAYABgBZAQAAewUA&#10;AAAA&#10;">
              <v:fill on="f" focussize="0,0"/>
              <v:stroke on="f" weight="1.25pt"/>
              <v:imagedata o:title=""/>
              <o:lock v:ext="edit" aspectratio="f"/>
              <v:textbox inset="0mm,0mm,0mm,0mm" style="mso-fit-shape-to-text:t;">
                <w:txbxContent>
                  <w:p>
                    <w:pPr>
                      <w:pStyle w:val="17"/>
                      <w:rPr>
                        <w:rFonts w:ascii="宋体" w:hAnsi="宋体" w:eastAsia="宋体"/>
                        <w:sz w:val="28"/>
                      </w:rPr>
                    </w:pPr>
                    <w:r>
                      <w:rPr>
                        <w:rFonts w:ascii="宋体" w:hAnsi="宋体" w:eastAsia="宋体"/>
                        <w:sz w:val="28"/>
                      </w:rPr>
                      <w:t>—</w:t>
                    </w:r>
                    <w:r>
                      <w:rPr>
                        <w:rFonts w:ascii="宋体" w:hAnsi="宋体" w:eastAsia="宋体"/>
                        <w:sz w:val="24"/>
                      </w:rPr>
                      <w:t>　</w:t>
                    </w:r>
                    <w:r>
                      <w:rPr>
                        <w:rFonts w:ascii="宋体" w:hAnsi="宋体" w:eastAsia="宋体"/>
                        <w:sz w:val="28"/>
                      </w:rPr>
                      <w:fldChar w:fldCharType="begin"/>
                    </w:r>
                    <w:r>
                      <w:rPr>
                        <w:rFonts w:ascii="宋体" w:hAnsi="宋体" w:eastAsia="宋体"/>
                        <w:sz w:val="28"/>
                      </w:rPr>
                      <w:instrText xml:space="preserve"> PAGE  \* MERGEFORMAT </w:instrText>
                    </w:r>
                    <w:r>
                      <w:rPr>
                        <w:rFonts w:ascii="宋体" w:hAnsi="宋体" w:eastAsia="宋体"/>
                        <w:sz w:val="28"/>
                      </w:rPr>
                      <w:fldChar w:fldCharType="separate"/>
                    </w:r>
                    <w:r>
                      <w:rPr>
                        <w:rFonts w:ascii="宋体" w:hAnsi="宋体" w:eastAsia="宋体"/>
                        <w:sz w:val="28"/>
                      </w:rPr>
                      <w:t>11</w:t>
                    </w:r>
                    <w:r>
                      <w:rPr>
                        <w:rFonts w:ascii="宋体" w:hAnsi="宋体" w:eastAsia="宋体"/>
                        <w:sz w:val="28"/>
                      </w:rPr>
                      <w:fldChar w:fldCharType="end"/>
                    </w:r>
                    <w:r>
                      <w:rPr>
                        <w:rFonts w:ascii="宋体" w:hAnsi="宋体" w:eastAsia="宋体"/>
                        <w:sz w:val="24"/>
                      </w:rPr>
                      <w:t>　</w:t>
                    </w:r>
                    <w:r>
                      <w:rPr>
                        <w:rFonts w:ascii="宋体" w:hAnsi="宋体" w:eastAsia="宋体"/>
                        <w:sz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F234F0"/>
    <w:multiLevelType w:val="multilevel"/>
    <w:tmpl w:val="B6F234F0"/>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
    <w:nsid w:val="F70507CC"/>
    <w:multiLevelType w:val="singleLevel"/>
    <w:tmpl w:val="F70507CC"/>
    <w:lvl w:ilvl="0" w:tentative="0">
      <w:start w:val="1"/>
      <w:numFmt w:val="decimal"/>
      <w:suff w:val="nothing"/>
      <w:lvlText w:val="（%1）"/>
      <w:lvlJc w:val="left"/>
    </w:lvl>
  </w:abstractNum>
  <w:abstractNum w:abstractNumId="2">
    <w:nsid w:val="00000012"/>
    <w:multiLevelType w:val="multilevel"/>
    <w:tmpl w:val="00000012"/>
    <w:lvl w:ilvl="0" w:tentative="0">
      <w:start w:val="1"/>
      <w:numFmt w:val="decimal"/>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7"/>
      <w:lvlText w:val="%1.%2.%3.%4"/>
      <w:lvlJc w:val="left"/>
      <w:pPr>
        <w:tabs>
          <w:tab w:val="left" w:pos="864"/>
        </w:tabs>
        <w:ind w:left="864" w:hanging="864"/>
      </w:pPr>
    </w:lvl>
    <w:lvl w:ilvl="4" w:tentative="0">
      <w:start w:val="1"/>
      <w:numFmt w:val="decimal"/>
      <w:pStyle w:val="8"/>
      <w:lvlText w:val="%1.%2.%3.%4.%5"/>
      <w:lvlJc w:val="left"/>
      <w:pPr>
        <w:tabs>
          <w:tab w:val="left" w:pos="1008"/>
        </w:tabs>
        <w:ind w:left="1008" w:hanging="1008"/>
      </w:pPr>
    </w:lvl>
    <w:lvl w:ilvl="5" w:tentative="0">
      <w:start w:val="1"/>
      <w:numFmt w:val="decimal"/>
      <w:pStyle w:val="9"/>
      <w:lvlText w:val="%1.%2.%3.%4.%5.%6"/>
      <w:lvlJc w:val="left"/>
      <w:pPr>
        <w:tabs>
          <w:tab w:val="left" w:pos="1152"/>
        </w:tabs>
        <w:ind w:left="1152" w:hanging="1152"/>
      </w:pPr>
    </w:lvl>
    <w:lvl w:ilvl="6" w:tentative="0">
      <w:start w:val="1"/>
      <w:numFmt w:val="decimal"/>
      <w:pStyle w:val="10"/>
      <w:lvlText w:val="%1.%2.%3.%4.%5.%6.%7"/>
      <w:lvlJc w:val="left"/>
      <w:pPr>
        <w:tabs>
          <w:tab w:val="left" w:pos="1296"/>
        </w:tabs>
        <w:ind w:left="1296" w:hanging="1296"/>
      </w:pPr>
    </w:lvl>
    <w:lvl w:ilvl="7" w:tentative="0">
      <w:start w:val="1"/>
      <w:numFmt w:val="decimal"/>
      <w:pStyle w:val="11"/>
      <w:lvlText w:val="%1.%2.%3.%4.%5.%6.%7.%8"/>
      <w:lvlJc w:val="left"/>
      <w:pPr>
        <w:tabs>
          <w:tab w:val="left" w:pos="1440"/>
        </w:tabs>
        <w:ind w:left="1440" w:hanging="1440"/>
      </w:pPr>
    </w:lvl>
    <w:lvl w:ilvl="8" w:tentative="0">
      <w:start w:val="1"/>
      <w:numFmt w:val="decimal"/>
      <w:pStyle w:val="12"/>
      <w:lvlText w:val="%1.%2.%3.%4.%5.%6.%7.%8.%9"/>
      <w:lvlJc w:val="left"/>
      <w:pPr>
        <w:tabs>
          <w:tab w:val="left" w:pos="1584"/>
        </w:tabs>
        <w:ind w:left="1584" w:hanging="1584"/>
      </w:pPr>
    </w:lvl>
  </w:abstractNum>
  <w:abstractNum w:abstractNumId="3">
    <w:nsid w:val="00000014"/>
    <w:multiLevelType w:val="multilevel"/>
    <w:tmpl w:val="00000014"/>
    <w:lvl w:ilvl="0" w:tentative="0">
      <w:start w:val="1"/>
      <w:numFmt w:val="decimal"/>
      <w:lvlText w:val="%1)"/>
      <w:lvlJc w:val="left"/>
      <w:pPr>
        <w:ind w:left="1260" w:hanging="420"/>
      </w:p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4">
    <w:nsid w:val="6224B66F"/>
    <w:multiLevelType w:val="singleLevel"/>
    <w:tmpl w:val="6224B66F"/>
    <w:lvl w:ilvl="0" w:tentative="0">
      <w:start w:val="1"/>
      <w:numFmt w:val="decimal"/>
      <w:suff w:val="nothing"/>
      <w:lvlText w:val="（%1）"/>
      <w:lvlJc w:val="left"/>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doNotShadeFormData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330861"/>
    <w:rsid w:val="01D27009"/>
    <w:rsid w:val="04520E02"/>
    <w:rsid w:val="0AD37448"/>
    <w:rsid w:val="0C9D5875"/>
    <w:rsid w:val="10ED1C58"/>
    <w:rsid w:val="12B32FBA"/>
    <w:rsid w:val="17311108"/>
    <w:rsid w:val="177711B5"/>
    <w:rsid w:val="186A29D5"/>
    <w:rsid w:val="19201AF4"/>
    <w:rsid w:val="211E64B0"/>
    <w:rsid w:val="21A10D23"/>
    <w:rsid w:val="25E16AB4"/>
    <w:rsid w:val="2AD44DF3"/>
    <w:rsid w:val="2D040E66"/>
    <w:rsid w:val="2EEE58A1"/>
    <w:rsid w:val="2F2820FC"/>
    <w:rsid w:val="322F59A6"/>
    <w:rsid w:val="32FE745E"/>
    <w:rsid w:val="380C2E83"/>
    <w:rsid w:val="3CB71A18"/>
    <w:rsid w:val="3DE771CF"/>
    <w:rsid w:val="41A568F7"/>
    <w:rsid w:val="426D6F6F"/>
    <w:rsid w:val="432257BB"/>
    <w:rsid w:val="44346250"/>
    <w:rsid w:val="46290B62"/>
    <w:rsid w:val="48A03FB5"/>
    <w:rsid w:val="49C15B75"/>
    <w:rsid w:val="4A0E11F2"/>
    <w:rsid w:val="4DD50352"/>
    <w:rsid w:val="539712FA"/>
    <w:rsid w:val="54B846B6"/>
    <w:rsid w:val="54D47934"/>
    <w:rsid w:val="58474792"/>
    <w:rsid w:val="584D4FFC"/>
    <w:rsid w:val="5AC7557B"/>
    <w:rsid w:val="5BF1735B"/>
    <w:rsid w:val="5CA65290"/>
    <w:rsid w:val="5CCA1ED7"/>
    <w:rsid w:val="60611D37"/>
    <w:rsid w:val="644E47CB"/>
    <w:rsid w:val="649339B1"/>
    <w:rsid w:val="64DB2183"/>
    <w:rsid w:val="65863920"/>
    <w:rsid w:val="66465FFF"/>
    <w:rsid w:val="671404B0"/>
    <w:rsid w:val="6BC60B01"/>
    <w:rsid w:val="6CAD678A"/>
    <w:rsid w:val="72AF1D34"/>
    <w:rsid w:val="72FD3138"/>
    <w:rsid w:val="742F7E65"/>
    <w:rsid w:val="77860BD1"/>
    <w:rsid w:val="79D844A1"/>
    <w:rsid w:val="7E664DE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99"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qFormat="1" w:unhideWhenUsed="0" w:uiPriority="0" w:semiHidden="0"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0"/>
    <w:pPr>
      <w:keepNext/>
      <w:keepLines/>
      <w:adjustRightInd w:val="0"/>
      <w:spacing w:before="120" w:beforeLines="0" w:after="120" w:afterLines="0" w:line="300" w:lineRule="auto"/>
      <w:jc w:val="center"/>
      <w:textAlignment w:val="baseline"/>
      <w:outlineLvl w:val="0"/>
    </w:pPr>
    <w:rPr>
      <w:b/>
      <w:kern w:val="44"/>
      <w:sz w:val="44"/>
      <w:szCs w:val="20"/>
    </w:rPr>
  </w:style>
  <w:style w:type="paragraph" w:styleId="3">
    <w:name w:val="heading 2"/>
    <w:basedOn w:val="1"/>
    <w:next w:val="1"/>
    <w:qFormat/>
    <w:uiPriority w:val="0"/>
    <w:pPr>
      <w:keepNext/>
      <w:keepLines/>
      <w:numPr>
        <w:ilvl w:val="1"/>
        <w:numId w:val="1"/>
      </w:numPr>
      <w:adjustRightInd w:val="0"/>
      <w:spacing w:before="120" w:beforeLines="0" w:after="120" w:afterLines="0" w:line="300" w:lineRule="auto"/>
      <w:textAlignment w:val="baseline"/>
      <w:outlineLvl w:val="1"/>
    </w:pPr>
    <w:rPr>
      <w:b/>
      <w:kern w:val="0"/>
      <w:sz w:val="28"/>
      <w:szCs w:val="20"/>
    </w:rPr>
  </w:style>
  <w:style w:type="paragraph" w:styleId="4">
    <w:name w:val="heading 3"/>
    <w:basedOn w:val="1"/>
    <w:next w:val="5"/>
    <w:qFormat/>
    <w:uiPriority w:val="0"/>
    <w:pPr>
      <w:keepNext/>
      <w:keepLines/>
      <w:numPr>
        <w:ilvl w:val="2"/>
        <w:numId w:val="1"/>
      </w:numPr>
      <w:tabs>
        <w:tab w:val="clear" w:pos="720"/>
      </w:tabs>
      <w:adjustRightInd w:val="0"/>
      <w:spacing w:before="120" w:beforeLines="0" w:after="120" w:afterLines="0" w:line="300" w:lineRule="auto"/>
      <w:textAlignment w:val="baseline"/>
      <w:outlineLvl w:val="2"/>
    </w:pPr>
    <w:rPr>
      <w:b/>
      <w:kern w:val="0"/>
      <w:sz w:val="28"/>
      <w:szCs w:val="20"/>
    </w:rPr>
  </w:style>
  <w:style w:type="paragraph" w:styleId="7">
    <w:name w:val="heading 4"/>
    <w:basedOn w:val="1"/>
    <w:next w:val="1"/>
    <w:qFormat/>
    <w:uiPriority w:val="0"/>
    <w:pPr>
      <w:keepNext/>
      <w:keepLines/>
      <w:numPr>
        <w:ilvl w:val="3"/>
        <w:numId w:val="1"/>
      </w:numPr>
      <w:tabs>
        <w:tab w:val="clear" w:pos="864"/>
      </w:tabs>
      <w:adjustRightInd w:val="0"/>
      <w:spacing w:before="280" w:beforeLines="0" w:after="290" w:afterLines="0" w:line="376" w:lineRule="atLeast"/>
      <w:textAlignment w:val="baseline"/>
      <w:outlineLvl w:val="3"/>
    </w:pPr>
    <w:rPr>
      <w:b/>
      <w:bCs/>
      <w:kern w:val="0"/>
      <w:sz w:val="28"/>
      <w:szCs w:val="28"/>
    </w:rPr>
  </w:style>
  <w:style w:type="paragraph" w:styleId="8">
    <w:name w:val="heading 5"/>
    <w:basedOn w:val="1"/>
    <w:next w:val="1"/>
    <w:qFormat/>
    <w:uiPriority w:val="0"/>
    <w:pPr>
      <w:keepNext/>
      <w:keepLines/>
      <w:numPr>
        <w:ilvl w:val="4"/>
        <w:numId w:val="1"/>
      </w:numPr>
      <w:tabs>
        <w:tab w:val="clear" w:pos="1008"/>
      </w:tabs>
      <w:adjustRightInd w:val="0"/>
      <w:spacing w:before="280" w:beforeLines="0" w:after="290" w:afterLines="0" w:line="376" w:lineRule="atLeast"/>
      <w:textAlignment w:val="baseline"/>
      <w:outlineLvl w:val="4"/>
    </w:pPr>
    <w:rPr>
      <w:b/>
      <w:bCs/>
      <w:kern w:val="0"/>
      <w:sz w:val="28"/>
      <w:szCs w:val="28"/>
    </w:rPr>
  </w:style>
  <w:style w:type="paragraph" w:styleId="9">
    <w:name w:val="heading 6"/>
    <w:basedOn w:val="1"/>
    <w:next w:val="1"/>
    <w:qFormat/>
    <w:uiPriority w:val="0"/>
    <w:pPr>
      <w:keepNext/>
      <w:keepLines/>
      <w:numPr>
        <w:ilvl w:val="5"/>
        <w:numId w:val="1"/>
      </w:numPr>
      <w:tabs>
        <w:tab w:val="clear" w:pos="1152"/>
      </w:tabs>
      <w:adjustRightInd w:val="0"/>
      <w:spacing w:before="240" w:beforeLines="0" w:after="64" w:afterLines="0" w:line="320" w:lineRule="atLeast"/>
      <w:textAlignment w:val="baseline"/>
      <w:outlineLvl w:val="5"/>
    </w:pPr>
    <w:rPr>
      <w:b/>
      <w:bCs/>
      <w:kern w:val="0"/>
      <w:sz w:val="24"/>
    </w:rPr>
  </w:style>
  <w:style w:type="paragraph" w:styleId="10">
    <w:name w:val="heading 7"/>
    <w:basedOn w:val="1"/>
    <w:next w:val="1"/>
    <w:qFormat/>
    <w:uiPriority w:val="0"/>
    <w:pPr>
      <w:keepNext/>
      <w:keepLines/>
      <w:numPr>
        <w:ilvl w:val="6"/>
        <w:numId w:val="1"/>
      </w:numPr>
      <w:tabs>
        <w:tab w:val="clear" w:pos="1296"/>
      </w:tabs>
      <w:adjustRightInd w:val="0"/>
      <w:spacing w:before="240" w:beforeLines="0" w:after="64" w:afterLines="0" w:line="320" w:lineRule="atLeast"/>
      <w:textAlignment w:val="baseline"/>
      <w:outlineLvl w:val="6"/>
    </w:pPr>
    <w:rPr>
      <w:b/>
      <w:bCs/>
      <w:kern w:val="0"/>
      <w:sz w:val="24"/>
    </w:rPr>
  </w:style>
  <w:style w:type="paragraph" w:styleId="11">
    <w:name w:val="heading 8"/>
    <w:basedOn w:val="1"/>
    <w:next w:val="1"/>
    <w:qFormat/>
    <w:uiPriority w:val="0"/>
    <w:pPr>
      <w:keepNext/>
      <w:keepLines/>
      <w:numPr>
        <w:ilvl w:val="7"/>
        <w:numId w:val="1"/>
      </w:numPr>
      <w:tabs>
        <w:tab w:val="clear" w:pos="1440"/>
      </w:tabs>
      <w:adjustRightInd w:val="0"/>
      <w:spacing w:before="240" w:beforeLines="0" w:after="64" w:afterLines="0" w:line="320" w:lineRule="atLeast"/>
      <w:textAlignment w:val="baseline"/>
      <w:outlineLvl w:val="7"/>
    </w:pPr>
    <w:rPr>
      <w:kern w:val="0"/>
      <w:sz w:val="24"/>
    </w:rPr>
  </w:style>
  <w:style w:type="paragraph" w:styleId="12">
    <w:name w:val="heading 9"/>
    <w:basedOn w:val="1"/>
    <w:next w:val="1"/>
    <w:qFormat/>
    <w:uiPriority w:val="0"/>
    <w:pPr>
      <w:keepNext/>
      <w:keepLines/>
      <w:numPr>
        <w:ilvl w:val="8"/>
        <w:numId w:val="1"/>
      </w:numPr>
      <w:tabs>
        <w:tab w:val="clear" w:pos="1584"/>
      </w:tabs>
      <w:adjustRightInd w:val="0"/>
      <w:spacing w:before="240" w:beforeLines="0" w:after="64" w:afterLines="0" w:line="320" w:lineRule="atLeast"/>
      <w:textAlignment w:val="baseline"/>
      <w:outlineLvl w:val="8"/>
    </w:pPr>
    <w:rPr>
      <w:kern w:val="0"/>
      <w:szCs w:val="21"/>
    </w:rPr>
  </w:style>
  <w:style w:type="character" w:default="1" w:styleId="25">
    <w:name w:val="Default Paragraph Font"/>
    <w:qFormat/>
    <w:uiPriority w:val="0"/>
  </w:style>
  <w:style w:type="table" w:default="1" w:styleId="23">
    <w:name w:val="Normal Table"/>
    <w:unhideWhenUsed/>
    <w:qFormat/>
    <w:uiPriority w:val="99"/>
    <w:tblPr>
      <w:tblCellMar>
        <w:top w:w="0" w:type="dxa"/>
        <w:left w:w="108" w:type="dxa"/>
        <w:bottom w:w="0" w:type="dxa"/>
        <w:right w:w="108" w:type="dxa"/>
      </w:tblCellMar>
    </w:tblPr>
  </w:style>
  <w:style w:type="paragraph" w:styleId="5">
    <w:name w:val="Normal Indent"/>
    <w:basedOn w:val="1"/>
    <w:next w:val="6"/>
    <w:qFormat/>
    <w:uiPriority w:val="0"/>
    <w:pPr>
      <w:ind w:firstLine="420"/>
    </w:pPr>
    <w:rPr>
      <w:szCs w:val="20"/>
    </w:rPr>
  </w:style>
  <w:style w:type="paragraph" w:styleId="6">
    <w:name w:val="Body Text Indent"/>
    <w:basedOn w:val="1"/>
    <w:next w:val="5"/>
    <w:unhideWhenUsed/>
    <w:qFormat/>
    <w:uiPriority w:val="99"/>
    <w:pPr>
      <w:spacing w:after="120"/>
      <w:ind w:left="420" w:leftChars="200"/>
    </w:pPr>
  </w:style>
  <w:style w:type="paragraph" w:styleId="13">
    <w:name w:val="Body Text"/>
    <w:basedOn w:val="1"/>
    <w:qFormat/>
    <w:uiPriority w:val="99"/>
    <w:pPr>
      <w:spacing w:after="120"/>
    </w:pPr>
  </w:style>
  <w:style w:type="paragraph" w:styleId="14">
    <w:name w:val="Plain Text"/>
    <w:basedOn w:val="1"/>
    <w:next w:val="1"/>
    <w:qFormat/>
    <w:uiPriority w:val="0"/>
    <w:pPr>
      <w:spacing w:line="360" w:lineRule="auto"/>
    </w:pPr>
    <w:rPr>
      <w:szCs w:val="20"/>
    </w:rPr>
  </w:style>
  <w:style w:type="paragraph" w:styleId="15">
    <w:name w:val="Date"/>
    <w:basedOn w:val="1"/>
    <w:next w:val="1"/>
    <w:qFormat/>
    <w:uiPriority w:val="0"/>
    <w:pPr>
      <w:ind w:left="100" w:leftChars="2500"/>
    </w:pPr>
    <w:rPr>
      <w:b/>
      <w:bCs/>
      <w:sz w:val="44"/>
    </w:rPr>
  </w:style>
  <w:style w:type="paragraph" w:styleId="16">
    <w:name w:val="Body Text Indent 2"/>
    <w:basedOn w:val="1"/>
    <w:qFormat/>
    <w:uiPriority w:val="0"/>
    <w:pPr>
      <w:spacing w:line="540" w:lineRule="exact"/>
      <w:ind w:firstLine="630"/>
    </w:pPr>
  </w:style>
  <w:style w:type="paragraph" w:styleId="17">
    <w:name w:val="footer"/>
    <w:basedOn w:val="1"/>
    <w:qFormat/>
    <w:uiPriority w:val="0"/>
    <w:pPr>
      <w:tabs>
        <w:tab w:val="center" w:pos="4153"/>
        <w:tab w:val="right" w:pos="8306"/>
      </w:tabs>
      <w:snapToGrid w:val="0"/>
      <w:jc w:val="left"/>
    </w:pPr>
    <w:rPr>
      <w:sz w:val="18"/>
      <w:szCs w:val="18"/>
    </w:rPr>
  </w:style>
  <w:style w:type="paragraph" w:styleId="18">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9">
    <w:name w:val="toc 1"/>
    <w:basedOn w:val="1"/>
    <w:next w:val="1"/>
    <w:qFormat/>
    <w:uiPriority w:val="0"/>
    <w:pPr>
      <w:tabs>
        <w:tab w:val="left" w:pos="420"/>
        <w:tab w:val="right" w:leader="dot" w:pos="9350"/>
      </w:tabs>
      <w:spacing w:line="480" w:lineRule="auto"/>
    </w:pPr>
  </w:style>
  <w:style w:type="paragraph" w:styleId="20">
    <w:name w:val="toc 2"/>
    <w:basedOn w:val="1"/>
    <w:next w:val="1"/>
    <w:qFormat/>
    <w:uiPriority w:val="0"/>
    <w:pPr>
      <w:ind w:left="420" w:leftChars="200"/>
    </w:pPr>
  </w:style>
  <w:style w:type="paragraph" w:styleId="21">
    <w:name w:val="Normal (Web)"/>
    <w:basedOn w:val="1"/>
    <w:qFormat/>
    <w:uiPriority w:val="0"/>
    <w:pPr>
      <w:widowControl/>
      <w:spacing w:before="100" w:beforeLines="0" w:beforeAutospacing="1" w:after="100" w:afterLines="0" w:afterAutospacing="1"/>
      <w:jc w:val="left"/>
    </w:pPr>
    <w:rPr>
      <w:color w:val="000000"/>
      <w:kern w:val="0"/>
      <w:sz w:val="24"/>
    </w:rPr>
  </w:style>
  <w:style w:type="paragraph" w:styleId="22">
    <w:name w:val="Body Text First Indent 2"/>
    <w:basedOn w:val="6"/>
    <w:next w:val="1"/>
    <w:unhideWhenUsed/>
    <w:qFormat/>
    <w:uiPriority w:val="99"/>
    <w:pPr>
      <w:ind w:firstLine="420" w:firstLineChars="200"/>
    </w:pPr>
    <w:rPr>
      <w:rFonts w:ascii="Times New Roman" w:hAnsi="Arial" w:eastAsia="宋?"/>
      <w:szCs w:val="24"/>
    </w:rPr>
  </w:style>
  <w:style w:type="table" w:styleId="24">
    <w:name w:val="Table Grid"/>
    <w:basedOn w:val="23"/>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basedOn w:val="25"/>
    <w:qFormat/>
    <w:uiPriority w:val="22"/>
    <w:rPr>
      <w:b/>
    </w:rPr>
  </w:style>
  <w:style w:type="character" w:styleId="27">
    <w:name w:val="HTML Typewriter"/>
    <w:qFormat/>
    <w:uiPriority w:val="0"/>
    <w:rPr>
      <w:sz w:val="20"/>
      <w:szCs w:val="20"/>
    </w:rPr>
  </w:style>
  <w:style w:type="character" w:styleId="28">
    <w:name w:val="Hyperlink"/>
    <w:qFormat/>
    <w:uiPriority w:val="0"/>
    <w:rPr>
      <w:color w:val="0000FF"/>
      <w:u w:val="single"/>
    </w:rPr>
  </w:style>
  <w:style w:type="character" w:customStyle="1" w:styleId="29">
    <w:name w:val="标题 1 Char"/>
    <w:link w:val="2"/>
    <w:qFormat/>
    <w:uiPriority w:val="0"/>
    <w:rPr>
      <w:b/>
      <w:kern w:val="44"/>
      <w:sz w:val="44"/>
    </w:rPr>
  </w:style>
  <w:style w:type="character" w:customStyle="1" w:styleId="30">
    <w:name w:val="页眉 Char"/>
    <w:link w:val="18"/>
    <w:qFormat/>
    <w:uiPriority w:val="0"/>
    <w:rPr>
      <w:kern w:val="2"/>
      <w:sz w:val="18"/>
      <w:szCs w:val="18"/>
    </w:rPr>
  </w:style>
  <w:style w:type="character" w:customStyle="1" w:styleId="31">
    <w:name w:val="text12st_hs1"/>
    <w:qFormat/>
    <w:uiPriority w:val="0"/>
    <w:rPr>
      <w:color w:val="000000"/>
      <w:sz w:val="15"/>
      <w:szCs w:val="15"/>
      <w:u w:val="none"/>
    </w:rPr>
  </w:style>
  <w:style w:type="character" w:customStyle="1" w:styleId="32">
    <w:name w:val="font1"/>
    <w:qFormat/>
    <w:uiPriority w:val="0"/>
    <w:rPr>
      <w:rFonts w:hint="eastAsia"/>
      <w:color w:val="000000"/>
      <w:sz w:val="18"/>
      <w:szCs w:val="18"/>
      <w:u w:val="none"/>
    </w:rPr>
  </w:style>
  <w:style w:type="character" w:customStyle="1" w:styleId="33">
    <w:name w:val="text11"/>
    <w:qFormat/>
    <w:uiPriority w:val="0"/>
    <w:rPr>
      <w:sz w:val="15"/>
      <w:szCs w:val="15"/>
      <w:u w:val="none"/>
    </w:rPr>
  </w:style>
  <w:style w:type="character" w:customStyle="1" w:styleId="34">
    <w:name w:val="style191"/>
    <w:qFormat/>
    <w:uiPriority w:val="0"/>
    <w:rPr>
      <w:color w:val="0000FF"/>
    </w:rPr>
  </w:style>
  <w:style w:type="paragraph" w:customStyle="1" w:styleId="35">
    <w:name w:val="_Style 33"/>
    <w:basedOn w:val="2"/>
    <w:next w:val="1"/>
    <w:qFormat/>
    <w:uiPriority w:val="0"/>
    <w:pPr>
      <w:widowControl/>
      <w:numPr>
        <w:ilvl w:val="0"/>
        <w:numId w:val="0"/>
      </w:numPr>
      <w:adjustRightInd/>
      <w:spacing w:before="480" w:beforeLines="0" w:after="0" w:afterLines="0" w:line="276" w:lineRule="auto"/>
      <w:jc w:val="left"/>
      <w:textAlignment w:val="auto"/>
      <w:outlineLvl w:val="9"/>
    </w:pPr>
    <w:rPr>
      <w:bCs/>
      <w:color w:val="365F91"/>
      <w:kern w:val="0"/>
      <w:sz w:val="28"/>
      <w:szCs w:val="28"/>
    </w:rPr>
  </w:style>
  <w:style w:type="paragraph" w:styleId="36">
    <w:name w:val="List Paragraph"/>
    <w:basedOn w:val="1"/>
    <w:qFormat/>
    <w:uiPriority w:val="0"/>
    <w:pPr>
      <w:ind w:firstLine="420" w:firstLineChars="200"/>
    </w:pPr>
  </w:style>
  <w:style w:type="paragraph" w:customStyle="1" w:styleId="37">
    <w:name w:val="正文 A"/>
    <w:qFormat/>
    <w:uiPriority w:val="0"/>
    <w:pPr>
      <w:widowControl w:val="0"/>
      <w:pBdr>
        <w:top w:val="none" w:color="FFFFFF" w:sz="0" w:space="31"/>
        <w:left w:val="none" w:color="FFFFFF" w:sz="0" w:space="31"/>
        <w:bottom w:val="none" w:color="FFFFFF" w:sz="0" w:space="31"/>
        <w:right w:val="none" w:color="FFFFFF" w:sz="0" w:space="31"/>
      </w:pBdr>
      <w:jc w:val="both"/>
    </w:pPr>
    <w:rPr>
      <w:rFonts w:ascii="Times New Roman" w:hAnsi="Arial Unicode MS" w:eastAsia="Times New Roman" w:cs="Times New Roman"/>
      <w:color w:val="000000"/>
      <w:kern w:val="2"/>
      <w:sz w:val="21"/>
      <w:szCs w:val="21"/>
      <w:lang w:val="en-US" w:eastAsia="zh-CN" w:bidi="ar-SA"/>
    </w:rPr>
  </w:style>
  <w:style w:type="paragraph" w:customStyle="1" w:styleId="38">
    <w:name w:val="Default"/>
    <w:next w:val="1"/>
    <w:qFormat/>
    <w:uiPriority w:val="0"/>
    <w:pPr>
      <w:widowControl w:val="0"/>
      <w:autoSpaceDE w:val="0"/>
      <w:autoSpaceDN w:val="0"/>
      <w:adjustRightInd w:val="0"/>
    </w:pPr>
    <w:rPr>
      <w:rFonts w:ascii="楷体à.ā" w:hAnsi="Times New Roman" w:eastAsia="楷体à.ā" w:cs="Times New Roman"/>
      <w:color w:val="000000"/>
      <w:sz w:val="24"/>
      <w:szCs w:val="22"/>
      <w:lang w:val="en-US" w:eastAsia="zh-CN" w:bidi="ar-SA"/>
    </w:rPr>
  </w:style>
  <w:style w:type="paragraph" w:customStyle="1" w:styleId="39">
    <w:name w:val="正文格式"/>
    <w:basedOn w:val="40"/>
    <w:qFormat/>
    <w:uiPriority w:val="0"/>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40">
    <w:name w:val="正文_20"/>
    <w:qFormat/>
    <w:uiPriority w:val="0"/>
    <w:pPr>
      <w:widowControl w:val="0"/>
      <w:jc w:val="both"/>
    </w:pPr>
    <w:rPr>
      <w:rFonts w:ascii="Calibri" w:hAnsi="Calibri" w:eastAsia="宋体" w:cs="Times New Roman"/>
      <w:kern w:val="2"/>
      <w:sz w:val="21"/>
      <w:szCs w:val="22"/>
      <w:lang w:val="en-US" w:eastAsia="zh-CN" w:bidi="ar-SA"/>
    </w:rPr>
  </w:style>
  <w:style w:type="paragraph" w:customStyle="1" w:styleId="41">
    <w:name w:val="段"/>
    <w:qFormat/>
    <w:uiPriority w:val="0"/>
    <w:pPr>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4.jpe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fenjin</Company>
  <Pages>36</Pages>
  <Words>20844</Words>
  <Characters>25052</Characters>
  <Lines>36</Lines>
  <Paragraphs>10</Paragraphs>
  <TotalTime>54</TotalTime>
  <ScaleCrop>false</ScaleCrop>
  <LinksUpToDate>false</LinksUpToDate>
  <CharactersWithSpaces>25588</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2013-04-24T03:14:00Z</dcterms:created>
  <dc:creator>ds</dc:creator>
  <cp:lastModifiedBy>苏燕</cp:lastModifiedBy>
  <cp:lastPrinted>2006-07-13T01:27:00Z</cp:lastPrinted>
  <dcterms:modified xsi:type="dcterms:W3CDTF">2026-05-26T02:20:29Z</dcterms:modified>
  <dc:title>保定供电局FJCTS-501温湿度测控系统技术协议</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A4BF2EE08D02470AA4006EEE26DB9FFB</vt:lpwstr>
  </property>
  <property fmtid="{D5CDD505-2E9C-101B-9397-08002B2CF9AE}" pid="4" name="KSOTemplateDocerSaveRecord">
    <vt:lpwstr>eyJoZGlkIjoiNmE4YWE2NWM2NjkyMzUxOGRkNDNkNjJlMmYxYjJlZDkiLCJ1c2VySWQiOiIxMjM4MjM4MzMwIn0=</vt:lpwstr>
  </property>
</Properties>
</file>