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hAnsi="宋体" w:eastAsia="宋体" w:cs="宋体"/>
          <w:color w:val="auto"/>
          <w:highlight w:val="none"/>
          <w:lang w:eastAsia="zh-CN"/>
        </w:rPr>
      </w:pPr>
    </w:p>
    <w:p>
      <w:pPr>
        <w:rPr>
          <w:rFonts w:hAnsi="宋体" w:cs="宋体"/>
          <w:color w:val="auto"/>
          <w:highlight w:val="none"/>
        </w:rPr>
      </w:pPr>
    </w:p>
    <w:p>
      <w:pPr>
        <w:rPr>
          <w:rFonts w:hAnsi="宋体" w:cs="宋体"/>
          <w:color w:val="auto"/>
          <w:highlight w:val="none"/>
        </w:rPr>
      </w:pPr>
    </w:p>
    <w:p>
      <w:pPr>
        <w:rPr>
          <w:rFonts w:hAnsi="宋体" w:cs="宋体"/>
          <w:color w:val="auto"/>
          <w:highlight w:val="none"/>
        </w:rPr>
      </w:pPr>
    </w:p>
    <w:p>
      <w:pPr>
        <w:jc w:val="center"/>
        <w:rPr>
          <w:rFonts w:hint="eastAsia" w:ascii="黑体" w:hAnsi="黑体" w:eastAsia="黑体"/>
          <w:color w:val="auto"/>
          <w:sz w:val="44"/>
          <w:szCs w:val="44"/>
          <w:highlight w:val="none"/>
        </w:rPr>
      </w:pPr>
      <w:bookmarkStart w:id="0" w:name="OLE_LINK6"/>
      <w:r>
        <w:rPr>
          <w:rFonts w:hint="eastAsia" w:ascii="黑体" w:hAnsi="黑体" w:eastAsia="黑体"/>
          <w:color w:val="auto"/>
          <w:sz w:val="44"/>
          <w:szCs w:val="44"/>
          <w:highlight w:val="none"/>
          <w:lang w:eastAsia="zh-CN"/>
        </w:rPr>
        <w:t>密集柜</w:t>
      </w:r>
      <w:r>
        <w:rPr>
          <w:rFonts w:hint="eastAsia" w:ascii="黑体" w:hAnsi="黑体" w:eastAsia="黑体"/>
          <w:color w:val="auto"/>
          <w:sz w:val="44"/>
          <w:szCs w:val="44"/>
          <w:highlight w:val="none"/>
        </w:rPr>
        <w:t>技术规范书</w:t>
      </w:r>
    </w:p>
    <w:bookmarkEnd w:id="0"/>
    <w:p>
      <w:pPr>
        <w:rPr>
          <w:color w:val="auto"/>
          <w:sz w:val="32"/>
          <w:szCs w:val="32"/>
          <w:highlight w:val="none"/>
        </w:rPr>
      </w:pPr>
    </w:p>
    <w:p>
      <w:pPr>
        <w:rPr>
          <w:rFonts w:hAnsi="宋体" w:cs="宋体"/>
          <w:color w:val="auto"/>
          <w:highlight w:val="none"/>
        </w:rPr>
      </w:pPr>
    </w:p>
    <w:p>
      <w:pPr>
        <w:pStyle w:val="7"/>
        <w:rPr>
          <w:rFonts w:hAnsi="宋体" w:cs="宋体"/>
          <w:color w:val="auto"/>
          <w:highlight w:val="none"/>
        </w:rPr>
      </w:pPr>
    </w:p>
    <w:p>
      <w:pPr>
        <w:pStyle w:val="7"/>
        <w:rPr>
          <w:rFonts w:hint="default" w:hAnsi="宋体" w:cs="宋体"/>
          <w:color w:val="auto"/>
          <w:highlight w:val="none"/>
          <w:lang w:val="en-US"/>
        </w:rPr>
      </w:pPr>
      <w:r>
        <w:rPr>
          <w:rFonts w:hint="eastAsia" w:hAnsi="宋体" w:cs="宋体"/>
          <w:color w:val="auto"/>
          <w:sz w:val="28"/>
          <w:szCs w:val="28"/>
          <w:highlight w:val="none"/>
          <w:lang w:eastAsia="zh-CN"/>
        </w:rPr>
        <w:t>项目名称：</w:t>
      </w:r>
      <w:r>
        <w:rPr>
          <w:rFonts w:hint="eastAsia" w:hAnsi="宋体" w:cs="宋体"/>
          <w:color w:val="auto"/>
          <w:sz w:val="28"/>
          <w:szCs w:val="28"/>
          <w:highlight w:val="none"/>
          <w:lang w:val="en-US" w:eastAsia="zh-CN"/>
        </w:rPr>
        <w:t>玉林供电局2026年综合楼档案室密集架购置项目</w:t>
      </w:r>
    </w:p>
    <w:p>
      <w:pPr>
        <w:rPr>
          <w:rFonts w:hAnsi="宋体" w:cs="宋体"/>
          <w:color w:val="auto"/>
          <w:highlight w:val="none"/>
        </w:rPr>
      </w:pPr>
    </w:p>
    <w:p>
      <w:pPr>
        <w:rPr>
          <w:rFonts w:hAnsi="宋体" w:cs="宋体"/>
          <w:color w:val="auto"/>
          <w:highlight w:val="none"/>
        </w:rPr>
      </w:pPr>
    </w:p>
    <w:p>
      <w:pPr>
        <w:pStyle w:val="7"/>
        <w:rPr>
          <w:rFonts w:hAnsi="宋体" w:cs="宋体"/>
          <w:color w:val="auto"/>
          <w:highlight w:val="none"/>
        </w:rPr>
      </w:pPr>
    </w:p>
    <w:p>
      <w:pPr>
        <w:pStyle w:val="7"/>
        <w:rPr>
          <w:rFonts w:hAnsi="宋体" w:cs="宋体"/>
          <w:color w:val="auto"/>
          <w:highlight w:val="none"/>
        </w:rPr>
      </w:pPr>
    </w:p>
    <w:p>
      <w:pPr>
        <w:rPr>
          <w:rFonts w:hAnsi="宋体" w:cs="宋体"/>
          <w:color w:val="auto"/>
          <w:highlight w:val="none"/>
        </w:rPr>
      </w:pPr>
    </w:p>
    <w:p>
      <w:pPr>
        <w:rPr>
          <w:rFonts w:hAnsi="宋体" w:cs="宋体"/>
          <w:color w:val="auto"/>
          <w:highlight w:val="none"/>
        </w:rPr>
      </w:pPr>
    </w:p>
    <w:p>
      <w:pPr>
        <w:rPr>
          <w:rFonts w:hAnsi="宋体" w:cs="宋体"/>
          <w:color w:val="auto"/>
          <w:highlight w:val="none"/>
        </w:rPr>
      </w:pPr>
    </w:p>
    <w:p>
      <w:pPr>
        <w:pStyle w:val="7"/>
        <w:rPr>
          <w:color w:val="auto"/>
          <w:highlight w:val="none"/>
        </w:rPr>
      </w:pPr>
    </w:p>
    <w:p>
      <w:pPr>
        <w:rPr>
          <w:rFonts w:hAnsi="宋体" w:cs="宋体"/>
          <w:color w:val="auto"/>
          <w:highlight w:val="none"/>
        </w:rPr>
      </w:pPr>
    </w:p>
    <w:p>
      <w:pPr>
        <w:rPr>
          <w:rFonts w:hAnsi="宋体" w:cs="宋体"/>
          <w:color w:val="auto"/>
          <w:highlight w:val="none"/>
        </w:rPr>
      </w:pPr>
    </w:p>
    <w:p>
      <w:pPr>
        <w:rPr>
          <w:rFonts w:hAnsi="宋体" w:cs="宋体"/>
          <w:color w:val="auto"/>
          <w:highlight w:val="none"/>
        </w:rPr>
      </w:pPr>
    </w:p>
    <w:p>
      <w:pPr>
        <w:rPr>
          <w:rFonts w:hAnsi="宋体" w:cs="宋体"/>
          <w:color w:val="auto"/>
          <w:highlight w:val="none"/>
        </w:rPr>
      </w:pPr>
    </w:p>
    <w:p>
      <w:pPr>
        <w:rPr>
          <w:rFonts w:hAnsi="宋体" w:cs="宋体"/>
          <w:color w:val="auto"/>
          <w:highlight w:val="none"/>
        </w:rPr>
      </w:pPr>
    </w:p>
    <w:p>
      <w:pPr>
        <w:jc w:val="center"/>
        <w:rPr>
          <w:rFonts w:hint="default" w:eastAsia="宋体"/>
          <w:color w:val="auto"/>
          <w:sz w:val="32"/>
          <w:szCs w:val="32"/>
          <w:highlight w:val="none"/>
          <w:lang w:val="en-US" w:eastAsia="zh-CN"/>
        </w:rPr>
      </w:pPr>
      <w:r>
        <w:rPr>
          <w:rFonts w:hint="eastAsia"/>
          <w:color w:val="auto"/>
          <w:sz w:val="32"/>
          <w:szCs w:val="32"/>
          <w:highlight w:val="none"/>
          <w:lang w:val="en-US" w:eastAsia="zh-CN"/>
        </w:rPr>
        <w:t>玉林供电局</w:t>
      </w:r>
    </w:p>
    <w:p>
      <w:pPr>
        <w:jc w:val="center"/>
        <w:rPr>
          <w:color w:val="auto"/>
          <w:sz w:val="32"/>
          <w:szCs w:val="32"/>
          <w:highlight w:val="none"/>
        </w:rPr>
      </w:pPr>
      <w:r>
        <w:rPr>
          <w:rFonts w:hint="eastAsia"/>
          <w:color w:val="auto"/>
          <w:sz w:val="32"/>
          <w:szCs w:val="32"/>
          <w:highlight w:val="none"/>
        </w:rPr>
        <w:t>20</w:t>
      </w:r>
      <w:r>
        <w:rPr>
          <w:color w:val="auto"/>
          <w:sz w:val="32"/>
          <w:szCs w:val="32"/>
          <w:highlight w:val="none"/>
        </w:rPr>
        <w:t>2</w:t>
      </w:r>
      <w:r>
        <w:rPr>
          <w:rFonts w:hint="eastAsia"/>
          <w:color w:val="auto"/>
          <w:sz w:val="32"/>
          <w:szCs w:val="32"/>
          <w:highlight w:val="none"/>
          <w:lang w:val="en-US" w:eastAsia="zh-CN"/>
        </w:rPr>
        <w:t>6</w:t>
      </w:r>
      <w:r>
        <w:rPr>
          <w:rFonts w:hint="eastAsia"/>
          <w:color w:val="auto"/>
          <w:sz w:val="32"/>
          <w:szCs w:val="32"/>
          <w:highlight w:val="none"/>
        </w:rPr>
        <w:t>年</w:t>
      </w:r>
      <w:r>
        <w:rPr>
          <w:rFonts w:hint="eastAsia"/>
          <w:color w:val="auto"/>
          <w:sz w:val="32"/>
          <w:szCs w:val="32"/>
          <w:highlight w:val="none"/>
          <w:lang w:val="en-US" w:eastAsia="zh-CN"/>
        </w:rPr>
        <w:t>3</w:t>
      </w:r>
      <w:r>
        <w:rPr>
          <w:rFonts w:hint="eastAsia"/>
          <w:color w:val="auto"/>
          <w:sz w:val="32"/>
          <w:szCs w:val="32"/>
          <w:highlight w:val="none"/>
        </w:rPr>
        <w:t>月</w:t>
      </w:r>
    </w:p>
    <w:p>
      <w:pPr>
        <w:rPr>
          <w:rFonts w:hAnsi="宋体" w:cs="宋体"/>
          <w:color w:val="auto"/>
          <w:highlight w:val="none"/>
        </w:rPr>
      </w:pPr>
      <w:r>
        <w:rPr>
          <w:rFonts w:hint="eastAsia" w:hAnsi="宋体" w:cs="宋体"/>
          <w:color w:val="auto"/>
          <w:highlight w:val="none"/>
        </w:rPr>
        <w:br w:type="page"/>
      </w:r>
    </w:p>
    <w:p>
      <w:pPr>
        <w:spacing w:line="240" w:lineRule="auto"/>
        <w:jc w:val="center"/>
        <w:rPr>
          <w:rFonts w:hAnsi="宋体" w:cs="宋体"/>
          <w:color w:val="auto"/>
          <w:sz w:val="28"/>
          <w:szCs w:val="28"/>
          <w:highlight w:val="none"/>
        </w:rPr>
      </w:pPr>
      <w:r>
        <w:rPr>
          <w:rFonts w:hint="eastAsia" w:hAnsi="宋体" w:cs="宋体"/>
          <w:color w:val="auto"/>
          <w:sz w:val="28"/>
          <w:szCs w:val="28"/>
          <w:highlight w:val="none"/>
        </w:rPr>
        <w:t>目录</w:t>
      </w:r>
    </w:p>
    <w:p>
      <w:pPr>
        <w:pStyle w:val="7"/>
        <w:rPr>
          <w:color w:val="auto"/>
          <w:highlight w:val="none"/>
        </w:rPr>
      </w:pPr>
    </w:p>
    <w:p>
      <w:pPr>
        <w:pStyle w:val="13"/>
        <w:tabs>
          <w:tab w:val="right" w:leader="dot" w:pos="8640"/>
          <w:tab w:val="clear" w:pos="8296"/>
        </w:tabs>
        <w:rPr>
          <w:color w:val="auto"/>
          <w:highlight w:val="none"/>
        </w:rPr>
      </w:pPr>
      <w:r>
        <w:rPr>
          <w:rFonts w:hint="eastAsia" w:hAnsi="宋体" w:cs="宋体"/>
          <w:color w:val="auto"/>
          <w:highlight w:val="none"/>
        </w:rPr>
        <w:fldChar w:fldCharType="begin"/>
      </w:r>
      <w:r>
        <w:rPr>
          <w:rFonts w:hint="eastAsia" w:hAnsi="宋体" w:cs="宋体"/>
          <w:color w:val="auto"/>
          <w:highlight w:val="none"/>
        </w:rPr>
        <w:instrText xml:space="preserve">TOC \o "1-1" \h \u </w:instrText>
      </w:r>
      <w:r>
        <w:rPr>
          <w:rFonts w:hint="eastAsia" w:hAnsi="宋体" w:cs="宋体"/>
          <w:color w:val="auto"/>
          <w:highlight w:val="none"/>
        </w:rPr>
        <w:fldChar w:fldCharType="separate"/>
      </w:r>
      <w:r>
        <w:rPr>
          <w:rFonts w:hint="eastAsia" w:hAnsi="宋体" w:cs="宋体"/>
          <w:color w:val="auto"/>
          <w:highlight w:val="none"/>
        </w:rPr>
        <w:fldChar w:fldCharType="begin"/>
      </w:r>
      <w:r>
        <w:rPr>
          <w:rFonts w:hint="eastAsia" w:hAnsi="宋体" w:cs="宋体"/>
          <w:color w:val="auto"/>
          <w:highlight w:val="none"/>
        </w:rPr>
        <w:instrText xml:space="preserve"> HYPERLINK \l _Toc7481 </w:instrText>
      </w:r>
      <w:r>
        <w:rPr>
          <w:rFonts w:hint="eastAsia" w:hAnsi="宋体" w:cs="宋体"/>
          <w:color w:val="auto"/>
          <w:highlight w:val="none"/>
        </w:rPr>
        <w:fldChar w:fldCharType="separate"/>
      </w:r>
      <w:r>
        <w:rPr>
          <w:rFonts w:hint="eastAsia" w:hAnsi="宋体" w:cs="宋体"/>
          <w:color w:val="auto"/>
          <w:szCs w:val="24"/>
          <w:highlight w:val="none"/>
        </w:rPr>
        <w:t>1. 总则</w:t>
      </w:r>
      <w:r>
        <w:rPr>
          <w:color w:val="auto"/>
          <w:highlight w:val="none"/>
        </w:rPr>
        <w:tab/>
      </w:r>
      <w:r>
        <w:rPr>
          <w:color w:val="auto"/>
          <w:highlight w:val="none"/>
        </w:rPr>
        <w:fldChar w:fldCharType="begin"/>
      </w:r>
      <w:r>
        <w:rPr>
          <w:color w:val="auto"/>
          <w:highlight w:val="none"/>
        </w:rPr>
        <w:instrText xml:space="preserve"> PAGEREF _Toc7481 \h </w:instrText>
      </w:r>
      <w:r>
        <w:rPr>
          <w:color w:val="auto"/>
          <w:highlight w:val="none"/>
        </w:rPr>
        <w:fldChar w:fldCharType="separate"/>
      </w:r>
      <w:r>
        <w:rPr>
          <w:color w:val="auto"/>
          <w:highlight w:val="none"/>
        </w:rPr>
        <w:t>1</w:t>
      </w:r>
      <w:r>
        <w:rPr>
          <w:color w:val="auto"/>
          <w:highlight w:val="none"/>
        </w:rPr>
        <w:fldChar w:fldCharType="end"/>
      </w:r>
      <w:r>
        <w:rPr>
          <w:rFonts w:hint="eastAsia" w:hAnsi="宋体" w:cs="宋体"/>
          <w:color w:val="auto"/>
          <w:highlight w:val="none"/>
        </w:rPr>
        <w:fldChar w:fldCharType="end"/>
      </w:r>
    </w:p>
    <w:p>
      <w:pPr>
        <w:pStyle w:val="13"/>
        <w:tabs>
          <w:tab w:val="right" w:leader="dot" w:pos="8640"/>
          <w:tab w:val="clear" w:pos="8296"/>
        </w:tabs>
        <w:rPr>
          <w:color w:val="auto"/>
          <w:highlight w:val="none"/>
        </w:rPr>
      </w:pPr>
      <w:r>
        <w:rPr>
          <w:rFonts w:hint="eastAsia" w:hAnsi="宋体" w:cs="宋体"/>
          <w:color w:val="auto"/>
          <w:highlight w:val="none"/>
        </w:rPr>
        <w:fldChar w:fldCharType="begin"/>
      </w:r>
      <w:r>
        <w:rPr>
          <w:rFonts w:hint="eastAsia" w:hAnsi="宋体" w:cs="宋体"/>
          <w:color w:val="auto"/>
          <w:highlight w:val="none"/>
        </w:rPr>
        <w:instrText xml:space="preserve"> HYPERLINK \l _Toc6901 </w:instrText>
      </w:r>
      <w:r>
        <w:rPr>
          <w:rFonts w:hint="eastAsia" w:hAnsi="宋体" w:cs="宋体"/>
          <w:color w:val="auto"/>
          <w:highlight w:val="none"/>
        </w:rPr>
        <w:fldChar w:fldCharType="separate"/>
      </w:r>
      <w:r>
        <w:rPr>
          <w:rFonts w:hint="eastAsia" w:hAnsi="宋体" w:cs="宋体"/>
          <w:color w:val="auto"/>
          <w:highlight w:val="none"/>
        </w:rPr>
        <w:t>2. 应遵循的主要标准</w:t>
      </w:r>
      <w:r>
        <w:rPr>
          <w:color w:val="auto"/>
          <w:highlight w:val="none"/>
        </w:rPr>
        <w:tab/>
      </w:r>
      <w:r>
        <w:rPr>
          <w:color w:val="auto"/>
          <w:highlight w:val="none"/>
        </w:rPr>
        <w:fldChar w:fldCharType="begin"/>
      </w:r>
      <w:r>
        <w:rPr>
          <w:color w:val="auto"/>
          <w:highlight w:val="none"/>
        </w:rPr>
        <w:instrText xml:space="preserve"> PAGEREF _Toc6901 \h </w:instrText>
      </w:r>
      <w:r>
        <w:rPr>
          <w:color w:val="auto"/>
          <w:highlight w:val="none"/>
        </w:rPr>
        <w:fldChar w:fldCharType="separate"/>
      </w:r>
      <w:r>
        <w:rPr>
          <w:color w:val="auto"/>
          <w:highlight w:val="none"/>
        </w:rPr>
        <w:t>3</w:t>
      </w:r>
      <w:r>
        <w:rPr>
          <w:color w:val="auto"/>
          <w:highlight w:val="none"/>
        </w:rPr>
        <w:fldChar w:fldCharType="end"/>
      </w:r>
      <w:r>
        <w:rPr>
          <w:rFonts w:hint="eastAsia" w:hAnsi="宋体" w:cs="宋体"/>
          <w:color w:val="auto"/>
          <w:highlight w:val="none"/>
        </w:rPr>
        <w:fldChar w:fldCharType="end"/>
      </w:r>
    </w:p>
    <w:p>
      <w:pPr>
        <w:pStyle w:val="13"/>
        <w:tabs>
          <w:tab w:val="right" w:leader="dot" w:pos="8640"/>
          <w:tab w:val="clear" w:pos="8296"/>
        </w:tabs>
        <w:rPr>
          <w:color w:val="auto"/>
          <w:highlight w:val="none"/>
        </w:rPr>
      </w:pPr>
      <w:r>
        <w:rPr>
          <w:rFonts w:hint="eastAsia" w:hAnsi="宋体" w:cs="宋体"/>
          <w:color w:val="auto"/>
          <w:highlight w:val="none"/>
        </w:rPr>
        <w:fldChar w:fldCharType="begin"/>
      </w:r>
      <w:r>
        <w:rPr>
          <w:rFonts w:hint="eastAsia" w:hAnsi="宋体" w:cs="宋体"/>
          <w:color w:val="auto"/>
          <w:highlight w:val="none"/>
        </w:rPr>
        <w:instrText xml:space="preserve"> HYPERLINK \l _Toc18124 </w:instrText>
      </w:r>
      <w:r>
        <w:rPr>
          <w:rFonts w:hint="eastAsia" w:hAnsi="宋体" w:cs="宋体"/>
          <w:color w:val="auto"/>
          <w:highlight w:val="none"/>
        </w:rPr>
        <w:fldChar w:fldCharType="separate"/>
      </w:r>
      <w:r>
        <w:rPr>
          <w:rFonts w:hint="eastAsia" w:hAnsi="宋体" w:cs="宋体"/>
          <w:color w:val="auto"/>
          <w:szCs w:val="24"/>
          <w:highlight w:val="none"/>
        </w:rPr>
        <w:t>3. 使用条件</w:t>
      </w:r>
      <w:r>
        <w:rPr>
          <w:color w:val="auto"/>
          <w:highlight w:val="none"/>
        </w:rPr>
        <w:tab/>
      </w:r>
      <w:r>
        <w:rPr>
          <w:color w:val="auto"/>
          <w:highlight w:val="none"/>
        </w:rPr>
        <w:fldChar w:fldCharType="begin"/>
      </w:r>
      <w:r>
        <w:rPr>
          <w:color w:val="auto"/>
          <w:highlight w:val="none"/>
        </w:rPr>
        <w:instrText xml:space="preserve"> PAGEREF _Toc18124 \h </w:instrText>
      </w:r>
      <w:r>
        <w:rPr>
          <w:color w:val="auto"/>
          <w:highlight w:val="none"/>
        </w:rPr>
        <w:fldChar w:fldCharType="separate"/>
      </w:r>
      <w:r>
        <w:rPr>
          <w:color w:val="auto"/>
          <w:highlight w:val="none"/>
        </w:rPr>
        <w:t>4</w:t>
      </w:r>
      <w:r>
        <w:rPr>
          <w:color w:val="auto"/>
          <w:highlight w:val="none"/>
        </w:rPr>
        <w:fldChar w:fldCharType="end"/>
      </w:r>
      <w:r>
        <w:rPr>
          <w:rFonts w:hint="eastAsia" w:hAnsi="宋体" w:cs="宋体"/>
          <w:color w:val="auto"/>
          <w:highlight w:val="none"/>
        </w:rPr>
        <w:fldChar w:fldCharType="end"/>
      </w:r>
    </w:p>
    <w:p>
      <w:pPr>
        <w:pStyle w:val="13"/>
        <w:tabs>
          <w:tab w:val="right" w:leader="dot" w:pos="8640"/>
          <w:tab w:val="clear" w:pos="8296"/>
        </w:tabs>
        <w:rPr>
          <w:color w:val="auto"/>
          <w:highlight w:val="none"/>
        </w:rPr>
      </w:pPr>
      <w:r>
        <w:rPr>
          <w:rFonts w:hint="eastAsia" w:hAnsi="宋体" w:cs="宋体"/>
          <w:color w:val="auto"/>
          <w:highlight w:val="none"/>
        </w:rPr>
        <w:fldChar w:fldCharType="begin"/>
      </w:r>
      <w:r>
        <w:rPr>
          <w:rFonts w:hint="eastAsia" w:hAnsi="宋体" w:cs="宋体"/>
          <w:color w:val="auto"/>
          <w:highlight w:val="none"/>
        </w:rPr>
        <w:instrText xml:space="preserve"> HYPERLINK \l _Toc31826 </w:instrText>
      </w:r>
      <w:r>
        <w:rPr>
          <w:rFonts w:hint="eastAsia" w:hAnsi="宋体" w:cs="宋体"/>
          <w:color w:val="auto"/>
          <w:highlight w:val="none"/>
        </w:rPr>
        <w:fldChar w:fldCharType="separate"/>
      </w:r>
      <w:r>
        <w:rPr>
          <w:rFonts w:hint="eastAsia" w:hAnsi="宋体" w:cs="宋体"/>
          <w:color w:val="auto"/>
          <w:szCs w:val="24"/>
          <w:highlight w:val="none"/>
        </w:rPr>
        <w:t>4. 供货范围和技术要求</w:t>
      </w:r>
      <w:r>
        <w:rPr>
          <w:color w:val="auto"/>
          <w:highlight w:val="none"/>
        </w:rPr>
        <w:tab/>
      </w:r>
      <w:r>
        <w:rPr>
          <w:color w:val="auto"/>
          <w:highlight w:val="none"/>
        </w:rPr>
        <w:fldChar w:fldCharType="begin"/>
      </w:r>
      <w:r>
        <w:rPr>
          <w:color w:val="auto"/>
          <w:highlight w:val="none"/>
        </w:rPr>
        <w:instrText xml:space="preserve"> PAGEREF _Toc31826 \h </w:instrText>
      </w:r>
      <w:r>
        <w:rPr>
          <w:color w:val="auto"/>
          <w:highlight w:val="none"/>
        </w:rPr>
        <w:fldChar w:fldCharType="separate"/>
      </w:r>
      <w:r>
        <w:rPr>
          <w:color w:val="auto"/>
          <w:highlight w:val="none"/>
        </w:rPr>
        <w:t>4</w:t>
      </w:r>
      <w:r>
        <w:rPr>
          <w:color w:val="auto"/>
          <w:highlight w:val="none"/>
        </w:rPr>
        <w:fldChar w:fldCharType="end"/>
      </w:r>
      <w:r>
        <w:rPr>
          <w:rFonts w:hint="eastAsia" w:hAnsi="宋体" w:cs="宋体"/>
          <w:color w:val="auto"/>
          <w:highlight w:val="none"/>
        </w:rPr>
        <w:fldChar w:fldCharType="end"/>
      </w:r>
    </w:p>
    <w:p>
      <w:pPr>
        <w:pStyle w:val="13"/>
        <w:tabs>
          <w:tab w:val="right" w:leader="dot" w:pos="8640"/>
          <w:tab w:val="clear" w:pos="8296"/>
        </w:tabs>
        <w:rPr>
          <w:color w:val="auto"/>
          <w:highlight w:val="none"/>
        </w:rPr>
      </w:pPr>
      <w:r>
        <w:rPr>
          <w:rFonts w:hint="eastAsia" w:hAnsi="宋体" w:cs="宋体"/>
          <w:color w:val="auto"/>
          <w:highlight w:val="none"/>
        </w:rPr>
        <w:fldChar w:fldCharType="begin"/>
      </w:r>
      <w:r>
        <w:rPr>
          <w:rFonts w:hint="eastAsia" w:hAnsi="宋体" w:cs="宋体"/>
          <w:color w:val="auto"/>
          <w:highlight w:val="none"/>
        </w:rPr>
        <w:instrText xml:space="preserve"> HYPERLINK \l _Toc30736 </w:instrText>
      </w:r>
      <w:r>
        <w:rPr>
          <w:rFonts w:hint="eastAsia" w:hAnsi="宋体" w:cs="宋体"/>
          <w:color w:val="auto"/>
          <w:highlight w:val="none"/>
        </w:rPr>
        <w:fldChar w:fldCharType="separate"/>
      </w:r>
      <w:r>
        <w:rPr>
          <w:rFonts w:hint="eastAsia" w:hAnsi="宋体" w:cs="宋体"/>
          <w:color w:val="auto"/>
          <w:szCs w:val="24"/>
          <w:highlight w:val="none"/>
        </w:rPr>
        <w:t xml:space="preserve">5. </w:t>
      </w:r>
      <w:r>
        <w:rPr>
          <w:rFonts w:hint="eastAsia" w:hAnsi="宋体" w:cs="宋体"/>
          <w:color w:val="auto"/>
          <w:szCs w:val="24"/>
          <w:highlight w:val="none"/>
          <w:lang w:val="en-US" w:eastAsia="zh-CN"/>
        </w:rPr>
        <w:t>质量保证与售后服务</w:t>
      </w:r>
      <w:r>
        <w:rPr>
          <w:color w:val="auto"/>
          <w:highlight w:val="none"/>
        </w:rPr>
        <w:tab/>
      </w:r>
      <w:r>
        <w:rPr>
          <w:color w:val="auto"/>
          <w:highlight w:val="none"/>
        </w:rPr>
        <w:fldChar w:fldCharType="begin"/>
      </w:r>
      <w:r>
        <w:rPr>
          <w:color w:val="auto"/>
          <w:highlight w:val="none"/>
        </w:rPr>
        <w:instrText xml:space="preserve"> PAGEREF _Toc30736 \h </w:instrText>
      </w:r>
      <w:r>
        <w:rPr>
          <w:color w:val="auto"/>
          <w:highlight w:val="none"/>
        </w:rPr>
        <w:fldChar w:fldCharType="separate"/>
      </w:r>
      <w:r>
        <w:rPr>
          <w:color w:val="auto"/>
          <w:highlight w:val="none"/>
        </w:rPr>
        <w:t>23</w:t>
      </w:r>
      <w:r>
        <w:rPr>
          <w:color w:val="auto"/>
          <w:highlight w:val="none"/>
        </w:rPr>
        <w:fldChar w:fldCharType="end"/>
      </w:r>
      <w:r>
        <w:rPr>
          <w:rFonts w:hint="eastAsia" w:hAnsi="宋体" w:cs="宋体"/>
          <w:color w:val="auto"/>
          <w:highlight w:val="none"/>
        </w:rPr>
        <w:fldChar w:fldCharType="end"/>
      </w:r>
    </w:p>
    <w:p>
      <w:pPr>
        <w:pStyle w:val="13"/>
        <w:tabs>
          <w:tab w:val="right" w:leader="dot" w:pos="8640"/>
          <w:tab w:val="clear" w:pos="8296"/>
        </w:tabs>
        <w:rPr>
          <w:color w:val="auto"/>
          <w:highlight w:val="none"/>
        </w:rPr>
      </w:pPr>
      <w:r>
        <w:rPr>
          <w:rFonts w:hint="eastAsia" w:hAnsi="宋体" w:cs="宋体"/>
          <w:color w:val="auto"/>
          <w:highlight w:val="none"/>
        </w:rPr>
        <w:fldChar w:fldCharType="begin"/>
      </w:r>
      <w:r>
        <w:rPr>
          <w:rFonts w:hint="eastAsia" w:hAnsi="宋体" w:cs="宋体"/>
          <w:color w:val="auto"/>
          <w:highlight w:val="none"/>
        </w:rPr>
        <w:instrText xml:space="preserve"> HYPERLINK \l _Toc6554 </w:instrText>
      </w:r>
      <w:r>
        <w:rPr>
          <w:rFonts w:hint="eastAsia" w:hAnsi="宋体" w:cs="宋体"/>
          <w:color w:val="auto"/>
          <w:highlight w:val="none"/>
        </w:rPr>
        <w:fldChar w:fldCharType="separate"/>
      </w:r>
      <w:r>
        <w:rPr>
          <w:rFonts w:hint="eastAsia" w:hAnsi="宋体" w:cs="宋体"/>
          <w:color w:val="auto"/>
          <w:szCs w:val="24"/>
          <w:highlight w:val="none"/>
        </w:rPr>
        <w:t>6. 其他要求</w:t>
      </w:r>
      <w:r>
        <w:rPr>
          <w:color w:val="auto"/>
          <w:highlight w:val="none"/>
        </w:rPr>
        <w:tab/>
      </w:r>
      <w:r>
        <w:rPr>
          <w:color w:val="auto"/>
          <w:highlight w:val="none"/>
        </w:rPr>
        <w:fldChar w:fldCharType="begin"/>
      </w:r>
      <w:r>
        <w:rPr>
          <w:color w:val="auto"/>
          <w:highlight w:val="none"/>
        </w:rPr>
        <w:instrText xml:space="preserve"> PAGEREF _Toc6554 \h </w:instrText>
      </w:r>
      <w:r>
        <w:rPr>
          <w:color w:val="auto"/>
          <w:highlight w:val="none"/>
        </w:rPr>
        <w:fldChar w:fldCharType="separate"/>
      </w:r>
      <w:r>
        <w:rPr>
          <w:color w:val="auto"/>
          <w:highlight w:val="none"/>
        </w:rPr>
        <w:t>25</w:t>
      </w:r>
      <w:r>
        <w:rPr>
          <w:color w:val="auto"/>
          <w:highlight w:val="none"/>
        </w:rPr>
        <w:fldChar w:fldCharType="end"/>
      </w:r>
      <w:r>
        <w:rPr>
          <w:rFonts w:hint="eastAsia" w:hAnsi="宋体" w:cs="宋体"/>
          <w:color w:val="auto"/>
          <w:highlight w:val="none"/>
        </w:rPr>
        <w:fldChar w:fldCharType="end"/>
      </w:r>
    </w:p>
    <w:p>
      <w:pPr>
        <w:pStyle w:val="13"/>
        <w:tabs>
          <w:tab w:val="right" w:leader="dot" w:pos="8640"/>
          <w:tab w:val="clear" w:pos="8296"/>
        </w:tabs>
        <w:rPr>
          <w:color w:val="auto"/>
          <w:highlight w:val="none"/>
        </w:rPr>
      </w:pPr>
      <w:r>
        <w:rPr>
          <w:rFonts w:hint="eastAsia" w:hAnsi="宋体" w:cs="宋体"/>
          <w:color w:val="auto"/>
          <w:highlight w:val="none"/>
        </w:rPr>
        <w:fldChar w:fldCharType="begin"/>
      </w:r>
      <w:r>
        <w:rPr>
          <w:rFonts w:hint="eastAsia" w:hAnsi="宋体" w:cs="宋体"/>
          <w:color w:val="auto"/>
          <w:highlight w:val="none"/>
        </w:rPr>
        <w:instrText xml:space="preserve"> HYPERLINK \l _Toc31136 </w:instrText>
      </w:r>
      <w:r>
        <w:rPr>
          <w:rFonts w:hint="eastAsia" w:hAnsi="宋体" w:cs="宋体"/>
          <w:color w:val="auto"/>
          <w:highlight w:val="none"/>
        </w:rPr>
        <w:fldChar w:fldCharType="separate"/>
      </w:r>
      <w:r>
        <w:rPr>
          <w:rFonts w:hint="eastAsia" w:hAnsi="宋体" w:cs="宋体"/>
          <w:color w:val="auto"/>
          <w:szCs w:val="24"/>
          <w:highlight w:val="none"/>
        </w:rPr>
        <w:t>7. 附件</w:t>
      </w:r>
      <w:r>
        <w:rPr>
          <w:color w:val="auto"/>
          <w:highlight w:val="none"/>
        </w:rPr>
        <w:tab/>
      </w:r>
      <w:r>
        <w:rPr>
          <w:color w:val="auto"/>
          <w:highlight w:val="none"/>
        </w:rPr>
        <w:fldChar w:fldCharType="begin"/>
      </w:r>
      <w:r>
        <w:rPr>
          <w:color w:val="auto"/>
          <w:highlight w:val="none"/>
        </w:rPr>
        <w:instrText xml:space="preserve"> PAGEREF _Toc31136 \h </w:instrText>
      </w:r>
      <w:r>
        <w:rPr>
          <w:color w:val="auto"/>
          <w:highlight w:val="none"/>
        </w:rPr>
        <w:fldChar w:fldCharType="separate"/>
      </w:r>
      <w:r>
        <w:rPr>
          <w:color w:val="auto"/>
          <w:highlight w:val="none"/>
        </w:rPr>
        <w:t>26</w:t>
      </w:r>
      <w:r>
        <w:rPr>
          <w:color w:val="auto"/>
          <w:highlight w:val="none"/>
        </w:rPr>
        <w:fldChar w:fldCharType="end"/>
      </w:r>
      <w:r>
        <w:rPr>
          <w:rFonts w:hint="eastAsia" w:hAnsi="宋体" w:cs="宋体"/>
          <w:color w:val="auto"/>
          <w:highlight w:val="none"/>
        </w:rPr>
        <w:fldChar w:fldCharType="end"/>
      </w:r>
    </w:p>
    <w:p>
      <w:pPr>
        <w:rPr>
          <w:rFonts w:hAnsi="宋体" w:cs="宋体"/>
          <w:color w:val="auto"/>
          <w:highlight w:val="none"/>
        </w:rPr>
      </w:pPr>
      <w:r>
        <w:rPr>
          <w:rFonts w:hint="eastAsia" w:hAnsi="宋体" w:cs="宋体"/>
          <w:color w:val="auto"/>
          <w:highlight w:val="none"/>
        </w:rPr>
        <w:fldChar w:fldCharType="end"/>
      </w:r>
    </w:p>
    <w:p>
      <w:pPr>
        <w:rPr>
          <w:rFonts w:hAnsi="宋体" w:cs="宋体"/>
          <w:color w:val="auto"/>
          <w:highlight w:val="none"/>
        </w:rPr>
        <w:sectPr>
          <w:headerReference r:id="rId5" w:type="default"/>
          <w:footerReference r:id="rId6" w:type="default"/>
          <w:footerReference r:id="rId7" w:type="even"/>
          <w:pgSz w:w="11906" w:h="16838"/>
          <w:pgMar w:top="1440" w:right="1466" w:bottom="1440" w:left="1800" w:header="851" w:footer="992" w:gutter="0"/>
          <w:cols w:space="720" w:num="1"/>
          <w:docGrid w:type="lines" w:linePitch="312" w:charSpace="0"/>
        </w:sectPr>
      </w:pPr>
    </w:p>
    <w:p>
      <w:pPr>
        <w:pStyle w:val="2"/>
        <w:rPr>
          <w:rFonts w:hAnsi="宋体" w:cs="宋体"/>
          <w:color w:val="auto"/>
          <w:szCs w:val="24"/>
          <w:highlight w:val="none"/>
        </w:rPr>
      </w:pPr>
      <w:bookmarkStart w:id="1" w:name="_Toc10842"/>
      <w:bookmarkStart w:id="2" w:name="_Toc3828734"/>
      <w:bookmarkStart w:id="3" w:name="_Toc7481"/>
      <w:r>
        <w:rPr>
          <w:rFonts w:hint="eastAsia" w:hAnsi="宋体" w:cs="宋体"/>
          <w:color w:val="auto"/>
          <w:szCs w:val="24"/>
          <w:highlight w:val="none"/>
        </w:rPr>
        <w:t>总则</w:t>
      </w:r>
      <w:bookmarkEnd w:id="1"/>
      <w:bookmarkEnd w:id="2"/>
      <w:bookmarkEnd w:id="3"/>
    </w:p>
    <w:p>
      <w:pPr>
        <w:pStyle w:val="3"/>
        <w:ind w:left="0" w:leftChars="0" w:firstLineChars="0"/>
        <w:rPr>
          <w:rFonts w:hAnsi="宋体" w:cs="宋体"/>
          <w:color w:val="auto"/>
          <w:szCs w:val="24"/>
          <w:highlight w:val="none"/>
        </w:rPr>
      </w:pPr>
      <w:r>
        <w:rPr>
          <w:rFonts w:hint="eastAsia" w:hAnsi="宋体" w:cs="宋体"/>
          <w:color w:val="auto"/>
          <w:szCs w:val="24"/>
          <w:highlight w:val="none"/>
        </w:rPr>
        <w:t>一般要求</w:t>
      </w:r>
    </w:p>
    <w:p>
      <w:pPr>
        <w:pStyle w:val="5"/>
        <w:numPr>
          <w:ilvl w:val="2"/>
          <w:numId w:val="4"/>
        </w:numPr>
        <w:rPr>
          <w:rFonts w:hAnsi="宋体" w:cs="宋体"/>
          <w:color w:val="auto"/>
          <w:highlight w:val="none"/>
        </w:rPr>
      </w:pPr>
      <w:r>
        <w:rPr>
          <w:rFonts w:hint="eastAsia" w:hAnsi="宋体" w:cs="宋体"/>
          <w:color w:val="auto"/>
          <w:highlight w:val="none"/>
        </w:rPr>
        <w:t>投标方必须认真阅读本技术条款内容，以免造成投标失败。</w:t>
      </w:r>
    </w:p>
    <w:p>
      <w:pPr>
        <w:keepNext w:val="0"/>
        <w:keepLines w:val="0"/>
        <w:widowControl/>
        <w:suppressLineNumbers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本技术规范书主要描述</w:t>
      </w:r>
      <w:r>
        <w:rPr>
          <w:rFonts w:hint="eastAsia" w:hAnsi="宋体" w:cs="宋体"/>
          <w:color w:val="auto"/>
          <w:sz w:val="24"/>
          <w:szCs w:val="24"/>
          <w:highlight w:val="none"/>
          <w:lang w:val="en-US" w:eastAsia="zh-CN"/>
        </w:rPr>
        <w:t>玉林供电局2026年综合楼档案室密集架购置项目</w:t>
      </w:r>
      <w:r>
        <w:rPr>
          <w:rFonts w:hint="eastAsia" w:ascii="宋体" w:hAnsi="宋体" w:eastAsia="宋体" w:cs="宋体"/>
          <w:color w:val="auto"/>
          <w:sz w:val="24"/>
          <w:szCs w:val="24"/>
          <w:highlight w:val="none"/>
          <w:lang w:eastAsia="zh-CN"/>
        </w:rPr>
        <w:t>要求有关事项。</w:t>
      </w:r>
    </w:p>
    <w:p>
      <w:pPr>
        <w:keepNext w:val="0"/>
        <w:keepLines w:val="0"/>
        <w:widowControl/>
        <w:suppressLineNumbers w:val="0"/>
        <w:ind w:firstLine="480" w:firstLineChars="200"/>
        <w:jc w:val="left"/>
        <w:rPr>
          <w:rFonts w:hint="eastAsia" w:hAnsi="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项目主要内容：</w:t>
      </w:r>
      <w:r>
        <w:rPr>
          <w:rFonts w:hint="eastAsia" w:hAnsi="宋体" w:cs="宋体"/>
          <w:color w:val="auto"/>
          <w:sz w:val="24"/>
          <w:szCs w:val="24"/>
          <w:highlight w:val="none"/>
          <w:lang w:val="en-US" w:eastAsia="zh-CN"/>
        </w:rPr>
        <w:t>采购手动档案密集柜。</w:t>
      </w:r>
    </w:p>
    <w:p>
      <w:pPr>
        <w:tabs>
          <w:tab w:val="left" w:pos="1440"/>
          <w:tab w:val="left" w:pos="3960"/>
        </w:tabs>
        <w:spacing w:line="440" w:lineRule="atLeast"/>
        <w:ind w:firstLine="480" w:firstLineChars="200"/>
        <w:rPr>
          <w:color w:val="auto"/>
          <w:highlight w:val="none"/>
        </w:rPr>
      </w:pPr>
      <w:r>
        <w:rPr>
          <w:rFonts w:hint="eastAsia" w:hAnsi="宋体" w:cs="宋体"/>
          <w:color w:val="auto"/>
          <w:sz w:val="24"/>
          <w:szCs w:val="24"/>
          <w:highlight w:val="none"/>
          <w:lang w:val="en-US" w:eastAsia="zh-CN"/>
        </w:rPr>
        <w:t>建设规模：详见玉林供电局采购手动档案密集柜供货清单表。</w:t>
      </w:r>
    </w:p>
    <w:p>
      <w:pPr>
        <w:pStyle w:val="5"/>
        <w:rPr>
          <w:rFonts w:hAnsi="宋体" w:cs="宋体"/>
          <w:color w:val="auto"/>
          <w:highlight w:val="none"/>
        </w:rPr>
      </w:pPr>
      <w:r>
        <w:rPr>
          <w:rFonts w:hint="eastAsia" w:hAnsi="宋体" w:cs="宋体"/>
          <w:color w:val="auto"/>
          <w:highlight w:val="none"/>
        </w:rPr>
        <w:t>投标方提供的设备必须具备质检部门的认可文件。</w:t>
      </w:r>
    </w:p>
    <w:p>
      <w:pPr>
        <w:pStyle w:val="5"/>
        <w:rPr>
          <w:rFonts w:hAnsi="宋体" w:cs="宋体"/>
          <w:color w:val="auto"/>
          <w:highlight w:val="none"/>
        </w:rPr>
      </w:pPr>
      <w:r>
        <w:rPr>
          <w:rFonts w:hint="eastAsia" w:hAnsi="宋体" w:cs="宋体"/>
          <w:color w:val="auto"/>
          <w:highlight w:val="none"/>
        </w:rPr>
        <w:t>本技术规范书提出的是最低限度的技术要求, 并未对一切技术细节作出规定，也未充分引述有关标准和规范的条文。投标方应提供符合本招标技术文件和工业标准的优质产品、服务，认真阅读，逐条准确回答和陈述，必须清楚地说明是否满足本技术规范书的每一项具体要求。如果不满足要求，除在逐条应答时予以说明外，还需以“差异表”(见附件)的形式另外列出。</w:t>
      </w:r>
    </w:p>
    <w:p>
      <w:pPr>
        <w:pStyle w:val="5"/>
        <w:rPr>
          <w:rFonts w:hAnsi="宋体" w:cs="宋体"/>
          <w:color w:val="auto"/>
          <w:highlight w:val="none"/>
        </w:rPr>
      </w:pPr>
      <w:r>
        <w:rPr>
          <w:rFonts w:hint="eastAsia" w:hAnsi="宋体" w:cs="宋体"/>
          <w:color w:val="auto"/>
          <w:highlight w:val="none"/>
        </w:rPr>
        <w:t>投标方应提供满足本技术规范书要求的建议书、实施方案及报价，建议书、实施方案必须满足本技术规范的主要要求，否则将被认作没有回答。投标方认为需特殊说明的部分，应附详细的技术资料，否则因评标理解不同而产生的后果由投标方负责。</w:t>
      </w:r>
    </w:p>
    <w:p>
      <w:pPr>
        <w:pStyle w:val="5"/>
        <w:rPr>
          <w:rFonts w:hAnsi="宋体" w:cs="宋体"/>
          <w:color w:val="auto"/>
          <w:highlight w:val="none"/>
        </w:rPr>
      </w:pPr>
      <w:r>
        <w:rPr>
          <w:rFonts w:hint="eastAsia" w:hAnsi="宋体" w:cs="宋体"/>
          <w:color w:val="auto"/>
          <w:highlight w:val="none"/>
        </w:rPr>
        <w:t>如果投标方认为本技术条款所描述技术要求等存在不合理性或不明白的，可在响应原要求后陈述相关建议。</w:t>
      </w:r>
    </w:p>
    <w:p>
      <w:pPr>
        <w:pStyle w:val="5"/>
        <w:rPr>
          <w:rFonts w:hAnsi="宋体" w:cs="宋体"/>
          <w:color w:val="auto"/>
          <w:highlight w:val="none"/>
        </w:rPr>
      </w:pPr>
      <w:r>
        <w:rPr>
          <w:rFonts w:hint="eastAsia" w:hAnsi="宋体" w:cs="宋体"/>
          <w:color w:val="auto"/>
          <w:highlight w:val="none"/>
        </w:rPr>
        <w:t>投标方也可提出满足本技术规范书要求，且技术先进、成熟、价格合理的其他建议，供招标方选择。</w:t>
      </w:r>
    </w:p>
    <w:p>
      <w:pPr>
        <w:pStyle w:val="5"/>
        <w:rPr>
          <w:rFonts w:hAnsi="宋体" w:cs="宋体"/>
          <w:color w:val="auto"/>
          <w:highlight w:val="none"/>
        </w:rPr>
      </w:pPr>
      <w:r>
        <w:rPr>
          <w:rFonts w:hint="eastAsia" w:hAnsi="宋体" w:cs="宋体"/>
          <w:color w:val="auto"/>
          <w:highlight w:val="none"/>
        </w:rPr>
        <w:t>投标方应提供满足本技术规范书要求的完整的服务、工作产品，满足国家及用户提出的有关质量标准要求。所有工作产品必须具有在中国境内的合法使用权。</w:t>
      </w:r>
    </w:p>
    <w:p>
      <w:pPr>
        <w:pStyle w:val="5"/>
        <w:rPr>
          <w:rFonts w:hAnsi="宋体" w:cs="宋体"/>
          <w:color w:val="auto"/>
          <w:highlight w:val="none"/>
        </w:rPr>
      </w:pPr>
      <w:r>
        <w:rPr>
          <w:rFonts w:hint="eastAsia" w:hAnsi="宋体" w:cs="宋体"/>
          <w:color w:val="auto"/>
          <w:highlight w:val="none"/>
        </w:rPr>
        <w:t>本技术规范书所使用的标准如与投标方所执行的标准不一致，按较高标准执行。</w:t>
      </w:r>
    </w:p>
    <w:p>
      <w:pPr>
        <w:pStyle w:val="5"/>
        <w:rPr>
          <w:rFonts w:hAnsi="宋体" w:cs="宋体"/>
          <w:color w:val="auto"/>
          <w:highlight w:val="none"/>
        </w:rPr>
      </w:pPr>
      <w:r>
        <w:rPr>
          <w:rFonts w:hint="eastAsia" w:hAnsi="宋体" w:cs="宋体"/>
          <w:color w:val="auto"/>
          <w:highlight w:val="none"/>
        </w:rPr>
        <w:t>如果因为无法提供的原因而提供其他产品、服务，投标方应明确说明并提出质量保证承诺。</w:t>
      </w:r>
    </w:p>
    <w:p>
      <w:pPr>
        <w:pStyle w:val="5"/>
        <w:rPr>
          <w:rFonts w:hAnsi="宋体" w:cs="宋体"/>
          <w:color w:val="auto"/>
          <w:highlight w:val="none"/>
        </w:rPr>
      </w:pPr>
      <w:r>
        <w:rPr>
          <w:rFonts w:hint="eastAsia" w:hAnsi="宋体" w:cs="宋体"/>
          <w:color w:val="auto"/>
          <w:highlight w:val="none"/>
        </w:rPr>
        <w:t>投标方应保证为今后招标方开发的或招标方委托第三方开发的其他工作产品提供可靠的性能和兼容性。</w:t>
      </w:r>
    </w:p>
    <w:p>
      <w:pPr>
        <w:pStyle w:val="5"/>
        <w:rPr>
          <w:rFonts w:hAnsi="宋体" w:cs="宋体"/>
          <w:color w:val="auto"/>
          <w:highlight w:val="none"/>
        </w:rPr>
      </w:pPr>
      <w:r>
        <w:rPr>
          <w:rFonts w:hint="eastAsia" w:hAnsi="宋体" w:cs="宋体"/>
          <w:color w:val="auto"/>
          <w:highlight w:val="none"/>
        </w:rPr>
        <w:t>投标方应对本次投标所有文件保密，不得向其他单位公布或泄漏招标项目的有关信息。</w:t>
      </w:r>
    </w:p>
    <w:p>
      <w:pPr>
        <w:pStyle w:val="5"/>
        <w:rPr>
          <w:rFonts w:hAnsi="宋体" w:cs="宋体"/>
          <w:color w:val="auto"/>
          <w:highlight w:val="none"/>
        </w:rPr>
      </w:pPr>
      <w:r>
        <w:rPr>
          <w:rFonts w:hint="eastAsia" w:hAnsi="宋体" w:cs="宋体"/>
          <w:color w:val="auto"/>
          <w:highlight w:val="none"/>
        </w:rPr>
        <w:t>招标方保留技术规范书修改的权利，可以提出变更的意见和建议，最终签订的技术协议与合同具有同等效力。</w:t>
      </w:r>
    </w:p>
    <w:p>
      <w:pPr>
        <w:pStyle w:val="5"/>
        <w:rPr>
          <w:rFonts w:hAnsi="宋体" w:cs="宋体"/>
          <w:color w:val="auto"/>
          <w:highlight w:val="none"/>
        </w:rPr>
      </w:pPr>
      <w:r>
        <w:rPr>
          <w:rFonts w:hint="eastAsia" w:hAnsi="宋体" w:cs="宋体"/>
          <w:color w:val="auto"/>
          <w:highlight w:val="none"/>
        </w:rPr>
        <w:t>在不超出本技术规范书要求的情况下，投标方应对招标方提出的所有细化要求予以满足。</w:t>
      </w:r>
    </w:p>
    <w:p>
      <w:pPr>
        <w:pStyle w:val="5"/>
        <w:numPr>
          <w:ilvl w:val="2"/>
          <w:numId w:val="0"/>
        </w:numPr>
        <w:ind w:leftChars="0"/>
        <w:rPr>
          <w:rFonts w:hAnsi="宋体" w:cs="宋体"/>
          <w:color w:val="auto"/>
          <w:highlight w:val="none"/>
        </w:rPr>
      </w:pPr>
    </w:p>
    <w:p>
      <w:pPr>
        <w:pStyle w:val="3"/>
        <w:ind w:left="0" w:leftChars="0" w:firstLineChars="0"/>
        <w:rPr>
          <w:rFonts w:hAnsi="宋体" w:cs="宋体"/>
          <w:color w:val="auto"/>
          <w:szCs w:val="24"/>
          <w:highlight w:val="none"/>
        </w:rPr>
      </w:pPr>
      <w:r>
        <w:rPr>
          <w:rFonts w:hint="eastAsia" w:hAnsi="宋体" w:cs="宋体"/>
          <w:color w:val="auto"/>
          <w:szCs w:val="24"/>
          <w:highlight w:val="none"/>
        </w:rPr>
        <w:t>投标方职责</w:t>
      </w:r>
    </w:p>
    <w:p>
      <w:pPr>
        <w:pStyle w:val="5"/>
        <w:rPr>
          <w:rFonts w:hAnsi="宋体" w:cs="宋体"/>
          <w:color w:val="auto"/>
          <w:highlight w:val="none"/>
        </w:rPr>
      </w:pPr>
      <w:r>
        <w:rPr>
          <w:rFonts w:hint="eastAsia" w:hAnsi="宋体" w:cs="宋体"/>
          <w:color w:val="auto"/>
          <w:highlight w:val="none"/>
        </w:rPr>
        <w:t>负责合同内所需服务、工作产品的方案设计，并根据招标方需求细化。</w:t>
      </w:r>
    </w:p>
    <w:p>
      <w:pPr>
        <w:pStyle w:val="5"/>
        <w:rPr>
          <w:rFonts w:hAnsi="宋体" w:cs="宋体"/>
          <w:color w:val="auto"/>
          <w:highlight w:val="none"/>
        </w:rPr>
      </w:pPr>
      <w:r>
        <w:rPr>
          <w:rFonts w:hint="eastAsia" w:hAnsi="宋体" w:cs="宋体"/>
          <w:color w:val="auto"/>
          <w:highlight w:val="none"/>
        </w:rPr>
        <w:t>负责服务、工作产品现场验收。</w:t>
      </w:r>
    </w:p>
    <w:p>
      <w:pPr>
        <w:pStyle w:val="5"/>
        <w:rPr>
          <w:rFonts w:hAnsi="宋体" w:cs="宋体"/>
          <w:color w:val="auto"/>
          <w:highlight w:val="none"/>
        </w:rPr>
      </w:pPr>
      <w:r>
        <w:rPr>
          <w:rFonts w:hint="eastAsia" w:hAnsi="宋体" w:cs="宋体"/>
          <w:color w:val="auto"/>
          <w:highlight w:val="none"/>
        </w:rPr>
        <w:t>合同期内为招标方提供项目管理服务。</w:t>
      </w:r>
    </w:p>
    <w:p>
      <w:pPr>
        <w:pStyle w:val="5"/>
        <w:rPr>
          <w:rFonts w:hAnsi="宋体" w:cs="宋体"/>
          <w:color w:val="auto"/>
          <w:highlight w:val="none"/>
        </w:rPr>
      </w:pPr>
      <w:r>
        <w:rPr>
          <w:rFonts w:hint="eastAsia" w:hAnsi="宋体" w:cs="宋体"/>
          <w:color w:val="auto"/>
          <w:highlight w:val="none"/>
        </w:rPr>
        <w:t>负责对招标方运行人员的技术培训。</w:t>
      </w:r>
    </w:p>
    <w:p>
      <w:pPr>
        <w:pStyle w:val="5"/>
        <w:rPr>
          <w:rFonts w:hAnsi="宋体" w:cs="宋体"/>
          <w:color w:val="auto"/>
          <w:highlight w:val="none"/>
        </w:rPr>
      </w:pPr>
      <w:r>
        <w:rPr>
          <w:rFonts w:hint="eastAsia" w:hAnsi="宋体" w:cs="宋体"/>
          <w:color w:val="auto"/>
          <w:highlight w:val="none"/>
        </w:rPr>
        <w:t>列出需招标方提供的数据、资料详细清单。</w:t>
      </w:r>
    </w:p>
    <w:p>
      <w:pPr>
        <w:pStyle w:val="5"/>
        <w:rPr>
          <w:rFonts w:hAnsi="宋体" w:cs="宋体"/>
          <w:color w:val="auto"/>
          <w:highlight w:val="none"/>
        </w:rPr>
      </w:pPr>
      <w:r>
        <w:rPr>
          <w:rFonts w:hint="eastAsia" w:hAnsi="宋体" w:cs="宋体"/>
          <w:color w:val="auto"/>
          <w:highlight w:val="none"/>
        </w:rPr>
        <w:t>负责提供服务的所有文件资料和技术资料。</w:t>
      </w:r>
    </w:p>
    <w:p>
      <w:pPr>
        <w:pStyle w:val="5"/>
        <w:rPr>
          <w:rFonts w:hAnsi="宋体" w:cs="宋体"/>
          <w:color w:val="auto"/>
          <w:highlight w:val="none"/>
        </w:rPr>
      </w:pPr>
      <w:r>
        <w:rPr>
          <w:rFonts w:hint="eastAsia" w:hAnsi="宋体" w:cs="宋体"/>
          <w:color w:val="auto"/>
          <w:highlight w:val="none"/>
        </w:rPr>
        <w:t>负责最终提供的全部技术资料的准确性。</w:t>
      </w:r>
    </w:p>
    <w:p>
      <w:pPr>
        <w:pStyle w:val="5"/>
        <w:rPr>
          <w:rFonts w:hAnsi="宋体" w:cs="宋体"/>
          <w:color w:val="auto"/>
          <w:highlight w:val="none"/>
        </w:rPr>
      </w:pPr>
      <w:r>
        <w:rPr>
          <w:rFonts w:hint="eastAsia" w:hAnsi="宋体" w:cs="宋体"/>
          <w:color w:val="auto"/>
          <w:highlight w:val="none"/>
        </w:rPr>
        <w:t>保证提供的所有服务、工作产品的质量及技术指标完全满足合同要求。</w:t>
      </w:r>
    </w:p>
    <w:p>
      <w:pPr>
        <w:pStyle w:val="3"/>
        <w:ind w:left="0" w:leftChars="0" w:firstLineChars="0"/>
        <w:rPr>
          <w:rFonts w:hAnsi="宋体" w:cs="宋体"/>
          <w:color w:val="auto"/>
          <w:szCs w:val="24"/>
          <w:highlight w:val="none"/>
        </w:rPr>
      </w:pPr>
      <w:r>
        <w:rPr>
          <w:rFonts w:hint="eastAsia" w:hAnsi="宋体" w:cs="宋体"/>
          <w:color w:val="auto"/>
          <w:szCs w:val="24"/>
          <w:highlight w:val="none"/>
        </w:rPr>
        <w:t>招标方职责</w:t>
      </w:r>
    </w:p>
    <w:p>
      <w:pPr>
        <w:pStyle w:val="5"/>
        <w:rPr>
          <w:rFonts w:hAnsi="宋体" w:cs="宋体"/>
          <w:color w:val="auto"/>
          <w:highlight w:val="none"/>
        </w:rPr>
      </w:pPr>
      <w:r>
        <w:rPr>
          <w:rFonts w:hint="eastAsia" w:hAnsi="宋体" w:cs="宋体"/>
          <w:color w:val="auto"/>
          <w:highlight w:val="none"/>
        </w:rPr>
        <w:t>负责提供与本项目有关的技术资料、参数及图纸。</w:t>
      </w:r>
    </w:p>
    <w:p>
      <w:pPr>
        <w:pStyle w:val="5"/>
        <w:rPr>
          <w:rFonts w:hAnsi="宋体" w:cs="宋体"/>
          <w:color w:val="auto"/>
          <w:highlight w:val="none"/>
        </w:rPr>
      </w:pPr>
      <w:r>
        <w:rPr>
          <w:rFonts w:hint="eastAsia" w:hAnsi="宋体" w:cs="宋体"/>
          <w:color w:val="auto"/>
          <w:highlight w:val="none"/>
        </w:rPr>
        <w:t>确认投标方提供的服务、工作产品的文件资料和技术。</w:t>
      </w:r>
    </w:p>
    <w:p>
      <w:pPr>
        <w:pStyle w:val="5"/>
        <w:rPr>
          <w:rFonts w:hAnsi="宋体" w:cs="宋体"/>
          <w:color w:val="auto"/>
          <w:highlight w:val="none"/>
        </w:rPr>
      </w:pPr>
      <w:r>
        <w:rPr>
          <w:rFonts w:hint="eastAsia" w:hAnsi="宋体" w:cs="宋体"/>
          <w:color w:val="auto"/>
          <w:highlight w:val="none"/>
        </w:rPr>
        <w:t>提供满足招标方开展工作的环境条件。</w:t>
      </w:r>
    </w:p>
    <w:p>
      <w:pPr>
        <w:pStyle w:val="5"/>
        <w:rPr>
          <w:rFonts w:hAnsi="宋体" w:cs="宋体"/>
          <w:color w:val="auto"/>
          <w:highlight w:val="none"/>
        </w:rPr>
      </w:pPr>
      <w:r>
        <w:rPr>
          <w:rFonts w:hint="eastAsia" w:hAnsi="宋体" w:cs="宋体"/>
          <w:color w:val="auto"/>
          <w:highlight w:val="none"/>
        </w:rPr>
        <w:t>负责向投标方解释技术规范书中的要求。</w:t>
      </w:r>
    </w:p>
    <w:p>
      <w:pPr>
        <w:pStyle w:val="5"/>
        <w:rPr>
          <w:rFonts w:hAnsi="宋体" w:cs="宋体"/>
          <w:color w:val="auto"/>
          <w:highlight w:val="none"/>
        </w:rPr>
      </w:pPr>
      <w:r>
        <w:rPr>
          <w:rFonts w:hint="eastAsia" w:hAnsi="宋体" w:cs="宋体"/>
          <w:color w:val="auto"/>
          <w:highlight w:val="none"/>
        </w:rPr>
        <w:t>配合投标方完成项目工作，并组织验收。</w:t>
      </w:r>
    </w:p>
    <w:p>
      <w:pPr>
        <w:pStyle w:val="5"/>
        <w:rPr>
          <w:rFonts w:hAnsi="宋体" w:cs="宋体"/>
          <w:color w:val="auto"/>
          <w:highlight w:val="none"/>
        </w:rPr>
      </w:pPr>
      <w:r>
        <w:rPr>
          <w:rFonts w:hint="eastAsia" w:hAnsi="宋体" w:cs="宋体"/>
          <w:color w:val="auto"/>
          <w:highlight w:val="none"/>
        </w:rPr>
        <w:t>负责提供招标方办公区域的活动场地。</w:t>
      </w:r>
    </w:p>
    <w:p>
      <w:pPr>
        <w:pStyle w:val="2"/>
        <w:rPr>
          <w:rFonts w:hAnsi="宋体" w:cs="宋体"/>
          <w:color w:val="auto"/>
          <w:highlight w:val="none"/>
        </w:rPr>
      </w:pPr>
      <w:bookmarkStart w:id="4" w:name="_Toc3828735"/>
      <w:bookmarkStart w:id="5" w:name="_Toc12321"/>
      <w:bookmarkStart w:id="6" w:name="_Toc6901"/>
      <w:bookmarkStart w:id="7" w:name="_Toc351129172"/>
      <w:r>
        <w:rPr>
          <w:rFonts w:hint="eastAsia" w:hAnsi="宋体" w:cs="宋体"/>
          <w:color w:val="auto"/>
          <w:highlight w:val="none"/>
        </w:rPr>
        <w:t>应遵循的主要标准</w:t>
      </w:r>
      <w:bookmarkEnd w:id="4"/>
      <w:bookmarkEnd w:id="5"/>
      <w:bookmarkEnd w:id="6"/>
      <w:bookmarkEnd w:id="7"/>
    </w:p>
    <w:p>
      <w:pPr>
        <w:ind w:firstLine="480" w:firstLineChars="200"/>
        <w:rPr>
          <w:rFonts w:hint="eastAsia" w:hAnsi="宋体" w:cs="宋体"/>
          <w:color w:val="auto"/>
          <w:highlight w:val="none"/>
        </w:rPr>
      </w:pPr>
      <w:r>
        <w:rPr>
          <w:rFonts w:hint="eastAsia" w:hAnsi="宋体" w:cs="宋体"/>
          <w:color w:val="auto"/>
          <w:highlight w:val="none"/>
        </w:rPr>
        <w:t>投标方提供的所有工作产品，除本规范书中规定的技术参数和要求外，其余均应遵照最新版本的国家标准，这是对设备的最低要求。如果投标方有自己的标准或规范经招标方同意方可采用，但原则上均不能低于上述标准的有关规定，特别是这些规定或规程中互相矛盾的地方，应先征得招标方同意后，才能制造。本项目的工作应遵循以下标准要求：</w:t>
      </w:r>
    </w:p>
    <w:p>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center"/>
        <w:rPr>
          <w:rFonts w:hint="eastAsia" w:hAnsi="宋体" w:cs="宋体"/>
          <w:color w:val="auto"/>
          <w:sz w:val="24"/>
          <w:szCs w:val="24"/>
          <w:highlight w:val="none"/>
          <w:lang w:val="zh-CN" w:eastAsia="zh-CN"/>
        </w:rPr>
      </w:pPr>
      <w:bookmarkStart w:id="8" w:name="_Toc19895"/>
      <w:bookmarkStart w:id="9" w:name="_Toc3828736"/>
      <w:bookmarkStart w:id="10" w:name="_Toc18124"/>
      <w:bookmarkStart w:id="11" w:name="_Toc477527115"/>
      <w:r>
        <w:rPr>
          <w:rFonts w:hint="eastAsia" w:hAnsi="宋体" w:cs="宋体"/>
          <w:color w:val="auto"/>
          <w:sz w:val="24"/>
          <w:szCs w:val="24"/>
          <w:highlight w:val="none"/>
          <w:lang w:val="zh-CN" w:eastAsia="zh-CN"/>
        </w:rPr>
        <w:t>GB/T13667.</w:t>
      </w:r>
      <w:r>
        <w:rPr>
          <w:rFonts w:hint="eastAsia" w:hAnsi="宋体" w:cs="宋体"/>
          <w:color w:val="auto"/>
          <w:sz w:val="24"/>
          <w:szCs w:val="24"/>
          <w:highlight w:val="none"/>
          <w:lang w:val="en-US" w:eastAsia="zh-CN"/>
        </w:rPr>
        <w:t>3</w:t>
      </w:r>
      <w:r>
        <w:rPr>
          <w:rFonts w:hint="eastAsia" w:hAnsi="宋体" w:cs="宋体"/>
          <w:color w:val="auto"/>
          <w:sz w:val="24"/>
          <w:szCs w:val="24"/>
          <w:highlight w:val="none"/>
          <w:lang w:val="zh-CN" w:eastAsia="zh-CN"/>
        </w:rPr>
        <w:t>-2013《钢制书架 第</w:t>
      </w:r>
      <w:r>
        <w:rPr>
          <w:rFonts w:hint="eastAsia" w:hAnsi="宋体" w:cs="宋体"/>
          <w:color w:val="auto"/>
          <w:sz w:val="24"/>
          <w:szCs w:val="24"/>
          <w:highlight w:val="none"/>
          <w:lang w:val="en-US" w:eastAsia="zh-CN"/>
        </w:rPr>
        <w:t>3</w:t>
      </w:r>
      <w:r>
        <w:rPr>
          <w:rFonts w:hint="eastAsia" w:hAnsi="宋体" w:cs="宋体"/>
          <w:color w:val="auto"/>
          <w:sz w:val="24"/>
          <w:szCs w:val="24"/>
          <w:highlight w:val="none"/>
          <w:lang w:val="zh-CN" w:eastAsia="zh-CN"/>
        </w:rPr>
        <w:t>部分：</w:t>
      </w:r>
      <w:r>
        <w:rPr>
          <w:rFonts w:hint="eastAsia" w:hAnsi="宋体" w:cs="宋体"/>
          <w:color w:val="auto"/>
          <w:sz w:val="24"/>
          <w:szCs w:val="24"/>
          <w:highlight w:val="none"/>
          <w:lang w:val="en-US" w:eastAsia="zh-CN"/>
        </w:rPr>
        <w:t>手</w:t>
      </w:r>
      <w:r>
        <w:rPr>
          <w:rFonts w:hint="eastAsia" w:hAnsi="宋体" w:cs="宋体"/>
          <w:color w:val="auto"/>
          <w:sz w:val="24"/>
          <w:szCs w:val="24"/>
          <w:highlight w:val="none"/>
          <w:lang w:val="zh-CN" w:eastAsia="zh-CN"/>
        </w:rPr>
        <w:t>动密集书架》</w:t>
      </w:r>
    </w:p>
    <w:p>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GB/T 5213-2019《冷轧低碳钢板及钢带》</w:t>
      </w:r>
    </w:p>
    <w:p>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CB/T 708-2019《冷轧钢板和钢带的尺寸、外形、重量及允许偏差》</w:t>
      </w:r>
    </w:p>
    <w:p>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GB/T 700-2006《碳素结构钢》</w:t>
      </w:r>
    </w:p>
    <w:p>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CB/T 709-2019《热轧钢板和钢带的尺寸、外形、重量及允许偏差》</w:t>
      </w:r>
    </w:p>
    <w:p>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GB/T 24195-2009《金属和合金的腐蚀酸性盐雾、“干燥”和“湿润”条件下的循环加速腐蚀试验》</w:t>
      </w:r>
    </w:p>
    <w:p>
      <w:pPr>
        <w:keepNext w:val="0"/>
        <w:keepLines w:val="0"/>
        <w:pageBreakBefore w:val="0"/>
        <w:widowControl/>
        <w:suppressLineNumbers w:val="0"/>
        <w:kinsoku/>
        <w:wordWrap/>
        <w:overflowPunct/>
        <w:topLinePunct w:val="0"/>
        <w:autoSpaceDE/>
        <w:autoSpaceDN/>
        <w:bidi w:val="0"/>
        <w:adjustRightInd/>
        <w:snapToGrid/>
        <w:spacing w:line="360" w:lineRule="auto"/>
        <w:ind w:left="0" w:firstLine="480" w:firstLineChars="200"/>
        <w:jc w:val="both"/>
        <w:textAlignment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HG/T 2006-2022《热固性和热塑性粉末涂料》</w:t>
      </w:r>
    </w:p>
    <w:p>
      <w:pPr>
        <w:pStyle w:val="2"/>
        <w:rPr>
          <w:rFonts w:hAnsi="宋体" w:cs="宋体"/>
          <w:color w:val="auto"/>
          <w:szCs w:val="24"/>
          <w:highlight w:val="none"/>
        </w:rPr>
      </w:pPr>
      <w:r>
        <w:rPr>
          <w:rFonts w:hint="eastAsia" w:hAnsi="宋体" w:cs="宋体"/>
          <w:color w:val="auto"/>
          <w:szCs w:val="24"/>
          <w:highlight w:val="none"/>
        </w:rPr>
        <w:t>使用条件</w:t>
      </w:r>
      <w:bookmarkEnd w:id="8"/>
      <w:bookmarkEnd w:id="9"/>
      <w:bookmarkEnd w:id="10"/>
      <w:bookmarkEnd w:id="11"/>
    </w:p>
    <w:p>
      <w:pPr>
        <w:pStyle w:val="3"/>
        <w:ind w:left="0" w:leftChars="0" w:firstLineChars="0"/>
        <w:rPr>
          <w:rFonts w:hAnsi="宋体" w:cs="宋体"/>
          <w:color w:val="auto"/>
          <w:szCs w:val="24"/>
          <w:highlight w:val="none"/>
        </w:rPr>
      </w:pPr>
      <w:r>
        <w:rPr>
          <w:rFonts w:hint="eastAsia" w:hAnsi="宋体" w:cs="宋体"/>
          <w:color w:val="auto"/>
          <w:szCs w:val="24"/>
          <w:highlight w:val="none"/>
        </w:rPr>
        <w:t>正常工作条件</w:t>
      </w:r>
    </w:p>
    <w:p>
      <w:pPr>
        <w:pStyle w:val="5"/>
        <w:ind w:firstLine="480" w:firstLineChars="200"/>
        <w:rPr>
          <w:rFonts w:hAnsi="宋体" w:cs="宋体"/>
          <w:color w:val="auto"/>
          <w:highlight w:val="none"/>
        </w:rPr>
      </w:pPr>
      <w:r>
        <w:rPr>
          <w:rFonts w:hint="eastAsia" w:hAnsi="宋体" w:cs="宋体"/>
          <w:color w:val="auto"/>
          <w:highlight w:val="none"/>
        </w:rPr>
        <w:t>环境温度：</w:t>
      </w:r>
      <w:r>
        <w:rPr>
          <w:rFonts w:hint="eastAsia" w:hAnsi="宋体" w:cs="宋体"/>
          <w:color w:val="auto"/>
          <w:kern w:val="0"/>
          <w:highlight w:val="none"/>
          <w:lang w:bidi="ar"/>
        </w:rPr>
        <w:t>-20℃~+70℃；</w:t>
      </w:r>
    </w:p>
    <w:p>
      <w:pPr>
        <w:pStyle w:val="5"/>
        <w:ind w:firstLine="480" w:firstLineChars="200"/>
        <w:rPr>
          <w:rFonts w:hAnsi="宋体" w:cs="宋体"/>
          <w:color w:val="auto"/>
          <w:highlight w:val="none"/>
        </w:rPr>
      </w:pPr>
      <w:r>
        <w:rPr>
          <w:rFonts w:hint="eastAsia" w:hAnsi="宋体" w:cs="宋体"/>
          <w:color w:val="auto"/>
          <w:kern w:val="0"/>
          <w:highlight w:val="none"/>
          <w:lang w:bidi="ar"/>
        </w:rPr>
        <w:t>工作湿度：&lt;95％；</w:t>
      </w:r>
    </w:p>
    <w:p>
      <w:pPr>
        <w:pStyle w:val="5"/>
        <w:ind w:firstLine="480" w:firstLineChars="200"/>
        <w:rPr>
          <w:rFonts w:hAnsi="宋体" w:cs="宋体"/>
          <w:color w:val="auto"/>
          <w:highlight w:val="none"/>
        </w:rPr>
      </w:pPr>
      <w:r>
        <w:rPr>
          <w:rFonts w:hint="eastAsia" w:hAnsi="宋体" w:cs="宋体"/>
          <w:color w:val="auto"/>
          <w:highlight w:val="none"/>
        </w:rPr>
        <w:t>大气压力：80kPa～106kPa</w:t>
      </w:r>
    </w:p>
    <w:p>
      <w:pPr>
        <w:pStyle w:val="5"/>
        <w:ind w:firstLine="480" w:firstLineChars="200"/>
        <w:rPr>
          <w:rFonts w:hAnsi="宋体" w:cs="宋体"/>
          <w:color w:val="auto"/>
          <w:highlight w:val="none"/>
        </w:rPr>
      </w:pPr>
      <w:r>
        <w:rPr>
          <w:rFonts w:hint="eastAsia" w:hAnsi="宋体" w:cs="宋体"/>
          <w:color w:val="auto"/>
          <w:kern w:val="0"/>
          <w:highlight w:val="none"/>
          <w:lang w:bidi="ar"/>
        </w:rPr>
        <w:t>工作电压：AC 220V±10%；</w:t>
      </w:r>
    </w:p>
    <w:p>
      <w:pPr>
        <w:pStyle w:val="3"/>
        <w:ind w:left="0" w:leftChars="0" w:firstLineChars="0"/>
        <w:rPr>
          <w:rFonts w:hAnsi="宋体" w:cs="宋体"/>
          <w:color w:val="auto"/>
          <w:szCs w:val="24"/>
          <w:highlight w:val="none"/>
        </w:rPr>
      </w:pPr>
      <w:r>
        <w:rPr>
          <w:rFonts w:hint="eastAsia" w:hAnsi="宋体" w:cs="宋体"/>
          <w:color w:val="auto"/>
          <w:szCs w:val="24"/>
          <w:highlight w:val="none"/>
        </w:rPr>
        <w:t>贮存、运输环境条件</w:t>
      </w:r>
    </w:p>
    <w:p>
      <w:pPr>
        <w:pStyle w:val="5"/>
        <w:ind w:left="960" w:leftChars="200" w:hanging="480" w:hangingChars="200"/>
        <w:rPr>
          <w:rFonts w:hAnsi="宋体" w:cs="宋体"/>
          <w:color w:val="auto"/>
          <w:highlight w:val="none"/>
        </w:rPr>
      </w:pPr>
      <w:r>
        <w:rPr>
          <w:rFonts w:hint="eastAsia" w:hAnsi="宋体" w:cs="宋体"/>
          <w:color w:val="auto"/>
          <w:highlight w:val="none"/>
        </w:rPr>
        <w:t>装置在运输中允许的环境温度-40℃～＋70℃，相对湿度不大于85%；</w:t>
      </w:r>
    </w:p>
    <w:p>
      <w:pPr>
        <w:pStyle w:val="5"/>
        <w:ind w:left="960" w:leftChars="200" w:hanging="480" w:hangingChars="200"/>
        <w:rPr>
          <w:rFonts w:hAnsi="宋体" w:cs="宋体"/>
          <w:color w:val="auto"/>
          <w:highlight w:val="none"/>
        </w:rPr>
      </w:pPr>
      <w:r>
        <w:rPr>
          <w:rFonts w:hint="eastAsia" w:hAnsi="宋体" w:cs="宋体"/>
          <w:color w:val="auto"/>
          <w:highlight w:val="none"/>
        </w:rPr>
        <w:t>在贮存中允许的环境温度-25℃～＋55℃，相对湿度不大于85%，在不施加任何激励量的条件下，装置不出现不可逆变化。</w:t>
      </w:r>
    </w:p>
    <w:p>
      <w:pPr>
        <w:pStyle w:val="3"/>
        <w:ind w:left="0" w:leftChars="0" w:firstLineChars="0"/>
        <w:rPr>
          <w:rFonts w:hAnsi="宋体" w:cs="宋体"/>
          <w:color w:val="auto"/>
          <w:szCs w:val="24"/>
          <w:highlight w:val="none"/>
        </w:rPr>
      </w:pPr>
      <w:r>
        <w:rPr>
          <w:rFonts w:hint="eastAsia" w:hAnsi="宋体" w:cs="宋体"/>
          <w:color w:val="auto"/>
          <w:szCs w:val="24"/>
          <w:highlight w:val="none"/>
        </w:rPr>
        <w:t>周围环境</w:t>
      </w:r>
    </w:p>
    <w:p>
      <w:pPr>
        <w:pStyle w:val="5"/>
        <w:ind w:left="960" w:leftChars="200" w:hanging="480" w:hangingChars="200"/>
        <w:rPr>
          <w:rFonts w:hAnsi="宋体" w:cs="宋体"/>
          <w:color w:val="auto"/>
          <w:highlight w:val="none"/>
        </w:rPr>
      </w:pPr>
      <w:r>
        <w:rPr>
          <w:rFonts w:hint="eastAsia" w:hAnsi="宋体" w:cs="宋体"/>
          <w:color w:val="auto"/>
          <w:highlight w:val="none"/>
        </w:rPr>
        <w:t>场地符合GB/T 9361-1988中B类安全要求；</w:t>
      </w:r>
    </w:p>
    <w:p>
      <w:pPr>
        <w:pStyle w:val="5"/>
        <w:ind w:left="960" w:leftChars="200" w:hanging="480" w:hangingChars="200"/>
        <w:rPr>
          <w:rFonts w:hAnsi="宋体" w:cs="宋体"/>
          <w:color w:val="auto"/>
          <w:highlight w:val="none"/>
        </w:rPr>
      </w:pPr>
      <w:r>
        <w:rPr>
          <w:rFonts w:hint="eastAsia" w:hAnsi="宋体" w:cs="宋体"/>
          <w:color w:val="auto"/>
          <w:highlight w:val="none"/>
        </w:rPr>
        <w:t>使用地点不出现超过GB/T 11287规定的严酷等级为I级的振动；不发生GB/T 17742－1999规定的烈度为Ⅶ度的地震；</w:t>
      </w:r>
    </w:p>
    <w:p>
      <w:pPr>
        <w:pStyle w:val="5"/>
        <w:ind w:left="960" w:leftChars="200" w:hanging="480" w:hangingChars="200"/>
        <w:rPr>
          <w:rFonts w:hAnsi="宋体" w:cs="宋体"/>
          <w:color w:val="auto"/>
          <w:highlight w:val="none"/>
        </w:rPr>
      </w:pPr>
      <w:r>
        <w:rPr>
          <w:rFonts w:hint="eastAsia" w:hAnsi="宋体" w:cs="宋体"/>
          <w:color w:val="auto"/>
          <w:highlight w:val="none"/>
        </w:rPr>
        <w:t>使用地点无爆炸危险的物质，周围介质中不含有能腐蚀金属、破坏绝缘和表面敷层的介质及导电介质，没有严重的霉菌存在；</w:t>
      </w:r>
    </w:p>
    <w:p>
      <w:pPr>
        <w:pStyle w:val="2"/>
        <w:rPr>
          <w:rFonts w:hAnsi="宋体" w:cs="宋体"/>
          <w:color w:val="auto"/>
          <w:szCs w:val="24"/>
          <w:highlight w:val="none"/>
        </w:rPr>
      </w:pPr>
      <w:bookmarkStart w:id="12" w:name="_Toc3828737"/>
      <w:bookmarkStart w:id="13" w:name="_Toc8165"/>
      <w:bookmarkStart w:id="14" w:name="_Toc31826"/>
      <w:r>
        <w:rPr>
          <w:rFonts w:hint="eastAsia" w:hAnsi="宋体" w:cs="宋体"/>
          <w:color w:val="auto"/>
          <w:szCs w:val="24"/>
          <w:highlight w:val="none"/>
        </w:rPr>
        <w:t>供货范围和技术要求</w:t>
      </w:r>
      <w:bookmarkEnd w:id="12"/>
      <w:bookmarkEnd w:id="13"/>
      <w:bookmarkEnd w:id="14"/>
    </w:p>
    <w:p>
      <w:pPr>
        <w:pStyle w:val="3"/>
        <w:ind w:left="0" w:leftChars="0" w:firstLineChars="0"/>
        <w:rPr>
          <w:rFonts w:hAnsi="宋体" w:cs="宋体"/>
          <w:color w:val="auto"/>
          <w:szCs w:val="24"/>
          <w:highlight w:val="none"/>
        </w:rPr>
      </w:pPr>
      <w:r>
        <w:rPr>
          <w:rFonts w:hint="eastAsia" w:hAnsi="宋体" w:cs="宋体"/>
          <w:color w:val="auto"/>
          <w:szCs w:val="24"/>
          <w:highlight w:val="none"/>
        </w:rPr>
        <w:t>供货范围</w:t>
      </w:r>
    </w:p>
    <w:p>
      <w:pPr>
        <w:tabs>
          <w:tab w:val="left" w:pos="1440"/>
          <w:tab w:val="left" w:pos="3960"/>
        </w:tabs>
        <w:spacing w:line="440" w:lineRule="atLeast"/>
        <w:ind w:firstLine="480" w:firstLineChars="200"/>
        <w:rPr>
          <w:rFonts w:hint="eastAsia" w:ascii="宋体" w:hAnsi="宋体" w:eastAsia="宋体" w:cs="宋体"/>
          <w:b w:val="0"/>
          <w:bCs w:val="0"/>
          <w:color w:val="auto"/>
          <w:highlight w:val="none"/>
        </w:rPr>
      </w:pPr>
      <w:r>
        <w:rPr>
          <w:rFonts w:hint="eastAsia" w:hAnsi="宋体" w:cs="宋体"/>
          <w:color w:val="auto"/>
          <w:highlight w:val="none"/>
        </w:rPr>
        <w:t>投标方应确保供货范围完整，以能满足用户运输、安装、布线、调试、系统运行要</w:t>
      </w:r>
      <w:r>
        <w:rPr>
          <w:rFonts w:hint="eastAsia" w:hAnsi="宋体" w:cs="宋体"/>
          <w:b w:val="0"/>
          <w:bCs w:val="0"/>
          <w:color w:val="auto"/>
          <w:highlight w:val="none"/>
        </w:rPr>
        <w:t>求为原则, 在技术规范中涉及的供货要求也作为本供货范围的补充，若在安装、布线</w:t>
      </w:r>
      <w:r>
        <w:rPr>
          <w:rFonts w:hint="eastAsia" w:ascii="宋体" w:hAnsi="宋体" w:eastAsia="宋体" w:cs="宋体"/>
          <w:b w:val="0"/>
          <w:bCs w:val="0"/>
          <w:color w:val="auto"/>
          <w:highlight w:val="none"/>
        </w:rPr>
        <w:t>、调试、系统运行中发现缺项(属投标方供货范围)由投标方补充。</w:t>
      </w:r>
    </w:p>
    <w:p>
      <w:pPr>
        <w:tabs>
          <w:tab w:val="left" w:pos="1440"/>
          <w:tab w:val="left" w:pos="3960"/>
        </w:tabs>
        <w:spacing w:line="440" w:lineRule="atLeast"/>
        <w:ind w:firstLine="480" w:firstLineChars="200"/>
        <w:rPr>
          <w:rFonts w:hint="default" w:ascii="宋体" w:hAnsi="宋体" w:eastAsia="宋体" w:cs="宋体"/>
          <w:b w:val="0"/>
          <w:bCs w:val="0"/>
          <w:color w:val="auto"/>
          <w:highlight w:val="none"/>
          <w:lang w:val="en-US" w:eastAsia="zh-CN"/>
        </w:rPr>
      </w:pPr>
      <w:r>
        <w:rPr>
          <w:rFonts w:hint="eastAsia" w:hAnsi="宋体" w:cs="宋体"/>
          <w:b w:val="0"/>
          <w:bCs w:val="0"/>
          <w:color w:val="auto"/>
          <w:highlight w:val="none"/>
          <w:lang w:val="en-US" w:eastAsia="zh-CN"/>
        </w:rPr>
        <w:t>玉林供电局采购手动档案密集柜供货清单表</w:t>
      </w:r>
    </w:p>
    <w:tbl>
      <w:tblPr>
        <w:tblStyle w:val="15"/>
        <w:tblW w:w="9271" w:type="dxa"/>
        <w:jc w:val="center"/>
        <w:tblLayout w:type="fixed"/>
        <w:tblCellMar>
          <w:top w:w="0" w:type="dxa"/>
          <w:left w:w="108" w:type="dxa"/>
          <w:bottom w:w="0" w:type="dxa"/>
          <w:right w:w="108" w:type="dxa"/>
        </w:tblCellMar>
      </w:tblPr>
      <w:tblGrid>
        <w:gridCol w:w="727"/>
        <w:gridCol w:w="730"/>
        <w:gridCol w:w="1919"/>
        <w:gridCol w:w="975"/>
        <w:gridCol w:w="900"/>
        <w:gridCol w:w="4020"/>
      </w:tblGrid>
      <w:tr>
        <w:tblPrEx>
          <w:tblCellMar>
            <w:top w:w="0" w:type="dxa"/>
            <w:left w:w="108" w:type="dxa"/>
            <w:bottom w:w="0" w:type="dxa"/>
            <w:right w:w="108" w:type="dxa"/>
          </w:tblCellMar>
        </w:tblPrEx>
        <w:trPr>
          <w:trHeight w:val="402" w:hRule="atLeast"/>
          <w:jc w:val="center"/>
        </w:trPr>
        <w:tc>
          <w:tcPr>
            <w:tcW w:w="7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序号</w:t>
            </w:r>
          </w:p>
        </w:tc>
        <w:tc>
          <w:tcPr>
            <w:tcW w:w="73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供电局</w:t>
            </w:r>
          </w:p>
        </w:tc>
        <w:tc>
          <w:tcPr>
            <w:tcW w:w="191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设备名称</w:t>
            </w:r>
          </w:p>
        </w:tc>
        <w:tc>
          <w:tcPr>
            <w:tcW w:w="97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数量</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单位</w:t>
            </w:r>
          </w:p>
        </w:tc>
        <w:tc>
          <w:tcPr>
            <w:tcW w:w="402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备注</w:t>
            </w:r>
          </w:p>
        </w:tc>
      </w:tr>
      <w:tr>
        <w:tblPrEx>
          <w:tblCellMar>
            <w:top w:w="0" w:type="dxa"/>
            <w:left w:w="108" w:type="dxa"/>
            <w:bottom w:w="0" w:type="dxa"/>
            <w:right w:w="108" w:type="dxa"/>
          </w:tblCellMar>
        </w:tblPrEx>
        <w:trPr>
          <w:trHeight w:val="602" w:hRule="atLeast"/>
          <w:jc w:val="center"/>
        </w:trPr>
        <w:tc>
          <w:tcPr>
            <w:tcW w:w="727"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i w:val="0"/>
                <w:color w:val="auto"/>
                <w:kern w:val="0"/>
                <w:sz w:val="24"/>
                <w:szCs w:val="24"/>
                <w:highlight w:val="none"/>
                <w:u w:val="none"/>
                <w:lang w:val="en-US" w:eastAsia="zh-CN" w:bidi="ar"/>
              </w:rPr>
              <w:t>1</w:t>
            </w:r>
          </w:p>
        </w:tc>
        <w:tc>
          <w:tcPr>
            <w:tcW w:w="730"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kern w:val="0"/>
                <w:sz w:val="24"/>
                <w:szCs w:val="24"/>
                <w:highlight w:val="none"/>
                <w:u w:val="none"/>
                <w:lang w:val="en-US" w:eastAsia="zh-CN" w:bidi="ar"/>
              </w:rPr>
            </w:pPr>
            <w:r>
              <w:rPr>
                <w:rFonts w:hint="eastAsia" w:asciiTheme="minorEastAsia" w:hAnsiTheme="minorEastAsia" w:eastAsiaTheme="minorEastAsia" w:cstheme="minorEastAsia"/>
                <w:i w:val="0"/>
                <w:color w:val="auto"/>
                <w:kern w:val="0"/>
                <w:sz w:val="24"/>
                <w:szCs w:val="24"/>
                <w:highlight w:val="none"/>
                <w:u w:val="none"/>
                <w:lang w:val="en-US" w:eastAsia="zh-CN" w:bidi="ar"/>
              </w:rPr>
              <w:t>玉林供电局</w:t>
            </w:r>
          </w:p>
        </w:tc>
        <w:tc>
          <w:tcPr>
            <w:tcW w:w="191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Theme="minorEastAsia" w:hAnsiTheme="minorEastAsia" w:eastAsiaTheme="minorEastAsia" w:cstheme="minorEastAsia"/>
                <w:color w:val="auto"/>
                <w:kern w:val="0"/>
                <w:sz w:val="24"/>
                <w:szCs w:val="24"/>
                <w:highlight w:val="none"/>
                <w:lang w:val="en-US"/>
              </w:rPr>
            </w:pPr>
            <w:r>
              <w:rPr>
                <w:rFonts w:hint="eastAsia" w:asciiTheme="minorEastAsia" w:hAnsiTheme="minorEastAsia" w:eastAsiaTheme="minorEastAsia" w:cstheme="minorEastAsia"/>
                <w:i w:val="0"/>
                <w:color w:val="auto"/>
                <w:kern w:val="0"/>
                <w:sz w:val="24"/>
                <w:szCs w:val="24"/>
                <w:highlight w:val="none"/>
                <w:u w:val="none"/>
                <w:lang w:val="en-US" w:eastAsia="zh-CN" w:bidi="ar"/>
              </w:rPr>
              <w:t>A区手动密集柜</w:t>
            </w: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14</w:t>
            </w:r>
          </w:p>
        </w:tc>
        <w:tc>
          <w:tcPr>
            <w:tcW w:w="900"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i w:val="0"/>
                <w:color w:val="auto"/>
                <w:kern w:val="0"/>
                <w:sz w:val="24"/>
                <w:szCs w:val="24"/>
                <w:highlight w:val="none"/>
                <w:u w:val="none"/>
                <w:lang w:val="en-US" w:eastAsia="zh-CN" w:bidi="ar"/>
              </w:rPr>
              <w:t>面</w:t>
            </w:r>
          </w:p>
        </w:tc>
        <w:tc>
          <w:tcPr>
            <w:tcW w:w="40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color w:val="auto"/>
                <w:highlight w:val="none"/>
              </w:rPr>
            </w:pPr>
            <w:r>
              <w:rPr>
                <w:rFonts w:hint="eastAsia" w:asciiTheme="minorEastAsia" w:hAnsiTheme="minorEastAsia" w:eastAsiaTheme="minorEastAsia" w:cstheme="minorEastAsia"/>
                <w:color w:val="auto"/>
                <w:kern w:val="0"/>
                <w:sz w:val="24"/>
                <w:szCs w:val="24"/>
                <w:highlight w:val="none"/>
                <w:lang w:val="en-US" w:eastAsia="zh-CN"/>
              </w:rPr>
              <w:t>规格：6500*600*2500mm*14列</w:t>
            </w:r>
          </w:p>
        </w:tc>
      </w:tr>
      <w:tr>
        <w:tblPrEx>
          <w:tblCellMar>
            <w:top w:w="0" w:type="dxa"/>
            <w:left w:w="108" w:type="dxa"/>
            <w:bottom w:w="0" w:type="dxa"/>
            <w:right w:w="108" w:type="dxa"/>
          </w:tblCellMar>
        </w:tblPrEx>
        <w:trPr>
          <w:trHeight w:val="734" w:hRule="atLeast"/>
          <w:jc w:val="center"/>
        </w:trPr>
        <w:tc>
          <w:tcPr>
            <w:tcW w:w="727" w:type="dxa"/>
            <w:vMerge w:val="continue"/>
            <w:tcBorders>
              <w:left w:val="single" w:color="auto" w:sz="4" w:space="0"/>
              <w:bottom w:val="single" w:color="auto" w:sz="4" w:space="0"/>
              <w:right w:val="single" w:color="auto" w:sz="4" w:space="0"/>
            </w:tcBorders>
            <w:vAlign w:val="center"/>
          </w:tcPr>
          <w:p>
            <w:pPr>
              <w:widowControl/>
              <w:spacing w:line="240" w:lineRule="auto"/>
              <w:jc w:val="center"/>
              <w:textAlignment w:val="center"/>
              <w:rPr>
                <w:rFonts w:hint="default" w:asciiTheme="minorEastAsia" w:hAnsiTheme="minorEastAsia" w:eastAsiaTheme="minorEastAsia" w:cstheme="minorEastAsia"/>
                <w:bCs/>
                <w:color w:val="auto"/>
                <w:kern w:val="0"/>
                <w:sz w:val="24"/>
                <w:szCs w:val="24"/>
                <w:highlight w:val="none"/>
                <w:lang w:val="en-US" w:eastAsia="zh-CN" w:bidi="ar"/>
              </w:rPr>
            </w:pPr>
          </w:p>
        </w:tc>
        <w:tc>
          <w:tcPr>
            <w:tcW w:w="730"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24"/>
                <w:szCs w:val="24"/>
                <w:highlight w:val="none"/>
              </w:rPr>
            </w:pPr>
          </w:p>
        </w:tc>
        <w:tc>
          <w:tcPr>
            <w:tcW w:w="1919" w:type="dxa"/>
            <w:tcBorders>
              <w:top w:val="single" w:color="auto" w:sz="4" w:space="0"/>
              <w:left w:val="nil"/>
              <w:bottom w:val="single" w:color="auto" w:sz="4" w:space="0"/>
              <w:right w:val="single" w:color="auto" w:sz="4" w:space="0"/>
            </w:tcBorders>
            <w:vAlign w:val="center"/>
          </w:tcPr>
          <w:p>
            <w:pPr>
              <w:widowControl/>
              <w:jc w:val="left"/>
              <w:textAlignment w:val="center"/>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i w:val="0"/>
                <w:color w:val="auto"/>
                <w:kern w:val="0"/>
                <w:sz w:val="24"/>
                <w:szCs w:val="24"/>
                <w:highlight w:val="none"/>
                <w:u w:val="none"/>
                <w:lang w:val="en-US" w:eastAsia="zh-CN" w:bidi="ar"/>
              </w:rPr>
              <w:t>B区手动密集柜</w:t>
            </w:r>
          </w:p>
        </w:tc>
        <w:tc>
          <w:tcPr>
            <w:tcW w:w="975"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13</w:t>
            </w:r>
          </w:p>
        </w:tc>
        <w:tc>
          <w:tcPr>
            <w:tcW w:w="900" w:type="dxa"/>
            <w:vMerge w:val="continue"/>
            <w:tcBorders>
              <w:left w:val="single" w:color="auto" w:sz="4" w:space="0"/>
              <w:right w:val="single" w:color="auto" w:sz="4" w:space="0"/>
            </w:tcBorders>
            <w:vAlign w:val="center"/>
          </w:tcPr>
          <w:p>
            <w:pPr>
              <w:widowControl/>
              <w:jc w:val="center"/>
              <w:textAlignment w:val="center"/>
              <w:rPr>
                <w:rFonts w:hint="default" w:asciiTheme="minorEastAsia" w:hAnsiTheme="minorEastAsia" w:eastAsiaTheme="minorEastAsia" w:cstheme="minorEastAsia"/>
                <w:color w:val="auto"/>
                <w:sz w:val="24"/>
                <w:szCs w:val="24"/>
                <w:highlight w:val="none"/>
                <w:lang w:val="en-US" w:eastAsia="zh-CN"/>
              </w:rPr>
            </w:pPr>
          </w:p>
        </w:tc>
        <w:tc>
          <w:tcPr>
            <w:tcW w:w="4020" w:type="dxa"/>
            <w:tcBorders>
              <w:top w:val="single" w:color="auto" w:sz="4" w:space="0"/>
              <w:left w:val="nil"/>
              <w:bottom w:val="single" w:color="auto" w:sz="4" w:space="0"/>
              <w:right w:val="single" w:color="auto" w:sz="4" w:space="0"/>
            </w:tcBorders>
            <w:vAlign w:val="center"/>
          </w:tcPr>
          <w:p>
            <w:pPr>
              <w:widowControl/>
              <w:spacing w:line="240" w:lineRule="auto"/>
              <w:jc w:val="left"/>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规格：6500*600*2500mm*13列</w:t>
            </w:r>
          </w:p>
        </w:tc>
      </w:tr>
      <w:tr>
        <w:tblPrEx>
          <w:tblCellMar>
            <w:top w:w="0" w:type="dxa"/>
            <w:left w:w="108" w:type="dxa"/>
            <w:bottom w:w="0" w:type="dxa"/>
            <w:right w:w="108" w:type="dxa"/>
          </w:tblCellMar>
        </w:tblPrEx>
        <w:trPr>
          <w:trHeight w:val="734" w:hRule="atLeast"/>
          <w:jc w:val="center"/>
        </w:trPr>
        <w:tc>
          <w:tcPr>
            <w:tcW w:w="727" w:type="dxa"/>
            <w:vMerge w:val="continue"/>
            <w:tcBorders>
              <w:left w:val="single" w:color="auto" w:sz="4" w:space="0"/>
              <w:bottom w:val="single" w:color="auto" w:sz="4" w:space="0"/>
              <w:right w:val="single" w:color="auto" w:sz="4" w:space="0"/>
            </w:tcBorders>
            <w:vAlign w:val="center"/>
          </w:tcPr>
          <w:p>
            <w:pPr>
              <w:widowControl/>
              <w:spacing w:line="240" w:lineRule="auto"/>
              <w:jc w:val="center"/>
              <w:textAlignment w:val="center"/>
              <w:rPr>
                <w:rFonts w:hint="default" w:asciiTheme="minorEastAsia" w:hAnsiTheme="minorEastAsia" w:eastAsiaTheme="minorEastAsia" w:cstheme="minorEastAsia"/>
                <w:bCs/>
                <w:color w:val="auto"/>
                <w:kern w:val="0"/>
                <w:sz w:val="24"/>
                <w:szCs w:val="24"/>
                <w:highlight w:val="none"/>
                <w:lang w:val="en-US" w:eastAsia="zh-CN" w:bidi="ar"/>
              </w:rPr>
            </w:pPr>
          </w:p>
        </w:tc>
        <w:tc>
          <w:tcPr>
            <w:tcW w:w="730"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24"/>
                <w:szCs w:val="24"/>
                <w:highlight w:val="none"/>
              </w:rPr>
            </w:pPr>
          </w:p>
        </w:tc>
        <w:tc>
          <w:tcPr>
            <w:tcW w:w="1919"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i w:val="0"/>
                <w:color w:val="auto"/>
                <w:kern w:val="0"/>
                <w:sz w:val="24"/>
                <w:szCs w:val="24"/>
                <w:highlight w:val="none"/>
                <w:u w:val="none"/>
                <w:lang w:val="en-US" w:eastAsia="zh-CN" w:bidi="ar"/>
              </w:rPr>
              <w:t>C区手动密集柜</w:t>
            </w:r>
          </w:p>
        </w:tc>
        <w:tc>
          <w:tcPr>
            <w:tcW w:w="975"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13</w:t>
            </w:r>
          </w:p>
        </w:tc>
        <w:tc>
          <w:tcPr>
            <w:tcW w:w="900" w:type="dxa"/>
            <w:vMerge w:val="continue"/>
            <w:tcBorders>
              <w:left w:val="single" w:color="auto" w:sz="4" w:space="0"/>
              <w:right w:val="single" w:color="auto" w:sz="4" w:space="0"/>
            </w:tcBorders>
            <w:vAlign w:val="center"/>
          </w:tcPr>
          <w:p>
            <w:pPr>
              <w:widowControl/>
              <w:jc w:val="center"/>
              <w:textAlignment w:val="center"/>
              <w:rPr>
                <w:rFonts w:hint="default" w:asciiTheme="minorEastAsia" w:hAnsiTheme="minorEastAsia" w:eastAsiaTheme="minorEastAsia" w:cstheme="minorEastAsia"/>
                <w:color w:val="auto"/>
                <w:sz w:val="24"/>
                <w:szCs w:val="24"/>
                <w:highlight w:val="none"/>
                <w:lang w:val="en-US" w:eastAsia="zh-CN"/>
              </w:rPr>
            </w:pPr>
          </w:p>
        </w:tc>
        <w:tc>
          <w:tcPr>
            <w:tcW w:w="4020" w:type="dxa"/>
            <w:tcBorders>
              <w:top w:val="single" w:color="auto" w:sz="4" w:space="0"/>
              <w:left w:val="nil"/>
              <w:bottom w:val="single" w:color="auto" w:sz="4" w:space="0"/>
              <w:right w:val="single" w:color="auto" w:sz="4" w:space="0"/>
            </w:tcBorders>
            <w:vAlign w:val="center"/>
          </w:tcPr>
          <w:p>
            <w:pPr>
              <w:widowControl/>
              <w:spacing w:line="240" w:lineRule="auto"/>
              <w:jc w:val="lef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规格：5800*600*2500mm*13列</w:t>
            </w:r>
          </w:p>
        </w:tc>
      </w:tr>
      <w:tr>
        <w:tblPrEx>
          <w:tblCellMar>
            <w:top w:w="0" w:type="dxa"/>
            <w:left w:w="108" w:type="dxa"/>
            <w:bottom w:w="0" w:type="dxa"/>
            <w:right w:w="108" w:type="dxa"/>
          </w:tblCellMar>
        </w:tblPrEx>
        <w:trPr>
          <w:trHeight w:val="212" w:hRule="atLeast"/>
          <w:jc w:val="center"/>
        </w:trPr>
        <w:tc>
          <w:tcPr>
            <w:tcW w:w="727" w:type="dxa"/>
            <w:tcBorders>
              <w:left w:val="single" w:color="auto" w:sz="4" w:space="0"/>
              <w:bottom w:val="single" w:color="auto" w:sz="4" w:space="0"/>
              <w:right w:val="single" w:color="auto" w:sz="4" w:space="0"/>
            </w:tcBorders>
            <w:vAlign w:val="center"/>
          </w:tcPr>
          <w:p>
            <w:pPr>
              <w:widowControl/>
              <w:spacing w:line="240" w:lineRule="auto"/>
              <w:jc w:val="center"/>
              <w:textAlignment w:val="center"/>
              <w:rPr>
                <w:rFonts w:hint="default" w:asciiTheme="minorEastAsia" w:hAnsiTheme="minorEastAsia" w:eastAsiaTheme="minorEastAsia" w:cstheme="minorEastAsia"/>
                <w:bCs/>
                <w:color w:val="auto"/>
                <w:kern w:val="0"/>
                <w:sz w:val="24"/>
                <w:szCs w:val="24"/>
                <w:highlight w:val="none"/>
                <w:lang w:val="en-US" w:eastAsia="zh-CN" w:bidi="ar"/>
              </w:rPr>
            </w:pPr>
            <w:bookmarkStart w:id="15" w:name="_Toc497226363"/>
            <w:bookmarkStart w:id="16" w:name="_Toc351129175"/>
            <w:r>
              <w:rPr>
                <w:rFonts w:hint="eastAsia" w:asciiTheme="minorEastAsia" w:hAnsiTheme="minorEastAsia" w:eastAsiaTheme="minorEastAsia" w:cstheme="minorEastAsia"/>
                <w:bCs/>
                <w:color w:val="auto"/>
                <w:kern w:val="0"/>
                <w:sz w:val="24"/>
                <w:szCs w:val="24"/>
                <w:highlight w:val="none"/>
                <w:lang w:val="en-US" w:eastAsia="zh-CN" w:bidi="ar"/>
              </w:rPr>
              <w:t>合计</w:t>
            </w:r>
          </w:p>
        </w:tc>
        <w:tc>
          <w:tcPr>
            <w:tcW w:w="730" w:type="dxa"/>
            <w:tcBorders>
              <w:left w:val="single" w:color="auto" w:sz="4" w:space="0"/>
              <w:bottom w:val="single" w:color="auto" w:sz="4" w:space="0"/>
              <w:right w:val="single" w:color="auto" w:sz="4" w:space="0"/>
            </w:tcBorders>
            <w:vAlign w:val="center"/>
          </w:tcPr>
          <w:p>
            <w:pPr>
              <w:widowControl/>
              <w:jc w:val="center"/>
              <w:textAlignment w:val="center"/>
              <w:rPr>
                <w:rFonts w:hint="eastAsia" w:asciiTheme="minorEastAsia" w:hAnsiTheme="minorEastAsia" w:eastAsiaTheme="minorEastAsia" w:cstheme="minorEastAsia"/>
                <w:color w:val="auto"/>
                <w:sz w:val="24"/>
                <w:szCs w:val="24"/>
                <w:highlight w:val="none"/>
              </w:rPr>
            </w:pPr>
          </w:p>
        </w:tc>
        <w:tc>
          <w:tcPr>
            <w:tcW w:w="1919"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Theme="minorEastAsia" w:hAnsiTheme="minorEastAsia" w:eastAsiaTheme="minorEastAsia" w:cstheme="minorEastAsia"/>
                <w:i w:val="0"/>
                <w:color w:val="auto"/>
                <w:kern w:val="0"/>
                <w:sz w:val="24"/>
                <w:szCs w:val="24"/>
                <w:highlight w:val="none"/>
                <w:u w:val="none"/>
                <w:lang w:val="en-US" w:eastAsia="zh-CN" w:bidi="ar"/>
              </w:rPr>
            </w:pPr>
          </w:p>
        </w:tc>
        <w:tc>
          <w:tcPr>
            <w:tcW w:w="975" w:type="dxa"/>
            <w:tcBorders>
              <w:top w:val="single" w:color="auto" w:sz="4" w:space="0"/>
              <w:left w:val="nil"/>
              <w:bottom w:val="single" w:color="auto" w:sz="4" w:space="0"/>
              <w:right w:val="single" w:color="auto" w:sz="4" w:space="0"/>
            </w:tcBorders>
            <w:vAlign w:val="center"/>
          </w:tcPr>
          <w:p>
            <w:pPr>
              <w:widowControl/>
              <w:jc w:val="center"/>
              <w:textAlignment w:val="center"/>
              <w:rPr>
                <w:rFonts w:hint="default"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40</w:t>
            </w:r>
          </w:p>
        </w:tc>
        <w:tc>
          <w:tcPr>
            <w:tcW w:w="900"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hint="default" w:asciiTheme="minorEastAsia" w:hAnsiTheme="minorEastAsia" w:eastAsiaTheme="minorEastAsia" w:cstheme="minorEastAsia"/>
                <w:color w:val="auto"/>
                <w:kern w:val="0"/>
                <w:sz w:val="24"/>
                <w:szCs w:val="24"/>
                <w:highlight w:val="none"/>
                <w:lang w:val="en-US" w:eastAsia="zh-CN" w:bidi="ar"/>
              </w:rPr>
            </w:pPr>
          </w:p>
        </w:tc>
        <w:tc>
          <w:tcPr>
            <w:tcW w:w="4020" w:type="dxa"/>
            <w:tcBorders>
              <w:top w:val="single" w:color="auto" w:sz="4" w:space="0"/>
              <w:left w:val="nil"/>
              <w:bottom w:val="single" w:color="auto" w:sz="4" w:space="0"/>
              <w:right w:val="single" w:color="auto" w:sz="4" w:space="0"/>
            </w:tcBorders>
            <w:vAlign w:val="center"/>
          </w:tcPr>
          <w:p>
            <w:pPr>
              <w:widowControl/>
              <w:spacing w:line="240" w:lineRule="auto"/>
              <w:jc w:val="left"/>
              <w:rPr>
                <w:rFonts w:hint="eastAsia" w:asciiTheme="minorEastAsia" w:hAnsiTheme="minorEastAsia" w:eastAsiaTheme="minorEastAsia" w:cstheme="minorEastAsia"/>
                <w:color w:val="auto"/>
                <w:kern w:val="0"/>
                <w:sz w:val="24"/>
                <w:szCs w:val="24"/>
                <w:highlight w:val="none"/>
                <w:lang w:val="en-US" w:eastAsia="zh-CN"/>
              </w:rPr>
            </w:pPr>
          </w:p>
        </w:tc>
      </w:tr>
    </w:tbl>
    <w:p>
      <w:pPr>
        <w:pStyle w:val="7"/>
        <w:rPr>
          <w:color w:val="auto"/>
          <w:highlight w:val="none"/>
        </w:rPr>
      </w:pPr>
    </w:p>
    <w:p>
      <w:pPr>
        <w:pStyle w:val="3"/>
        <w:ind w:left="0" w:leftChars="0" w:firstLineChars="0"/>
        <w:rPr>
          <w:rFonts w:hint="eastAsia"/>
          <w:b/>
          <w:bCs/>
          <w:color w:val="auto"/>
          <w:highlight w:val="none"/>
        </w:rPr>
      </w:pPr>
      <w:r>
        <w:rPr>
          <w:rFonts w:hint="eastAsia" w:hAnsi="宋体" w:cs="宋体"/>
          <w:b/>
          <w:bCs/>
          <w:color w:val="auto"/>
          <w:szCs w:val="24"/>
          <w:highlight w:val="none"/>
          <w:lang w:val="en-US" w:eastAsia="zh-CN"/>
        </w:rPr>
        <w:t>主要技术参数要求</w:t>
      </w:r>
    </w:p>
    <w:p>
      <w:pPr>
        <w:rPr>
          <w:rFonts w:hint="eastAsia" w:eastAsiaTheme="minorEastAsia"/>
          <w:b w:val="0"/>
          <w:bCs w:val="0"/>
          <w:color w:val="auto"/>
          <w:highlight w:val="none"/>
          <w:lang w:val="en-US" w:eastAsia="zh-CN"/>
        </w:rPr>
      </w:pPr>
      <w:r>
        <w:rPr>
          <w:rFonts w:hint="eastAsia" w:hAnsi="宋体" w:cs="宋体"/>
          <w:b w:val="0"/>
          <w:bCs w:val="0"/>
          <w:color w:val="auto"/>
          <w:szCs w:val="24"/>
          <w:highlight w:val="none"/>
          <w:lang w:val="en-US" w:eastAsia="zh-CN"/>
        </w:rPr>
        <w:t>4.2.1</w:t>
      </w:r>
      <w:r>
        <w:rPr>
          <w:rFonts w:hint="eastAsia" w:asciiTheme="minorEastAsia" w:hAnsiTheme="minorEastAsia" w:eastAsiaTheme="minorEastAsia" w:cstheme="minorEastAsia"/>
          <w:b w:val="0"/>
          <w:bCs w:val="0"/>
          <w:color w:val="auto"/>
          <w:sz w:val="24"/>
          <w:szCs w:val="24"/>
          <w:highlight w:val="none"/>
          <w:lang w:val="en-US" w:eastAsia="zh-CN"/>
        </w:rPr>
        <w:t>手动</w:t>
      </w:r>
      <w:r>
        <w:rPr>
          <w:rFonts w:hint="eastAsia" w:asciiTheme="minorEastAsia" w:hAnsiTheme="minorEastAsia" w:eastAsiaTheme="minorEastAsia" w:cstheme="minorEastAsia"/>
          <w:b w:val="0"/>
          <w:bCs w:val="0"/>
          <w:color w:val="auto"/>
          <w:sz w:val="24"/>
          <w:szCs w:val="24"/>
          <w:highlight w:val="none"/>
          <w:lang w:eastAsia="zh-CN"/>
        </w:rPr>
        <w:t>密集柜</w:t>
      </w:r>
      <w:r>
        <w:rPr>
          <w:rFonts w:hint="eastAsia" w:asciiTheme="minorEastAsia" w:hAnsiTheme="minorEastAsia" w:eastAsiaTheme="minorEastAsia" w:cstheme="minorEastAsia"/>
          <w:b w:val="0"/>
          <w:bCs w:val="0"/>
          <w:color w:val="auto"/>
          <w:sz w:val="24"/>
          <w:szCs w:val="24"/>
          <w:highlight w:val="none"/>
          <w:lang w:val="en-US" w:eastAsia="zh-CN"/>
        </w:rPr>
        <w:t>架体</w:t>
      </w:r>
    </w:p>
    <w:tbl>
      <w:tblPr>
        <w:tblStyle w:val="15"/>
        <w:tblW w:w="5656" w:type="pct"/>
        <w:jc w:val="center"/>
        <w:tblLayout w:type="autofit"/>
        <w:tblCellMar>
          <w:top w:w="0" w:type="dxa"/>
          <w:left w:w="108" w:type="dxa"/>
          <w:bottom w:w="0" w:type="dxa"/>
          <w:right w:w="108" w:type="dxa"/>
        </w:tblCellMar>
      </w:tblPr>
      <w:tblGrid>
        <w:gridCol w:w="762"/>
        <w:gridCol w:w="8885"/>
      </w:tblGrid>
      <w:tr>
        <w:tblPrEx>
          <w:tblCellMar>
            <w:top w:w="0" w:type="dxa"/>
            <w:left w:w="108" w:type="dxa"/>
            <w:bottom w:w="0" w:type="dxa"/>
            <w:right w:w="108" w:type="dxa"/>
          </w:tblCellMar>
        </w:tblPrEx>
        <w:trPr>
          <w:trHeight w:val="525" w:hRule="atLeast"/>
          <w:jc w:val="center"/>
        </w:trPr>
        <w:tc>
          <w:tcPr>
            <w:tcW w:w="395" w:type="pct"/>
            <w:tcBorders>
              <w:top w:val="single" w:color="000000" w:sz="8" w:space="0"/>
              <w:left w:val="single" w:color="000000" w:sz="8" w:space="0"/>
              <w:bottom w:val="single" w:color="000000" w:sz="8" w:space="0"/>
              <w:right w:val="single" w:color="000000" w:sz="8" w:space="0"/>
            </w:tcBorders>
            <w:shd w:val="clear" w:color="auto" w:fill="F5F5F5"/>
            <w:vAlign w:val="center"/>
          </w:tcPr>
          <w:p>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序号</w:t>
            </w:r>
          </w:p>
        </w:tc>
        <w:tc>
          <w:tcPr>
            <w:tcW w:w="4604" w:type="pct"/>
            <w:tcBorders>
              <w:top w:val="single" w:color="000000" w:sz="8" w:space="0"/>
              <w:left w:val="nil"/>
              <w:bottom w:val="single" w:color="000000" w:sz="8" w:space="0"/>
              <w:right w:val="single" w:color="000000" w:sz="8" w:space="0"/>
            </w:tcBorders>
            <w:shd w:val="clear" w:color="auto" w:fill="F5F5F5"/>
            <w:vAlign w:val="center"/>
          </w:tcPr>
          <w:p>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智能</w:t>
            </w:r>
            <w:r>
              <w:rPr>
                <w:rFonts w:hint="eastAsia" w:asciiTheme="minorEastAsia" w:hAnsiTheme="minorEastAsia" w:eastAsiaTheme="minorEastAsia" w:cstheme="minorEastAsia"/>
                <w:color w:val="auto"/>
                <w:kern w:val="0"/>
                <w:sz w:val="24"/>
                <w:szCs w:val="24"/>
                <w:highlight w:val="none"/>
                <w:lang w:eastAsia="zh-CN"/>
              </w:rPr>
              <w:t>密集柜</w:t>
            </w:r>
            <w:r>
              <w:rPr>
                <w:rFonts w:hint="eastAsia" w:asciiTheme="minorEastAsia" w:hAnsiTheme="minorEastAsia" w:eastAsiaTheme="minorEastAsia" w:cstheme="minorEastAsia"/>
                <w:color w:val="auto"/>
                <w:kern w:val="0"/>
                <w:sz w:val="24"/>
                <w:szCs w:val="24"/>
                <w:highlight w:val="none"/>
              </w:rPr>
              <w:t>技术要求</w:t>
            </w:r>
          </w:p>
        </w:tc>
      </w:tr>
      <w:tr>
        <w:tblPrEx>
          <w:tblCellMar>
            <w:top w:w="0" w:type="dxa"/>
            <w:left w:w="108" w:type="dxa"/>
            <w:bottom w:w="0" w:type="dxa"/>
            <w:right w:w="108" w:type="dxa"/>
          </w:tblCellMar>
        </w:tblPrEx>
        <w:trPr>
          <w:trHeight w:val="90" w:hRule="atLeast"/>
          <w:jc w:val="center"/>
        </w:trPr>
        <w:tc>
          <w:tcPr>
            <w:tcW w:w="395"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w:t>
            </w:r>
          </w:p>
        </w:tc>
        <w:tc>
          <w:tcPr>
            <w:tcW w:w="4604" w:type="pct"/>
            <w:tcBorders>
              <w:top w:val="nil"/>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Theme="minorEastAsia" w:hAnsiTheme="minorEastAsia" w:eastAsiaTheme="minorEastAsia" w:cstheme="minorEastAsia"/>
                <w:color w:val="auto"/>
                <w:kern w:val="0"/>
                <w:sz w:val="24"/>
                <w:szCs w:val="24"/>
                <w:highlight w:val="none"/>
              </w:rPr>
            </w:pPr>
            <w:r>
              <w:rPr>
                <w:rFonts w:hint="eastAsia" w:ascii="宋体" w:hAnsi="宋体" w:eastAsia="宋体" w:cs="宋体"/>
                <w:b w:val="0"/>
                <w:bCs w:val="0"/>
                <w:color w:val="auto"/>
                <w:sz w:val="24"/>
                <w:szCs w:val="24"/>
                <w:highlight w:val="none"/>
              </w:rPr>
              <w:t>架体</w:t>
            </w:r>
            <w:r>
              <w:rPr>
                <w:rFonts w:hint="eastAsia" w:ascii="宋体" w:hAnsi="宋体" w:eastAsia="宋体" w:cs="宋体"/>
                <w:b w:val="0"/>
                <w:bCs w:val="0"/>
                <w:color w:val="auto"/>
                <w:sz w:val="24"/>
                <w:szCs w:val="24"/>
                <w:highlight w:val="none"/>
                <w:lang w:val="en-US" w:eastAsia="zh-CN"/>
              </w:rPr>
              <w:t>为</w:t>
            </w:r>
            <w:r>
              <w:rPr>
                <w:rFonts w:hint="eastAsia" w:ascii="宋体" w:hAnsi="宋体" w:eastAsia="宋体" w:cs="宋体"/>
                <w:b w:val="0"/>
                <w:bCs w:val="0"/>
                <w:color w:val="auto"/>
                <w:sz w:val="24"/>
                <w:szCs w:val="24"/>
                <w:highlight w:val="none"/>
              </w:rPr>
              <w:t>双柱框架式结构，主要由立柱、搁板、挂板、</w:t>
            </w:r>
            <w:r>
              <w:rPr>
                <w:rFonts w:hint="eastAsia" w:ascii="宋体" w:hAnsi="宋体" w:eastAsia="宋体" w:cs="宋体"/>
                <w:b w:val="0"/>
                <w:bCs w:val="0"/>
                <w:color w:val="auto"/>
                <w:sz w:val="24"/>
                <w:szCs w:val="24"/>
                <w:highlight w:val="none"/>
                <w:lang w:val="en-US" w:eastAsia="zh-CN"/>
              </w:rPr>
              <w:t>挡棒、</w:t>
            </w:r>
            <w:r>
              <w:rPr>
                <w:rFonts w:hint="eastAsia" w:ascii="宋体" w:hAnsi="宋体" w:eastAsia="宋体" w:cs="宋体"/>
                <w:b w:val="0"/>
                <w:bCs w:val="0"/>
                <w:color w:val="auto"/>
                <w:sz w:val="24"/>
                <w:szCs w:val="24"/>
                <w:highlight w:val="none"/>
              </w:rPr>
              <w:t>侧板、顶板、门板组成。每标准节在满负载的情况下，架体不应变形。</w:t>
            </w:r>
          </w:p>
        </w:tc>
      </w:tr>
      <w:tr>
        <w:tblPrEx>
          <w:tblCellMar>
            <w:top w:w="0" w:type="dxa"/>
            <w:left w:w="108" w:type="dxa"/>
            <w:bottom w:w="0" w:type="dxa"/>
            <w:right w:w="108" w:type="dxa"/>
          </w:tblCellMar>
        </w:tblPrEx>
        <w:trPr>
          <w:trHeight w:val="3962" w:hRule="atLeast"/>
          <w:jc w:val="center"/>
        </w:trPr>
        <w:tc>
          <w:tcPr>
            <w:tcW w:w="395"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w:t>
            </w:r>
          </w:p>
        </w:tc>
        <w:tc>
          <w:tcPr>
            <w:tcW w:w="4604" w:type="pct"/>
            <w:tcBorders>
              <w:top w:val="nil"/>
              <w:left w:val="nil"/>
              <w:bottom w:val="single" w:color="000000" w:sz="8" w:space="0"/>
              <w:right w:val="single" w:color="000000" w:sz="8" w:space="0"/>
            </w:tcBorders>
            <w:shd w:val="clear" w:color="auto" w:fill="auto"/>
            <w:vAlign w:val="center"/>
          </w:tcPr>
          <w:p>
            <w:pPr>
              <w:widowControl/>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产品部件制作要求</w:t>
            </w:r>
            <w:r>
              <w:rPr>
                <w:rFonts w:hint="eastAsia" w:asciiTheme="minorEastAsia" w:hAnsiTheme="minorEastAsia" w:eastAsiaTheme="minorEastAsia" w:cstheme="minorEastAsia"/>
                <w:color w:val="auto"/>
                <w:sz w:val="24"/>
                <w:szCs w:val="24"/>
                <w:highlight w:val="none"/>
                <w:lang w:val="en-US" w:eastAsia="zh-CN"/>
              </w:rPr>
              <w:t>:</w:t>
            </w:r>
          </w:p>
          <w:p>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1、轨道</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b w:val="0"/>
                <w:bCs w:val="0"/>
                <w:color w:val="auto"/>
                <w:sz w:val="24"/>
                <w:szCs w:val="24"/>
                <w:highlight w:val="none"/>
              </w:rPr>
              <w:t xml:space="preserve">1 </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轨道</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color w:val="auto"/>
                <w:kern w:val="0"/>
                <w:sz w:val="24"/>
                <w:szCs w:val="24"/>
                <w:highlight w:val="none"/>
                <w:lang w:eastAsia="zh-CN"/>
              </w:rPr>
              <w:t>轨道垫板</w:t>
            </w:r>
            <w:r>
              <w:rPr>
                <w:rFonts w:hint="eastAsia" w:ascii="宋体" w:hAnsi="宋体" w:eastAsia="宋体" w:cs="宋体"/>
                <w:color w:val="auto"/>
                <w:kern w:val="0"/>
                <w:sz w:val="24"/>
                <w:szCs w:val="24"/>
                <w:highlight w:val="none"/>
              </w:rPr>
              <w:t>采用</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kern w:val="0"/>
                <w:sz w:val="24"/>
                <w:szCs w:val="24"/>
                <w:highlight w:val="none"/>
              </w:rPr>
              <w:t>mm厚</w:t>
            </w:r>
            <w:r>
              <w:rPr>
                <w:rFonts w:hint="eastAsia" w:ascii="宋体" w:hAnsi="宋体" w:eastAsia="宋体" w:cs="宋体"/>
                <w:color w:val="auto"/>
                <w:kern w:val="0"/>
                <w:sz w:val="24"/>
                <w:szCs w:val="24"/>
                <w:highlight w:val="none"/>
                <w:lang w:val="en-US" w:eastAsia="zh-CN"/>
              </w:rPr>
              <w:t>热</w:t>
            </w:r>
            <w:r>
              <w:rPr>
                <w:rFonts w:hint="eastAsia" w:ascii="宋体" w:hAnsi="宋体" w:eastAsia="宋体" w:cs="宋体"/>
                <w:color w:val="auto"/>
                <w:kern w:val="0"/>
                <w:sz w:val="24"/>
                <w:szCs w:val="24"/>
                <w:highlight w:val="none"/>
              </w:rPr>
              <w:t>轧钢板，</w:t>
            </w:r>
            <w:r>
              <w:rPr>
                <w:rFonts w:hint="eastAsia" w:ascii="宋体" w:hAnsi="宋体" w:eastAsia="宋体" w:cs="宋体"/>
                <w:color w:val="auto"/>
                <w:sz w:val="24"/>
                <w:szCs w:val="24"/>
                <w:highlight w:val="none"/>
              </w:rPr>
              <w:t>全自动智能一体成型机滚压成型，垫板成型</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sz w:val="24"/>
                <w:szCs w:val="24"/>
                <w:highlight w:val="none"/>
              </w:rPr>
              <w:t>宽11</w:t>
            </w:r>
            <w:r>
              <w:rPr>
                <w:rFonts w:hint="eastAsia" w:hAnsi="宋体" w:cs="宋体"/>
                <w:color w:val="auto"/>
                <w:sz w:val="24"/>
                <w:szCs w:val="24"/>
                <w:highlight w:val="none"/>
                <w:lang w:val="en-US" w:eastAsia="zh-CN"/>
              </w:rPr>
              <w:t>0</w:t>
            </w:r>
            <w:r>
              <w:rPr>
                <w:rFonts w:hint="eastAsia" w:ascii="宋体" w:hAnsi="宋体" w:eastAsia="宋体" w:cs="宋体"/>
                <w:color w:val="auto"/>
                <w:sz w:val="24"/>
                <w:szCs w:val="24"/>
                <w:highlight w:val="none"/>
              </w:rPr>
              <w:t>mm，高25mm。</w:t>
            </w:r>
            <w:r>
              <w:rPr>
                <w:rFonts w:hint="eastAsia" w:ascii="宋体" w:hAnsi="宋体" w:eastAsia="宋体" w:cs="宋体"/>
                <w:color w:val="auto"/>
                <w:sz w:val="24"/>
                <w:szCs w:val="24"/>
                <w:highlight w:val="none"/>
                <w:lang w:val="en-US" w:eastAsia="zh-CN"/>
              </w:rPr>
              <w:t>导轨</w:t>
            </w:r>
            <w:r>
              <w:rPr>
                <w:rFonts w:hint="eastAsia" w:ascii="宋体" w:hAnsi="宋体" w:eastAsia="宋体" w:cs="宋体"/>
                <w:color w:val="auto"/>
                <w:kern w:val="0"/>
                <w:sz w:val="24"/>
                <w:szCs w:val="24"/>
                <w:highlight w:val="none"/>
              </w:rPr>
              <w:t>采用</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宽2</w:t>
            </w:r>
            <w:r>
              <w:rPr>
                <w:rFonts w:hint="eastAsia" w:hAnsi="宋体" w:cs="宋体"/>
                <w:color w:val="auto"/>
                <w:kern w:val="0"/>
                <w:sz w:val="24"/>
                <w:szCs w:val="24"/>
                <w:highlight w:val="none"/>
                <w:lang w:val="en-US" w:eastAsia="zh-CN"/>
              </w:rPr>
              <w:t>0</w:t>
            </w:r>
            <w:r>
              <w:rPr>
                <w:rFonts w:hint="eastAsia" w:ascii="宋体" w:hAnsi="宋体" w:eastAsia="宋体" w:cs="宋体"/>
                <w:color w:val="auto"/>
                <w:kern w:val="0"/>
                <w:sz w:val="24"/>
                <w:szCs w:val="24"/>
                <w:highlight w:val="none"/>
              </w:rPr>
              <w:t>mm×高2</w:t>
            </w:r>
            <w:r>
              <w:rPr>
                <w:rFonts w:hint="eastAsia" w:hAnsi="宋体" w:cs="宋体"/>
                <w:color w:val="auto"/>
                <w:kern w:val="0"/>
                <w:sz w:val="24"/>
                <w:szCs w:val="24"/>
                <w:highlight w:val="none"/>
                <w:lang w:val="en-US" w:eastAsia="zh-CN"/>
              </w:rPr>
              <w:t>0</w:t>
            </w:r>
            <w:r>
              <w:rPr>
                <w:rFonts w:hint="eastAsia" w:ascii="宋体" w:hAnsi="宋体" w:eastAsia="宋体" w:cs="宋体"/>
                <w:color w:val="auto"/>
                <w:kern w:val="0"/>
                <w:sz w:val="24"/>
                <w:szCs w:val="24"/>
                <w:highlight w:val="none"/>
              </w:rPr>
              <w:t>mm实心方钢</w:t>
            </w:r>
            <w:r>
              <w:rPr>
                <w:rFonts w:hint="eastAsia" w:ascii="宋体" w:hAnsi="宋体" w:eastAsia="宋体" w:cs="宋体"/>
                <w:color w:val="auto"/>
                <w:kern w:val="0"/>
                <w:sz w:val="24"/>
                <w:szCs w:val="24"/>
                <w:highlight w:val="none"/>
                <w:lang w:eastAsia="zh-CN"/>
              </w:rPr>
              <w:t>。表面镀锌处理，防腐蚀性强。</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质量要求满足：</w:t>
            </w:r>
            <w:r>
              <w:rPr>
                <w:rFonts w:hint="eastAsia" w:ascii="宋体" w:hAnsi="宋体" w:eastAsia="宋体" w:cs="宋体"/>
                <w:i w:val="0"/>
                <w:iCs w:val="0"/>
                <w:caps w:val="0"/>
                <w:color w:val="auto"/>
                <w:spacing w:val="0"/>
                <w:sz w:val="24"/>
                <w:szCs w:val="24"/>
                <w:highlight w:val="none"/>
                <w:shd w:val="clear" w:fill="FFFFFF"/>
              </w:rPr>
              <w:t>①</w:t>
            </w:r>
            <w:r>
              <w:rPr>
                <w:rFonts w:hint="eastAsia" w:ascii="宋体" w:hAnsi="宋体" w:eastAsia="宋体" w:cs="宋体"/>
                <w:b w:val="0"/>
                <w:bCs w:val="0"/>
                <w:color w:val="auto"/>
                <w:kern w:val="2"/>
                <w:sz w:val="24"/>
                <w:szCs w:val="24"/>
                <w:highlight w:val="none"/>
                <w:rtl w:val="0"/>
                <w:lang w:val="zh-CN" w:eastAsia="en-US" w:bidi="ar-SA"/>
              </w:rPr>
              <w:t>循环加速腐蚀试验：经循环加速腐蚀试验</w:t>
            </w:r>
            <w:r>
              <w:rPr>
                <w:rFonts w:hint="eastAsia" w:ascii="宋体" w:hAnsi="宋体" w:eastAsia="宋体" w:cs="宋体"/>
                <w:b w:val="0"/>
                <w:bCs w:val="0"/>
                <w:color w:val="auto"/>
                <w:kern w:val="2"/>
                <w:sz w:val="24"/>
                <w:szCs w:val="24"/>
                <w:highlight w:val="none"/>
                <w:rtl w:val="0"/>
                <w:lang w:val="en-US" w:eastAsia="zh-CN" w:bidi="ar-SA"/>
              </w:rPr>
              <w:t>不少于</w:t>
            </w:r>
            <w:r>
              <w:rPr>
                <w:rFonts w:hint="eastAsia" w:ascii="宋体" w:hAnsi="宋体" w:eastAsia="宋体" w:cs="宋体"/>
                <w:b w:val="0"/>
                <w:bCs w:val="0"/>
                <w:color w:val="auto"/>
                <w:kern w:val="2"/>
                <w:sz w:val="24"/>
                <w:szCs w:val="24"/>
                <w:highlight w:val="none"/>
                <w:rtl w:val="0"/>
                <w:lang w:val="zh-CN" w:eastAsia="en-US" w:bidi="ar-SA"/>
              </w:rPr>
              <w:t>60个循环，外观评级Ra≥</w:t>
            </w:r>
            <w:r>
              <w:rPr>
                <w:rFonts w:hint="eastAsia" w:ascii="宋体" w:hAnsi="宋体" w:eastAsia="宋体" w:cs="宋体"/>
                <w:b w:val="0"/>
                <w:bCs w:val="0"/>
                <w:color w:val="auto"/>
                <w:kern w:val="2"/>
                <w:sz w:val="24"/>
                <w:szCs w:val="24"/>
                <w:highlight w:val="none"/>
                <w:rtl w:val="0"/>
                <w:lang w:val="en-US" w:eastAsia="zh-CN" w:bidi="ar-SA"/>
              </w:rPr>
              <w:t>9</w:t>
            </w:r>
            <w:r>
              <w:rPr>
                <w:rFonts w:hint="eastAsia" w:ascii="宋体" w:hAnsi="宋体" w:eastAsia="宋体" w:cs="宋体"/>
                <w:b w:val="0"/>
                <w:bCs w:val="0"/>
                <w:color w:val="auto"/>
                <w:kern w:val="2"/>
                <w:sz w:val="24"/>
                <w:szCs w:val="24"/>
                <w:highlight w:val="none"/>
                <w:rtl w:val="0"/>
                <w:lang w:val="zh-CN" w:eastAsia="en-US" w:bidi="ar-SA"/>
              </w:rPr>
              <w:t>级，保护评级Rp≥</w:t>
            </w:r>
            <w:r>
              <w:rPr>
                <w:rFonts w:hint="eastAsia" w:ascii="宋体" w:hAnsi="宋体" w:eastAsia="宋体" w:cs="宋体"/>
                <w:b w:val="0"/>
                <w:bCs w:val="0"/>
                <w:color w:val="auto"/>
                <w:kern w:val="2"/>
                <w:sz w:val="24"/>
                <w:szCs w:val="24"/>
                <w:highlight w:val="none"/>
                <w:rtl w:val="0"/>
                <w:lang w:val="en-US" w:eastAsia="zh-CN" w:bidi="ar-SA"/>
              </w:rPr>
              <w:t>9</w:t>
            </w:r>
            <w:r>
              <w:rPr>
                <w:rFonts w:hint="eastAsia" w:ascii="宋体" w:hAnsi="宋体" w:eastAsia="宋体" w:cs="宋体"/>
                <w:b w:val="0"/>
                <w:bCs w:val="0"/>
                <w:color w:val="auto"/>
                <w:kern w:val="2"/>
                <w:sz w:val="24"/>
                <w:szCs w:val="24"/>
                <w:highlight w:val="none"/>
                <w:rtl w:val="0"/>
                <w:lang w:val="zh-CN" w:eastAsia="en-US" w:bidi="ar-SA"/>
              </w:rPr>
              <w:t>级；</w:t>
            </w:r>
            <w:r>
              <w:rPr>
                <w:rFonts w:hint="eastAsia" w:ascii="宋体" w:hAnsi="宋体" w:eastAsia="宋体" w:cs="宋体"/>
                <w:i w:val="0"/>
                <w:iCs w:val="0"/>
                <w:caps w:val="0"/>
                <w:color w:val="auto"/>
                <w:spacing w:val="0"/>
                <w:sz w:val="24"/>
                <w:szCs w:val="24"/>
                <w:highlight w:val="none"/>
                <w:shd w:val="clear" w:fill="FFFFFF"/>
              </w:rPr>
              <w:t>②</w:t>
            </w:r>
            <w:r>
              <w:rPr>
                <w:rFonts w:hint="eastAsia" w:ascii="宋体" w:hAnsi="宋体" w:eastAsia="宋体" w:cs="宋体"/>
                <w:i w:val="0"/>
                <w:iCs w:val="0"/>
                <w:caps w:val="0"/>
                <w:color w:val="auto"/>
                <w:spacing w:val="0"/>
                <w:sz w:val="24"/>
                <w:szCs w:val="24"/>
                <w:highlight w:val="none"/>
                <w:shd w:val="clear" w:fill="FFFFFF"/>
                <w:lang w:val="en-US" w:eastAsia="zh-CN"/>
              </w:rPr>
              <w:t>漆膜厚度</w:t>
            </w:r>
            <w:r>
              <w:rPr>
                <w:rFonts w:hint="eastAsia" w:ascii="宋体" w:hAnsi="宋体" w:eastAsia="宋体" w:cs="宋体"/>
                <w:b w:val="0"/>
                <w:bCs w:val="0"/>
                <w:color w:val="auto"/>
                <w:kern w:val="2"/>
                <w:sz w:val="24"/>
                <w:szCs w:val="24"/>
                <w:highlight w:val="none"/>
                <w:rtl w:val="0"/>
                <w:lang w:val="zh-CN" w:eastAsia="en-US" w:bidi="ar-SA"/>
              </w:rPr>
              <w:t>：≥60μm；</w:t>
            </w:r>
            <w:r>
              <w:rPr>
                <w:rFonts w:hint="eastAsia" w:ascii="宋体" w:hAnsi="宋体" w:eastAsia="宋体" w:cs="宋体"/>
                <w:i w:val="0"/>
                <w:iCs w:val="0"/>
                <w:caps w:val="0"/>
                <w:color w:val="auto"/>
                <w:spacing w:val="0"/>
                <w:sz w:val="24"/>
                <w:szCs w:val="24"/>
                <w:highlight w:val="none"/>
                <w:shd w:val="clear" w:fill="FFFFFF"/>
              </w:rPr>
              <w:t>③</w:t>
            </w:r>
            <w:r>
              <w:rPr>
                <w:rFonts w:hint="eastAsia" w:ascii="宋体" w:hAnsi="宋体" w:eastAsia="宋体" w:cs="宋体"/>
                <w:b w:val="0"/>
                <w:bCs w:val="0"/>
                <w:color w:val="auto"/>
                <w:kern w:val="2"/>
                <w:sz w:val="24"/>
                <w:szCs w:val="24"/>
                <w:highlight w:val="none"/>
                <w:rtl w:val="0"/>
                <w:lang w:val="zh-CN" w:eastAsia="en-US" w:bidi="ar-SA"/>
              </w:rPr>
              <w:t>化学成分：C≤0.</w:t>
            </w:r>
            <w:r>
              <w:rPr>
                <w:rFonts w:hint="eastAsia" w:ascii="宋体" w:hAnsi="宋体" w:eastAsia="宋体" w:cs="宋体"/>
                <w:b w:val="0"/>
                <w:bCs w:val="0"/>
                <w:color w:val="auto"/>
                <w:kern w:val="2"/>
                <w:sz w:val="24"/>
                <w:szCs w:val="24"/>
                <w:highlight w:val="none"/>
                <w:rtl w:val="0"/>
                <w:lang w:val="en-US" w:eastAsia="zh-CN" w:bidi="ar-SA"/>
              </w:rPr>
              <w:t>20%</w:t>
            </w:r>
            <w:r>
              <w:rPr>
                <w:rFonts w:hint="eastAsia" w:ascii="宋体" w:hAnsi="宋体" w:eastAsia="宋体" w:cs="宋体"/>
                <w:b w:val="0"/>
                <w:bCs w:val="0"/>
                <w:color w:val="auto"/>
                <w:kern w:val="2"/>
                <w:sz w:val="24"/>
                <w:szCs w:val="24"/>
                <w:highlight w:val="none"/>
                <w:rtl w:val="0"/>
                <w:lang w:val="zh-CN" w:eastAsia="en-US" w:bidi="ar-SA"/>
              </w:rPr>
              <w:t>、Mn≤</w:t>
            </w:r>
            <w:r>
              <w:rPr>
                <w:rFonts w:hint="eastAsia" w:ascii="宋体" w:hAnsi="宋体" w:eastAsia="宋体" w:cs="宋体"/>
                <w:b w:val="0"/>
                <w:bCs w:val="0"/>
                <w:color w:val="auto"/>
                <w:kern w:val="2"/>
                <w:sz w:val="24"/>
                <w:szCs w:val="24"/>
                <w:highlight w:val="none"/>
                <w:rtl w:val="0"/>
                <w:lang w:val="en-US" w:eastAsia="zh-CN" w:bidi="ar-SA"/>
              </w:rPr>
              <w:t>1.40%</w:t>
            </w:r>
            <w:r>
              <w:rPr>
                <w:rFonts w:hint="eastAsia" w:ascii="宋体" w:hAnsi="宋体" w:eastAsia="宋体" w:cs="宋体"/>
                <w:b w:val="0"/>
                <w:bCs w:val="0"/>
                <w:color w:val="auto"/>
                <w:kern w:val="2"/>
                <w:sz w:val="24"/>
                <w:szCs w:val="24"/>
                <w:highlight w:val="none"/>
                <w:rtl w:val="0"/>
                <w:lang w:val="zh-CN" w:eastAsia="en-US" w:bidi="ar-SA"/>
              </w:rPr>
              <w:t>、P≤</w:t>
            </w:r>
            <w:r>
              <w:rPr>
                <w:rFonts w:hint="eastAsia" w:ascii="宋体" w:hAnsi="宋体" w:eastAsia="宋体" w:cs="宋体"/>
                <w:b w:val="0"/>
                <w:bCs w:val="0"/>
                <w:color w:val="auto"/>
                <w:kern w:val="2"/>
                <w:sz w:val="24"/>
                <w:szCs w:val="24"/>
                <w:highlight w:val="none"/>
                <w:rtl w:val="0"/>
                <w:lang w:val="en-US" w:eastAsia="zh-CN" w:bidi="ar-SA"/>
              </w:rPr>
              <w:t>0.045%</w:t>
            </w:r>
            <w:r>
              <w:rPr>
                <w:rFonts w:hint="eastAsia" w:ascii="宋体" w:hAnsi="宋体" w:eastAsia="宋体" w:cs="宋体"/>
                <w:b w:val="0"/>
                <w:bCs w:val="0"/>
                <w:color w:val="auto"/>
                <w:kern w:val="2"/>
                <w:sz w:val="24"/>
                <w:szCs w:val="24"/>
                <w:highlight w:val="none"/>
                <w:rtl w:val="0"/>
                <w:lang w:val="zh-CN" w:eastAsia="en-US" w:bidi="ar-SA"/>
              </w:rPr>
              <w:t>、S≤0.0</w:t>
            </w:r>
            <w:r>
              <w:rPr>
                <w:rFonts w:hint="eastAsia" w:ascii="宋体" w:hAnsi="宋体" w:eastAsia="宋体" w:cs="宋体"/>
                <w:b w:val="0"/>
                <w:bCs w:val="0"/>
                <w:color w:val="auto"/>
                <w:kern w:val="2"/>
                <w:sz w:val="24"/>
                <w:szCs w:val="24"/>
                <w:highlight w:val="none"/>
                <w:rtl w:val="0"/>
                <w:lang w:val="en-US" w:eastAsia="zh-CN" w:bidi="ar-SA"/>
              </w:rPr>
              <w:t>45%、Si≤0.35%；</w:t>
            </w:r>
            <w:r>
              <w:rPr>
                <w:rFonts w:hint="eastAsia" w:ascii="宋体" w:hAnsi="宋体" w:eastAsia="宋体" w:cs="宋体"/>
                <w:i w:val="0"/>
                <w:iCs w:val="0"/>
                <w:caps w:val="0"/>
                <w:color w:val="auto"/>
                <w:spacing w:val="0"/>
                <w:sz w:val="24"/>
                <w:szCs w:val="24"/>
                <w:highlight w:val="none"/>
                <w:shd w:val="clear" w:fill="FFFFFF"/>
              </w:rPr>
              <w:t>④</w:t>
            </w:r>
            <w:r>
              <w:rPr>
                <w:rFonts w:hint="eastAsia" w:ascii="宋体" w:hAnsi="宋体" w:eastAsia="宋体" w:cs="宋体"/>
                <w:b w:val="0"/>
                <w:bCs w:val="0"/>
                <w:color w:val="auto"/>
                <w:kern w:val="2"/>
                <w:sz w:val="24"/>
                <w:szCs w:val="24"/>
                <w:highlight w:val="none"/>
                <w:rtl w:val="0"/>
                <w:lang w:val="zh-CN" w:eastAsia="en-US" w:bidi="ar-SA"/>
              </w:rPr>
              <w:t>漏点：涂层无漏点；</w:t>
            </w:r>
            <w:r>
              <w:rPr>
                <w:rFonts w:hint="eastAsia" w:ascii="宋体" w:hAnsi="宋体" w:eastAsia="宋体" w:cs="宋体"/>
                <w:i w:val="0"/>
                <w:iCs w:val="0"/>
                <w:caps w:val="0"/>
                <w:color w:val="auto"/>
                <w:spacing w:val="0"/>
                <w:sz w:val="24"/>
                <w:szCs w:val="24"/>
                <w:highlight w:val="none"/>
                <w:shd w:val="clear" w:fill="FFFFFF"/>
              </w:rPr>
              <w:t>⑤</w:t>
            </w:r>
            <w:r>
              <w:rPr>
                <w:rFonts w:hint="eastAsia" w:ascii="宋体" w:hAnsi="宋体" w:eastAsia="宋体" w:cs="宋体"/>
                <w:b w:val="0"/>
                <w:bCs w:val="0"/>
                <w:color w:val="auto"/>
                <w:kern w:val="2"/>
                <w:sz w:val="24"/>
                <w:szCs w:val="24"/>
                <w:highlight w:val="none"/>
                <w:rtl w:val="0"/>
                <w:lang w:val="zh-CN" w:eastAsia="en-US" w:bidi="ar-SA"/>
              </w:rPr>
              <w:t>力学性能：抗拉强度</w:t>
            </w:r>
            <w:r>
              <w:rPr>
                <w:rFonts w:hint="eastAsia" w:ascii="宋体" w:hAnsi="宋体" w:eastAsia="宋体" w:cs="宋体"/>
                <w:b w:val="0"/>
                <w:bCs w:val="0"/>
                <w:color w:val="auto"/>
                <w:kern w:val="2"/>
                <w:sz w:val="24"/>
                <w:szCs w:val="24"/>
                <w:highlight w:val="none"/>
                <w:rtl w:val="0"/>
                <w:lang w:val="en-US" w:eastAsia="zh-CN" w:bidi="ar-SA"/>
              </w:rPr>
              <w:t>370-500N/mm</w:t>
            </w:r>
            <w:r>
              <w:rPr>
                <w:rFonts w:hint="eastAsia" w:ascii="宋体" w:hAnsi="宋体" w:eastAsia="宋体" w:cs="宋体"/>
                <w:b w:val="0"/>
                <w:bCs w:val="0"/>
                <w:color w:val="auto"/>
                <w:kern w:val="2"/>
                <w:sz w:val="24"/>
                <w:szCs w:val="24"/>
                <w:highlight w:val="none"/>
                <w:vertAlign w:val="superscript"/>
                <w:rtl w:val="0"/>
                <w:lang w:val="en-US" w:eastAsia="zh-CN" w:bidi="ar-SA"/>
              </w:rPr>
              <w:t>2</w:t>
            </w:r>
            <w:r>
              <w:rPr>
                <w:rFonts w:hint="eastAsia" w:ascii="宋体" w:hAnsi="宋体" w:eastAsia="宋体" w:cs="宋体"/>
                <w:b w:val="0"/>
                <w:bCs w:val="0"/>
                <w:color w:val="auto"/>
                <w:kern w:val="2"/>
                <w:sz w:val="24"/>
                <w:szCs w:val="24"/>
                <w:highlight w:val="none"/>
                <w:rtl w:val="0"/>
                <w:lang w:val="zh-CN" w:eastAsia="en-US" w:bidi="ar-SA"/>
              </w:rPr>
              <w:t>，</w:t>
            </w:r>
            <w:r>
              <w:rPr>
                <w:rFonts w:hint="eastAsia" w:ascii="宋体" w:hAnsi="宋体" w:eastAsia="宋体" w:cs="宋体"/>
                <w:b w:val="0"/>
                <w:bCs w:val="0"/>
                <w:color w:val="auto"/>
                <w:kern w:val="2"/>
                <w:sz w:val="24"/>
                <w:szCs w:val="24"/>
                <w:highlight w:val="none"/>
                <w:rtl w:val="0"/>
                <w:lang w:val="en-US" w:eastAsia="zh-CN" w:bidi="ar-SA"/>
              </w:rPr>
              <w:t>屈服强度≥235N/mm</w:t>
            </w:r>
            <w:r>
              <w:rPr>
                <w:rFonts w:hint="eastAsia" w:ascii="宋体" w:hAnsi="宋体" w:eastAsia="宋体" w:cs="宋体"/>
                <w:b w:val="0"/>
                <w:bCs w:val="0"/>
                <w:color w:val="auto"/>
                <w:kern w:val="2"/>
                <w:sz w:val="24"/>
                <w:szCs w:val="24"/>
                <w:highlight w:val="none"/>
                <w:vertAlign w:val="superscript"/>
                <w:rtl w:val="0"/>
                <w:lang w:val="en-US" w:eastAsia="zh-CN" w:bidi="ar-SA"/>
              </w:rPr>
              <w:t>2</w:t>
            </w:r>
            <w:r>
              <w:rPr>
                <w:rFonts w:hint="eastAsia" w:ascii="宋体" w:hAnsi="宋体" w:eastAsia="宋体" w:cs="宋体"/>
                <w:b w:val="0"/>
                <w:bCs w:val="0"/>
                <w:color w:val="auto"/>
                <w:kern w:val="2"/>
                <w:sz w:val="24"/>
                <w:szCs w:val="24"/>
                <w:highlight w:val="none"/>
                <w:rtl w:val="0"/>
                <w:lang w:val="zh-CN" w:eastAsia="en-US" w:bidi="ar-SA"/>
              </w:rPr>
              <w:t>，断后伸长率≥</w:t>
            </w:r>
            <w:r>
              <w:rPr>
                <w:rFonts w:hint="eastAsia" w:ascii="宋体" w:hAnsi="宋体" w:eastAsia="宋体" w:cs="宋体"/>
                <w:b w:val="0"/>
                <w:bCs w:val="0"/>
                <w:color w:val="auto"/>
                <w:kern w:val="2"/>
                <w:sz w:val="24"/>
                <w:szCs w:val="24"/>
                <w:highlight w:val="none"/>
                <w:rtl w:val="0"/>
                <w:lang w:val="en-US" w:eastAsia="zh-CN" w:bidi="ar-SA"/>
              </w:rPr>
              <w:t>26</w:t>
            </w:r>
            <w:r>
              <w:rPr>
                <w:rFonts w:hint="eastAsia" w:ascii="宋体" w:hAnsi="宋体" w:eastAsia="宋体" w:cs="宋体"/>
                <w:b w:val="0"/>
                <w:bCs w:val="0"/>
                <w:color w:val="auto"/>
                <w:kern w:val="2"/>
                <w:sz w:val="24"/>
                <w:szCs w:val="24"/>
                <w:highlight w:val="none"/>
                <w:rtl w:val="0"/>
                <w:lang w:val="zh-CN" w:eastAsia="en-US" w:bidi="ar-SA"/>
              </w:rPr>
              <w:t>%；</w:t>
            </w:r>
            <w:r>
              <w:rPr>
                <w:rFonts w:hint="eastAsia" w:ascii="宋体" w:hAnsi="宋体" w:eastAsia="宋体" w:cs="宋体"/>
                <w:i w:val="0"/>
                <w:iCs w:val="0"/>
                <w:caps w:val="0"/>
                <w:color w:val="auto"/>
                <w:spacing w:val="0"/>
                <w:sz w:val="24"/>
                <w:szCs w:val="24"/>
                <w:highlight w:val="none"/>
                <w:shd w:val="clear" w:fill="FFFFFF"/>
              </w:rPr>
              <w:t>⑥</w:t>
            </w:r>
            <w:r>
              <w:rPr>
                <w:rFonts w:hint="eastAsia" w:ascii="宋体" w:hAnsi="宋体" w:eastAsia="宋体" w:cs="宋体"/>
                <w:b w:val="0"/>
                <w:bCs w:val="0"/>
                <w:color w:val="auto"/>
                <w:kern w:val="2"/>
                <w:sz w:val="24"/>
                <w:szCs w:val="24"/>
                <w:highlight w:val="none"/>
                <w:rtl w:val="0"/>
                <w:lang w:val="zh-CN" w:eastAsia="en-US" w:bidi="ar-SA"/>
              </w:rPr>
              <w:t>耐霉菌性（黑曲霉）：</w:t>
            </w:r>
            <w:r>
              <w:rPr>
                <w:rFonts w:hint="eastAsia" w:ascii="宋体" w:hAnsi="宋体" w:eastAsia="宋体" w:cs="宋体"/>
                <w:b w:val="0"/>
                <w:bCs w:val="0"/>
                <w:color w:val="auto"/>
                <w:kern w:val="2"/>
                <w:sz w:val="24"/>
                <w:szCs w:val="24"/>
                <w:highlight w:val="none"/>
                <w:rtl w:val="0"/>
                <w:lang w:val="en-US" w:eastAsia="zh-CN" w:bidi="ar-SA"/>
              </w:rPr>
              <w:t>等级≥1</w:t>
            </w:r>
            <w:r>
              <w:rPr>
                <w:rFonts w:hint="eastAsia" w:ascii="宋体" w:hAnsi="宋体" w:eastAsia="宋体" w:cs="宋体"/>
                <w:b w:val="0"/>
                <w:bCs w:val="0"/>
                <w:color w:val="auto"/>
                <w:kern w:val="2"/>
                <w:sz w:val="24"/>
                <w:szCs w:val="24"/>
                <w:highlight w:val="none"/>
                <w:rtl w:val="0"/>
                <w:lang w:val="zh-CN" w:eastAsia="en-US" w:bidi="ar-SA"/>
              </w:rPr>
              <w:t>级；检测依据符合：GB/T</w:t>
            </w:r>
            <w:r>
              <w:rPr>
                <w:rFonts w:hint="eastAsia" w:ascii="宋体" w:hAnsi="宋体" w:eastAsia="宋体" w:cs="宋体"/>
                <w:b w:val="0"/>
                <w:bCs w:val="0"/>
                <w:color w:val="auto"/>
                <w:kern w:val="2"/>
                <w:sz w:val="24"/>
                <w:szCs w:val="24"/>
                <w:highlight w:val="none"/>
                <w:rtl w:val="0"/>
                <w:lang w:val="en-US" w:eastAsia="zh-CN" w:bidi="ar-SA"/>
              </w:rPr>
              <w:t xml:space="preserve"> </w:t>
            </w:r>
            <w:r>
              <w:rPr>
                <w:rFonts w:hint="eastAsia" w:ascii="宋体" w:hAnsi="宋体" w:eastAsia="宋体" w:cs="宋体"/>
                <w:b w:val="0"/>
                <w:bCs w:val="0"/>
                <w:color w:val="auto"/>
                <w:kern w:val="2"/>
                <w:sz w:val="24"/>
                <w:szCs w:val="24"/>
                <w:highlight w:val="none"/>
                <w:rtl w:val="0"/>
                <w:lang w:val="zh-CN" w:eastAsia="en-US" w:bidi="ar-SA"/>
              </w:rPr>
              <w:t>4893.5-2013、GB/T</w:t>
            </w:r>
            <w:r>
              <w:rPr>
                <w:rFonts w:hint="eastAsia" w:ascii="宋体" w:hAnsi="宋体" w:eastAsia="宋体" w:cs="宋体"/>
                <w:b w:val="0"/>
                <w:bCs w:val="0"/>
                <w:color w:val="auto"/>
                <w:kern w:val="2"/>
                <w:sz w:val="24"/>
                <w:szCs w:val="24"/>
                <w:highlight w:val="none"/>
                <w:rtl w:val="0"/>
                <w:lang w:val="en-US" w:eastAsia="zh-CN" w:bidi="ar-SA"/>
              </w:rPr>
              <w:t xml:space="preserve"> </w:t>
            </w:r>
            <w:r>
              <w:rPr>
                <w:rFonts w:hint="eastAsia" w:ascii="宋体" w:hAnsi="宋体" w:eastAsia="宋体" w:cs="宋体"/>
                <w:b w:val="0"/>
                <w:bCs w:val="0"/>
                <w:color w:val="auto"/>
                <w:kern w:val="2"/>
                <w:sz w:val="24"/>
                <w:szCs w:val="24"/>
                <w:highlight w:val="none"/>
                <w:rtl w:val="0"/>
                <w:lang w:val="zh-CN" w:eastAsia="en-US" w:bidi="ar-SA"/>
              </w:rPr>
              <w:t>24195-2009、GB/T</w:t>
            </w:r>
            <w:r>
              <w:rPr>
                <w:rFonts w:hint="eastAsia" w:ascii="宋体" w:hAnsi="宋体" w:eastAsia="宋体" w:cs="宋体"/>
                <w:b w:val="0"/>
                <w:bCs w:val="0"/>
                <w:color w:val="auto"/>
                <w:kern w:val="2"/>
                <w:sz w:val="24"/>
                <w:szCs w:val="24"/>
                <w:highlight w:val="none"/>
                <w:rtl w:val="0"/>
                <w:lang w:val="en-US" w:eastAsia="zh-CN" w:bidi="ar-SA"/>
              </w:rPr>
              <w:t xml:space="preserve"> 6461-2002、</w:t>
            </w:r>
            <w:r>
              <w:rPr>
                <w:rFonts w:hint="eastAsia" w:ascii="宋体" w:hAnsi="宋体" w:eastAsia="宋体" w:cs="宋体"/>
                <w:b w:val="0"/>
                <w:bCs w:val="0"/>
                <w:color w:val="auto"/>
                <w:kern w:val="2"/>
                <w:sz w:val="24"/>
                <w:szCs w:val="24"/>
                <w:highlight w:val="none"/>
                <w:rtl w:val="0"/>
                <w:lang w:val="zh-CN" w:eastAsia="en-US" w:bidi="ar-SA"/>
              </w:rPr>
              <w:t>GB/T 50393-2017、GB/T</w:t>
            </w:r>
            <w:r>
              <w:rPr>
                <w:rFonts w:hint="eastAsia" w:ascii="宋体" w:hAnsi="宋体" w:eastAsia="宋体" w:cs="宋体"/>
                <w:b w:val="0"/>
                <w:bCs w:val="0"/>
                <w:color w:val="auto"/>
                <w:kern w:val="2"/>
                <w:sz w:val="24"/>
                <w:szCs w:val="24"/>
                <w:highlight w:val="none"/>
                <w:rtl w:val="0"/>
                <w:lang w:val="en-US" w:eastAsia="zh-CN" w:bidi="ar-SA"/>
              </w:rPr>
              <w:t xml:space="preserve"> 700-2006、</w:t>
            </w:r>
            <w:r>
              <w:rPr>
                <w:rFonts w:hint="eastAsia" w:ascii="宋体" w:hAnsi="宋体" w:eastAsia="宋体" w:cs="宋体"/>
                <w:b w:val="0"/>
                <w:bCs w:val="0"/>
                <w:color w:val="auto"/>
                <w:kern w:val="2"/>
                <w:sz w:val="24"/>
                <w:szCs w:val="24"/>
                <w:highlight w:val="none"/>
                <w:rtl w:val="0"/>
                <w:lang w:val="zh-CN" w:eastAsia="en-US" w:bidi="ar-SA"/>
              </w:rPr>
              <w:t>GB/T</w:t>
            </w:r>
            <w:r>
              <w:rPr>
                <w:rFonts w:hint="eastAsia" w:ascii="宋体" w:hAnsi="宋体" w:eastAsia="宋体" w:cs="宋体"/>
                <w:b w:val="0"/>
                <w:bCs w:val="0"/>
                <w:color w:val="auto"/>
                <w:kern w:val="2"/>
                <w:sz w:val="24"/>
                <w:szCs w:val="24"/>
                <w:highlight w:val="none"/>
                <w:rtl w:val="0"/>
                <w:lang w:val="en-US" w:eastAsia="zh-CN" w:bidi="ar-SA"/>
              </w:rPr>
              <w:t xml:space="preserve"> 4336-2016、</w:t>
            </w:r>
            <w:r>
              <w:rPr>
                <w:rFonts w:hint="eastAsia" w:ascii="宋体" w:hAnsi="宋体" w:eastAsia="宋体" w:cs="宋体"/>
                <w:b w:val="0"/>
                <w:bCs w:val="0"/>
                <w:color w:val="auto"/>
                <w:kern w:val="2"/>
                <w:sz w:val="24"/>
                <w:szCs w:val="24"/>
                <w:highlight w:val="none"/>
                <w:rtl w:val="0"/>
                <w:lang w:val="zh-CN" w:eastAsia="en-US" w:bidi="ar-SA"/>
              </w:rPr>
              <w:t>GB</w:t>
            </w:r>
            <w:r>
              <w:rPr>
                <w:rFonts w:hint="eastAsia" w:ascii="宋体" w:hAnsi="宋体" w:eastAsia="宋体" w:cs="宋体"/>
                <w:b w:val="0"/>
                <w:bCs w:val="0"/>
                <w:color w:val="auto"/>
                <w:kern w:val="2"/>
                <w:sz w:val="24"/>
                <w:szCs w:val="24"/>
                <w:highlight w:val="none"/>
                <w:rtl w:val="0"/>
                <w:lang w:val="en-US" w:eastAsia="zh-CN" w:bidi="ar-SA"/>
              </w:rPr>
              <w:t xml:space="preserve">/T </w:t>
            </w:r>
            <w:r>
              <w:rPr>
                <w:rFonts w:hint="eastAsia" w:ascii="宋体" w:hAnsi="宋体" w:eastAsia="宋体" w:cs="宋体"/>
                <w:b w:val="0"/>
                <w:bCs w:val="0"/>
                <w:color w:val="auto"/>
                <w:kern w:val="2"/>
                <w:sz w:val="24"/>
                <w:szCs w:val="24"/>
                <w:highlight w:val="none"/>
                <w:rtl w:val="0"/>
                <w:lang w:val="zh-CN" w:eastAsia="en-US" w:bidi="ar-SA"/>
              </w:rPr>
              <w:t>228.1-2021、GB/T</w:t>
            </w:r>
            <w:r>
              <w:rPr>
                <w:rFonts w:hint="eastAsia" w:ascii="宋体" w:hAnsi="宋体" w:eastAsia="宋体" w:cs="宋体"/>
                <w:b w:val="0"/>
                <w:bCs w:val="0"/>
                <w:color w:val="auto"/>
                <w:kern w:val="2"/>
                <w:sz w:val="24"/>
                <w:szCs w:val="24"/>
                <w:highlight w:val="none"/>
                <w:rtl w:val="0"/>
                <w:lang w:val="en-US" w:eastAsia="zh-CN" w:bidi="ar-SA"/>
              </w:rPr>
              <w:t xml:space="preserve"> 1741-2020等</w:t>
            </w:r>
            <w:r>
              <w:rPr>
                <w:rFonts w:hint="eastAsia" w:ascii="宋体" w:hAnsi="宋体" w:eastAsia="宋体" w:cs="宋体"/>
                <w:b w:val="0"/>
                <w:bCs w:val="0"/>
                <w:color w:val="auto"/>
                <w:kern w:val="2"/>
                <w:sz w:val="24"/>
                <w:szCs w:val="24"/>
                <w:highlight w:val="none"/>
                <w:rtl w:val="0"/>
                <w:lang w:val="zh-CN" w:eastAsia="en-US" w:bidi="ar-SA"/>
              </w:rPr>
              <w:t>标准。</w:t>
            </w:r>
          </w:p>
          <w:p>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 xml:space="preserve">2 </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架体</w:t>
            </w:r>
            <w:r>
              <w:rPr>
                <w:rFonts w:hint="eastAsia" w:ascii="宋体" w:hAnsi="宋体" w:eastAsia="宋体" w:cs="宋体"/>
                <w:b/>
                <w:bCs/>
                <w:color w:val="auto"/>
                <w:sz w:val="24"/>
                <w:szCs w:val="24"/>
                <w:highlight w:val="none"/>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架体</w:t>
            </w:r>
            <w:r>
              <w:rPr>
                <w:rFonts w:hint="eastAsia" w:ascii="宋体" w:hAnsi="宋体" w:eastAsia="宋体" w:cs="宋体"/>
                <w:b w:val="0"/>
                <w:bCs w:val="0"/>
                <w:color w:val="auto"/>
                <w:sz w:val="24"/>
                <w:szCs w:val="24"/>
                <w:highlight w:val="none"/>
                <w:lang w:val="en-US" w:eastAsia="zh-CN"/>
              </w:rPr>
              <w:t>为</w:t>
            </w:r>
            <w:r>
              <w:rPr>
                <w:rFonts w:hint="eastAsia" w:ascii="宋体" w:hAnsi="宋体" w:eastAsia="宋体" w:cs="宋体"/>
                <w:b w:val="0"/>
                <w:bCs w:val="0"/>
                <w:color w:val="auto"/>
                <w:sz w:val="24"/>
                <w:szCs w:val="24"/>
                <w:highlight w:val="none"/>
              </w:rPr>
              <w:t>双柱框架式结构，主要由立柱、搁板、挂板、</w:t>
            </w:r>
            <w:r>
              <w:rPr>
                <w:rFonts w:hint="eastAsia" w:ascii="宋体" w:hAnsi="宋体" w:eastAsia="宋体" w:cs="宋体"/>
                <w:b w:val="0"/>
                <w:bCs w:val="0"/>
                <w:color w:val="auto"/>
                <w:sz w:val="24"/>
                <w:szCs w:val="24"/>
                <w:highlight w:val="none"/>
                <w:lang w:val="en-US" w:eastAsia="zh-CN"/>
              </w:rPr>
              <w:t>挡棒、</w:t>
            </w:r>
            <w:r>
              <w:rPr>
                <w:rFonts w:hint="eastAsia" w:ascii="宋体" w:hAnsi="宋体" w:eastAsia="宋体" w:cs="宋体"/>
                <w:b w:val="0"/>
                <w:bCs w:val="0"/>
                <w:color w:val="auto"/>
                <w:sz w:val="24"/>
                <w:szCs w:val="24"/>
                <w:highlight w:val="none"/>
              </w:rPr>
              <w:t>侧板、顶板、门板组成。每标准节在满负载的情况下，架体不应变形。</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2.1</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 立柱：</w:t>
            </w:r>
            <w:r>
              <w:rPr>
                <w:rFonts w:hint="eastAsia" w:ascii="宋体" w:hAnsi="宋体" w:eastAsia="宋体" w:cs="宋体"/>
                <w:b w:val="0"/>
                <w:bCs w:val="0"/>
                <w:color w:val="auto"/>
                <w:sz w:val="24"/>
                <w:szCs w:val="24"/>
                <w:highlight w:val="none"/>
                <w:lang w:val="en-US" w:eastAsia="zh-CN"/>
              </w:rPr>
              <w:t>采用</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1.5mm厚冷轧钢板，立柱</w:t>
            </w:r>
            <w:r>
              <w:rPr>
                <w:rFonts w:hint="eastAsia" w:ascii="宋体" w:hAnsi="宋体" w:eastAsia="宋体" w:cs="宋体"/>
                <w:b w:val="0"/>
                <w:bCs w:val="0"/>
                <w:color w:val="auto"/>
                <w:sz w:val="24"/>
                <w:szCs w:val="24"/>
                <w:highlight w:val="none"/>
              </w:rPr>
              <w:t>成型</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b w:val="0"/>
                <w:bCs w:val="0"/>
                <w:color w:val="auto"/>
                <w:sz w:val="24"/>
                <w:szCs w:val="24"/>
                <w:highlight w:val="none"/>
              </w:rPr>
              <w:t>50*39mm</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正面</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两侧面各压</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根筋，增强立柱的承载力和美观，立柱上下孔间距≤10mm，立柱有效调节≤20mm。立柱承载力大、调节层距灵活、与挂板配合牢固且无缝隙。</w:t>
            </w:r>
          </w:p>
          <w:p>
            <w:pPr>
              <w:pStyle w:val="7"/>
              <w:numPr>
                <w:ilvl w:val="0"/>
                <w:numId w:val="0"/>
              </w:numPr>
              <w:spacing w:line="360" w:lineRule="auto"/>
              <w:ind w:firstLine="480" w:firstLineChars="200"/>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sz w:val="24"/>
                <w:szCs w:val="24"/>
                <w:highlight w:val="none"/>
                <w:lang w:val="en-US" w:eastAsia="zh-CN"/>
              </w:rPr>
              <w:t>质量要求满足：①表面质量：钢板和钢带断面不应有目视可见分层。钢板和钢带表面不应有结疤、裂纹、折叠、夹杂、气泡和氧化铁皮压入等对使用有害的缺陷；②中性盐雾试验≥48h、乙酸盐雾试验≥48h:金属表面涂（镀）层耐腐蚀等级均≥9级，金属表面涂（镀）层对基体的保护等级均≥9级；③铜加速乙酸盐雾试验≥48h：外观评级≥9级，保护评级≥9级；④环境属性-产品有害物质：家具涂层可迁移元素的铅、镉、铬、汞、锑、钡、砷、硒检验结果均为未检出（≤0.03mg/kg）；⑤理化性能-产品表面理化性能-金属喷漆(塑)涂层：耐盐浴检测，划道两侧3mm外，应无鼓泡、锈蚀、剥落和起皱等现象；⑥化学成分：C≤0.22%、Mn≤1.4%、P≤0.045%、S≤0.050%、Si≤0.35%；⑦力学性能：抗拉强度370-500MPa，断后伸长率≥26%；</w:t>
            </w:r>
            <w:r>
              <w:rPr>
                <w:rFonts w:hint="eastAsia" w:ascii="微软雅黑" w:hAnsi="微软雅黑" w:eastAsia="微软雅黑" w:cs="微软雅黑"/>
                <w:b w:val="0"/>
                <w:bCs w:val="0"/>
                <w:color w:val="auto"/>
                <w:sz w:val="24"/>
                <w:szCs w:val="24"/>
                <w:highlight w:val="none"/>
                <w:lang w:val="en-US" w:eastAsia="zh-CN"/>
              </w:rPr>
              <w:t>⑧</w:t>
            </w:r>
            <w:r>
              <w:rPr>
                <w:rFonts w:hint="eastAsia" w:ascii="宋体" w:hAnsi="宋体" w:eastAsia="宋体" w:cs="宋体"/>
                <w:b w:val="0"/>
                <w:bCs w:val="0"/>
                <w:color w:val="auto"/>
                <w:sz w:val="24"/>
                <w:szCs w:val="24"/>
                <w:highlight w:val="none"/>
                <w:rtl w:val="0"/>
                <w:lang w:val="en-US" w:eastAsia="en-US"/>
              </w:rPr>
              <w:t>涂层耐久性</w:t>
            </w:r>
            <w:r>
              <w:rPr>
                <w:rFonts w:hint="eastAsia" w:ascii="宋体" w:hAnsi="宋体" w:eastAsia="宋体" w:cs="宋体"/>
                <w:b w:val="0"/>
                <w:bCs w:val="0"/>
                <w:color w:val="auto"/>
                <w:sz w:val="24"/>
                <w:szCs w:val="24"/>
                <w:highlight w:val="none"/>
                <w:rtl w:val="0"/>
                <w:lang w:val="en-US" w:eastAsia="zh-CN"/>
              </w:rPr>
              <w:t>检测：</w:t>
            </w:r>
            <w:r>
              <w:rPr>
                <w:rFonts w:hint="eastAsia" w:ascii="宋体" w:hAnsi="宋体" w:eastAsia="宋体" w:cs="宋体"/>
                <w:b w:val="0"/>
                <w:bCs w:val="0"/>
                <w:color w:val="auto"/>
                <w:sz w:val="24"/>
                <w:szCs w:val="24"/>
                <w:highlight w:val="none"/>
                <w:rtl w:val="0"/>
                <w:lang w:val="en-US" w:eastAsia="en-US"/>
              </w:rPr>
              <w:t>经</w:t>
            </w:r>
            <w:r>
              <w:rPr>
                <w:rFonts w:hint="eastAsia" w:ascii="宋体" w:hAnsi="宋体" w:eastAsia="宋体" w:cs="宋体"/>
                <w:b w:val="0"/>
                <w:bCs w:val="0"/>
                <w:color w:val="auto"/>
                <w:sz w:val="24"/>
                <w:szCs w:val="24"/>
                <w:highlight w:val="none"/>
                <w:rtl w:val="0"/>
                <w:lang w:val="en-US" w:eastAsia="zh-CN"/>
              </w:rPr>
              <w:t>不少于</w:t>
            </w:r>
            <w:r>
              <w:rPr>
                <w:rFonts w:hint="eastAsia" w:ascii="宋体" w:hAnsi="宋体" w:eastAsia="宋体" w:cs="宋体"/>
                <w:b w:val="0"/>
                <w:bCs w:val="0"/>
                <w:color w:val="auto"/>
                <w:sz w:val="24"/>
                <w:szCs w:val="24"/>
                <w:highlight w:val="none"/>
                <w:rtl w:val="0"/>
                <w:lang w:val="en-US" w:eastAsia="en-US"/>
              </w:rPr>
              <w:t>2个耐久性循环试验后无开裂，无起泡、无剥落现象</w:t>
            </w:r>
            <w:r>
              <w:rPr>
                <w:rFonts w:hint="eastAsia" w:ascii="宋体" w:hAnsi="宋体" w:eastAsia="宋体" w:cs="宋体"/>
                <w:b w:val="0"/>
                <w:bCs w:val="0"/>
                <w:color w:val="auto"/>
                <w:sz w:val="24"/>
                <w:szCs w:val="24"/>
                <w:highlight w:val="none"/>
                <w:rtl w:val="0"/>
                <w:lang w:val="en-US" w:eastAsia="zh-CN"/>
              </w:rPr>
              <w:t>。</w:t>
            </w:r>
            <w:r>
              <w:rPr>
                <w:rFonts w:hint="eastAsia" w:ascii="宋体" w:hAnsi="宋体" w:eastAsia="宋体" w:cs="宋体"/>
                <w:b w:val="0"/>
                <w:bCs w:val="0"/>
                <w:color w:val="auto"/>
                <w:sz w:val="24"/>
                <w:szCs w:val="24"/>
                <w:highlight w:val="none"/>
                <w:lang w:val="en-US" w:eastAsia="zh-CN"/>
              </w:rPr>
              <w:t>检测依据必须符合：QB/T3832-1999、QB/T3826-1999、QB/T3827-1999、GB/T10125-2021、GB/T3274-2017、GB/T3325-2024、JC/T2484-2018等标准。</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rPr>
              <w:t xml:space="preserve">2.2 </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搁板</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采用</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1.0mm厚冷轧钢板，正面采用6根压筋设计，两侧面各压1根加强筋，两侧面厚度≥25mm，外形美观、结构新颖、刚性足、承重能力强</w:t>
            </w:r>
            <w:r>
              <w:rPr>
                <w:rFonts w:hint="eastAsia" w:ascii="宋体" w:hAnsi="宋体" w:eastAsia="宋体" w:cs="宋体"/>
                <w:b w:val="0"/>
                <w:bCs w:val="0"/>
                <w:color w:val="auto"/>
                <w:sz w:val="24"/>
                <w:szCs w:val="24"/>
                <w:highlight w:val="none"/>
                <w:lang w:val="zh-CN" w:eastAsia="zh-CN"/>
              </w:rPr>
              <w:t>。</w:t>
            </w:r>
          </w:p>
          <w:p>
            <w:pPr>
              <w:spacing w:line="360" w:lineRule="auto"/>
              <w:ind w:firstLine="480" w:firstLineChars="200"/>
              <w:outlineLvl w:val="9"/>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sz w:val="24"/>
                <w:szCs w:val="24"/>
                <w:highlight w:val="none"/>
                <w:lang w:val="en-US" w:eastAsia="zh-CN"/>
              </w:rPr>
              <w:t>质量要求满足：①</w:t>
            </w:r>
            <w:r>
              <w:rPr>
                <w:rFonts w:hint="eastAsia" w:ascii="宋体" w:hAnsi="宋体" w:eastAsia="宋体" w:cs="宋体"/>
                <w:b w:val="0"/>
                <w:bCs w:val="0"/>
                <w:color w:val="auto"/>
                <w:sz w:val="24"/>
                <w:szCs w:val="24"/>
                <w:highlight w:val="none"/>
                <w:rtl w:val="0"/>
                <w:lang w:val="en-US" w:eastAsia="en-US"/>
              </w:rPr>
              <w:t>表面质量</w:t>
            </w:r>
            <w:r>
              <w:rPr>
                <w:rFonts w:hint="eastAsia" w:ascii="宋体" w:hAnsi="宋体" w:eastAsia="宋体" w:cs="宋体"/>
                <w:b w:val="0"/>
                <w:bCs w:val="0"/>
                <w:color w:val="auto"/>
                <w:sz w:val="24"/>
                <w:szCs w:val="24"/>
                <w:highlight w:val="none"/>
                <w:rtl w:val="0"/>
                <w:lang w:val="en-US" w:eastAsia="zh-CN"/>
              </w:rPr>
              <w:t>：</w:t>
            </w:r>
            <w:r>
              <w:rPr>
                <w:rFonts w:hint="eastAsia" w:ascii="宋体" w:hAnsi="宋体" w:eastAsia="宋体" w:cs="宋体"/>
                <w:b w:val="0"/>
                <w:bCs w:val="0"/>
                <w:color w:val="auto"/>
                <w:sz w:val="24"/>
                <w:szCs w:val="24"/>
                <w:highlight w:val="none"/>
                <w:rtl w:val="0"/>
                <w:lang w:val="en-US" w:eastAsia="en-US"/>
              </w:rPr>
              <w:t>钢板和钢带断面不应有目视可见分层。钢板和钢带表面不应有结疤、裂纹、折叠、夹杂、气泡和氧化铁皮压</w:t>
            </w:r>
            <w:r>
              <w:rPr>
                <w:rFonts w:hint="eastAsia" w:ascii="宋体" w:hAnsi="宋体" w:eastAsia="宋体" w:cs="宋体"/>
                <w:b w:val="0"/>
                <w:bCs w:val="0"/>
                <w:color w:val="auto"/>
                <w:sz w:val="24"/>
                <w:szCs w:val="24"/>
                <w:highlight w:val="none"/>
                <w:rtl w:val="0"/>
                <w:lang w:val="en-US" w:eastAsia="zh-CN"/>
              </w:rPr>
              <w:t>入</w:t>
            </w:r>
            <w:r>
              <w:rPr>
                <w:rFonts w:hint="eastAsia" w:ascii="宋体" w:hAnsi="宋体" w:eastAsia="宋体" w:cs="宋体"/>
                <w:b w:val="0"/>
                <w:bCs w:val="0"/>
                <w:color w:val="auto"/>
                <w:sz w:val="24"/>
                <w:szCs w:val="24"/>
                <w:highlight w:val="none"/>
                <w:rtl w:val="0"/>
                <w:lang w:val="en-US" w:eastAsia="en-US"/>
              </w:rPr>
              <w:t>等对使用有害的缺陷</w:t>
            </w:r>
            <w:r>
              <w:rPr>
                <w:rFonts w:hint="eastAsia" w:ascii="宋体" w:hAnsi="宋体" w:eastAsia="宋体" w:cs="宋体"/>
                <w:b w:val="0"/>
                <w:bCs w:val="0"/>
                <w:color w:val="auto"/>
                <w:sz w:val="24"/>
                <w:szCs w:val="24"/>
                <w:highlight w:val="none"/>
                <w:rtl w:val="0"/>
                <w:lang w:val="en-US" w:eastAsia="zh-CN"/>
              </w:rPr>
              <w:t>；②</w:t>
            </w:r>
            <w:r>
              <w:rPr>
                <w:rFonts w:hint="eastAsia" w:ascii="宋体" w:hAnsi="宋体" w:eastAsia="宋体" w:cs="宋体"/>
                <w:b w:val="0"/>
                <w:bCs w:val="0"/>
                <w:color w:val="auto"/>
                <w:sz w:val="24"/>
                <w:szCs w:val="24"/>
                <w:highlight w:val="none"/>
                <w:rtl w:val="0"/>
                <w:lang w:val="en-US" w:eastAsia="en-US"/>
              </w:rPr>
              <w:t>中性盐雾试验</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tl w:val="0"/>
                <w:lang w:val="en-US" w:eastAsia="en-US"/>
              </w:rPr>
              <w:t>48h</w:t>
            </w:r>
            <w:r>
              <w:rPr>
                <w:rFonts w:hint="eastAsia" w:ascii="宋体" w:hAnsi="宋体" w:eastAsia="宋体" w:cs="宋体"/>
                <w:b w:val="0"/>
                <w:bCs w:val="0"/>
                <w:color w:val="auto"/>
                <w:sz w:val="24"/>
                <w:szCs w:val="24"/>
                <w:highlight w:val="none"/>
                <w:rtl w:val="0"/>
                <w:lang w:val="en-US" w:eastAsia="zh-CN"/>
              </w:rPr>
              <w:t>、</w:t>
            </w:r>
            <w:r>
              <w:rPr>
                <w:rFonts w:hint="eastAsia" w:ascii="宋体" w:hAnsi="宋体" w:eastAsia="宋体" w:cs="宋体"/>
                <w:b w:val="0"/>
                <w:bCs w:val="0"/>
                <w:color w:val="auto"/>
                <w:sz w:val="24"/>
                <w:szCs w:val="24"/>
                <w:highlight w:val="none"/>
                <w:rtl w:val="0"/>
                <w:lang w:val="en-US" w:eastAsia="en-US"/>
              </w:rPr>
              <w:t>乙酸盐雾试验</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tl w:val="0"/>
                <w:lang w:val="en-US" w:eastAsia="en-US"/>
              </w:rPr>
              <w:t>48h</w:t>
            </w:r>
            <w:r>
              <w:rPr>
                <w:rFonts w:hint="eastAsia" w:ascii="宋体" w:hAnsi="宋体" w:eastAsia="宋体" w:cs="宋体"/>
                <w:b w:val="0"/>
                <w:bCs w:val="0"/>
                <w:color w:val="auto"/>
                <w:sz w:val="24"/>
                <w:szCs w:val="24"/>
                <w:highlight w:val="none"/>
                <w:rtl w:val="0"/>
                <w:lang w:val="en-US" w:eastAsia="zh-CN"/>
              </w:rPr>
              <w:t>：金属表面涂（镀）层耐腐蚀等级均</w:t>
            </w:r>
            <w:r>
              <w:rPr>
                <w:rFonts w:hint="eastAsia" w:ascii="宋体" w:hAnsi="宋体" w:eastAsia="宋体" w:cs="宋体"/>
                <w:b w:val="0"/>
                <w:bCs w:val="0"/>
                <w:color w:val="auto"/>
                <w:sz w:val="24"/>
                <w:szCs w:val="24"/>
                <w:highlight w:val="none"/>
                <w:lang w:val="zh-CN" w:eastAsia="en-US"/>
              </w:rPr>
              <w:t>≥</w:t>
            </w:r>
            <w:r>
              <w:rPr>
                <w:rFonts w:hint="eastAsia" w:ascii="宋体" w:hAnsi="宋体" w:eastAsia="宋体" w:cs="宋体"/>
                <w:b w:val="0"/>
                <w:bCs w:val="0"/>
                <w:color w:val="auto"/>
                <w:sz w:val="24"/>
                <w:szCs w:val="24"/>
                <w:highlight w:val="none"/>
                <w:lang w:val="en-US" w:eastAsia="zh-CN"/>
              </w:rPr>
              <w:t>9级，</w:t>
            </w:r>
            <w:r>
              <w:rPr>
                <w:rFonts w:hint="eastAsia" w:ascii="宋体" w:hAnsi="宋体" w:eastAsia="宋体" w:cs="宋体"/>
                <w:b w:val="0"/>
                <w:bCs w:val="0"/>
                <w:color w:val="auto"/>
                <w:sz w:val="24"/>
                <w:szCs w:val="24"/>
                <w:highlight w:val="none"/>
                <w:rtl w:val="0"/>
                <w:lang w:val="en-US" w:eastAsia="zh-CN"/>
              </w:rPr>
              <w:t>金属表面涂（镀）层对基体的保护等级均</w:t>
            </w:r>
            <w:r>
              <w:rPr>
                <w:rFonts w:hint="eastAsia" w:ascii="宋体" w:hAnsi="宋体" w:eastAsia="宋体" w:cs="宋体"/>
                <w:b w:val="0"/>
                <w:bCs w:val="0"/>
                <w:color w:val="auto"/>
                <w:sz w:val="24"/>
                <w:szCs w:val="24"/>
                <w:highlight w:val="none"/>
                <w:lang w:val="zh-CN" w:eastAsia="en-US"/>
              </w:rPr>
              <w:t>≥</w:t>
            </w:r>
            <w:r>
              <w:rPr>
                <w:rFonts w:hint="eastAsia" w:ascii="宋体" w:hAnsi="宋体" w:eastAsia="宋体" w:cs="宋体"/>
                <w:b w:val="0"/>
                <w:bCs w:val="0"/>
                <w:color w:val="auto"/>
                <w:sz w:val="24"/>
                <w:szCs w:val="24"/>
                <w:highlight w:val="none"/>
                <w:lang w:val="en-US" w:eastAsia="zh-CN"/>
              </w:rPr>
              <w:t>9级；③</w:t>
            </w:r>
            <w:r>
              <w:rPr>
                <w:rFonts w:hint="eastAsia" w:ascii="宋体" w:hAnsi="宋体" w:eastAsia="宋体" w:cs="宋体"/>
                <w:b w:val="0"/>
                <w:bCs w:val="0"/>
                <w:color w:val="auto"/>
                <w:sz w:val="24"/>
                <w:szCs w:val="24"/>
                <w:highlight w:val="none"/>
                <w:rtl w:val="0"/>
                <w:lang w:val="en-US" w:eastAsia="en-US"/>
              </w:rPr>
              <w:t>铜加速乙酸盐雾</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rtl w:val="0"/>
                <w:lang w:val="en-US" w:eastAsia="en-US"/>
              </w:rPr>
              <w:t>48h</w:t>
            </w:r>
            <w:r>
              <w:rPr>
                <w:rFonts w:hint="eastAsia" w:ascii="宋体" w:hAnsi="宋体" w:eastAsia="宋体" w:cs="宋体"/>
                <w:b w:val="0"/>
                <w:bCs w:val="0"/>
                <w:color w:val="auto"/>
                <w:sz w:val="24"/>
                <w:szCs w:val="24"/>
                <w:highlight w:val="none"/>
                <w:rtl w:val="0"/>
                <w:lang w:val="en-US" w:eastAsia="zh-CN"/>
              </w:rPr>
              <w:t>：外观评级</w:t>
            </w:r>
            <w:r>
              <w:rPr>
                <w:rFonts w:hint="eastAsia" w:ascii="宋体" w:hAnsi="宋体" w:eastAsia="宋体" w:cs="宋体"/>
                <w:b w:val="0"/>
                <w:bCs w:val="0"/>
                <w:color w:val="auto"/>
                <w:sz w:val="24"/>
                <w:szCs w:val="24"/>
                <w:highlight w:val="none"/>
                <w:lang w:val="zh-CN" w:eastAsia="en-US"/>
              </w:rPr>
              <w:t>≥</w:t>
            </w:r>
            <w:r>
              <w:rPr>
                <w:rFonts w:hint="eastAsia" w:ascii="宋体" w:hAnsi="宋体" w:eastAsia="宋体" w:cs="宋体"/>
                <w:b w:val="0"/>
                <w:bCs w:val="0"/>
                <w:color w:val="auto"/>
                <w:sz w:val="24"/>
                <w:szCs w:val="24"/>
                <w:highlight w:val="none"/>
                <w:lang w:val="en-US" w:eastAsia="zh-CN"/>
              </w:rPr>
              <w:t>9级，保护评级</w:t>
            </w:r>
            <w:r>
              <w:rPr>
                <w:rFonts w:hint="eastAsia" w:ascii="宋体" w:hAnsi="宋体" w:eastAsia="宋体" w:cs="宋体"/>
                <w:b w:val="0"/>
                <w:bCs w:val="0"/>
                <w:color w:val="auto"/>
                <w:sz w:val="24"/>
                <w:szCs w:val="24"/>
                <w:highlight w:val="none"/>
                <w:lang w:val="zh-CN" w:eastAsia="en-US"/>
              </w:rPr>
              <w:t>≥</w:t>
            </w:r>
            <w:r>
              <w:rPr>
                <w:rFonts w:hint="eastAsia" w:ascii="宋体" w:hAnsi="宋体" w:eastAsia="宋体" w:cs="宋体"/>
                <w:b w:val="0"/>
                <w:bCs w:val="0"/>
                <w:color w:val="auto"/>
                <w:sz w:val="24"/>
                <w:szCs w:val="24"/>
                <w:highlight w:val="none"/>
                <w:lang w:val="en-US" w:eastAsia="zh-CN"/>
              </w:rPr>
              <w:t>9级；④环境属性-产品有害物质：家具涂层可迁移元素的铅、镉、铬、汞、锑、钡、砷、硒检验结果均为未检出（≤0.03mg/kg）；</w:t>
            </w:r>
            <w:r>
              <w:rPr>
                <w:rFonts w:hint="eastAsia" w:ascii="宋体" w:hAnsi="宋体" w:eastAsia="宋体" w:cs="宋体"/>
                <w:b w:val="0"/>
                <w:bCs w:val="0"/>
                <w:color w:val="auto"/>
                <w:sz w:val="24"/>
                <w:szCs w:val="24"/>
                <w:highlight w:val="none"/>
                <w:rtl w:val="0"/>
                <w:lang w:val="en-US" w:eastAsia="zh-CN"/>
              </w:rPr>
              <w:t>⑤</w:t>
            </w:r>
            <w:r>
              <w:rPr>
                <w:rFonts w:hint="eastAsia" w:ascii="宋体" w:hAnsi="宋体" w:eastAsia="宋体" w:cs="宋体"/>
                <w:b w:val="0"/>
                <w:bCs w:val="0"/>
                <w:color w:val="auto"/>
                <w:sz w:val="24"/>
                <w:szCs w:val="24"/>
                <w:highlight w:val="none"/>
                <w:rtl w:val="0"/>
                <w:lang w:val="en-US" w:eastAsia="en-US"/>
              </w:rPr>
              <w:t>产品表面理化性能-金属喷漆(塑)涂层</w:t>
            </w:r>
            <w:r>
              <w:rPr>
                <w:rFonts w:hint="eastAsia" w:ascii="宋体" w:hAnsi="宋体" w:eastAsia="宋体" w:cs="宋体"/>
                <w:b w:val="0"/>
                <w:bCs w:val="0"/>
                <w:color w:val="auto"/>
                <w:sz w:val="24"/>
                <w:szCs w:val="24"/>
                <w:highlight w:val="none"/>
                <w:rtl w:val="0"/>
                <w:lang w:val="en-US" w:eastAsia="zh-CN"/>
              </w:rPr>
              <w:t>：</w:t>
            </w:r>
            <w:r>
              <w:rPr>
                <w:rFonts w:hint="eastAsia" w:ascii="宋体" w:hAnsi="宋体" w:eastAsia="宋体" w:cs="宋体"/>
                <w:b w:val="0"/>
                <w:bCs w:val="0"/>
                <w:color w:val="auto"/>
                <w:sz w:val="24"/>
                <w:szCs w:val="24"/>
                <w:highlight w:val="none"/>
                <w:rtl w:val="0"/>
                <w:lang w:val="en-US" w:eastAsia="en-US"/>
              </w:rPr>
              <w:t>耐盐浴</w:t>
            </w:r>
            <w:r>
              <w:rPr>
                <w:rFonts w:hint="eastAsia" w:ascii="宋体" w:hAnsi="宋体" w:eastAsia="宋体" w:cs="宋体"/>
                <w:b w:val="0"/>
                <w:bCs w:val="0"/>
                <w:color w:val="auto"/>
                <w:sz w:val="24"/>
                <w:szCs w:val="24"/>
                <w:highlight w:val="none"/>
                <w:rtl w:val="0"/>
                <w:lang w:val="en-US" w:eastAsia="zh-CN"/>
              </w:rPr>
              <w:t>检测，</w:t>
            </w:r>
            <w:r>
              <w:rPr>
                <w:rFonts w:hint="eastAsia" w:ascii="宋体" w:hAnsi="宋体" w:eastAsia="宋体" w:cs="宋体"/>
                <w:b w:val="0"/>
                <w:bCs w:val="0"/>
                <w:color w:val="auto"/>
                <w:sz w:val="24"/>
                <w:szCs w:val="24"/>
                <w:highlight w:val="none"/>
                <w:rtl w:val="0"/>
                <w:lang w:val="en-US" w:eastAsia="en-US"/>
              </w:rPr>
              <w:t>划道两侧3mm外，应无鼓泡、锈蚀、剥落和起皱等现象</w:t>
            </w:r>
            <w:r>
              <w:rPr>
                <w:rFonts w:hint="eastAsia" w:ascii="宋体" w:hAnsi="宋体" w:eastAsia="宋体" w:cs="宋体"/>
                <w:b w:val="0"/>
                <w:bCs w:val="0"/>
                <w:color w:val="auto"/>
                <w:sz w:val="24"/>
                <w:szCs w:val="24"/>
                <w:highlight w:val="none"/>
                <w:rtl w:val="0"/>
                <w:lang w:val="en-US" w:eastAsia="zh-CN"/>
              </w:rPr>
              <w:t>；</w:t>
            </w:r>
            <w:r>
              <w:rPr>
                <w:rFonts w:hint="eastAsia" w:ascii="宋体" w:hAnsi="宋体" w:eastAsia="宋体" w:cs="宋体"/>
                <w:b w:val="0"/>
                <w:bCs w:val="0"/>
                <w:color w:val="auto"/>
                <w:sz w:val="24"/>
                <w:szCs w:val="24"/>
                <w:highlight w:val="none"/>
                <w:lang w:val="en-US" w:eastAsia="zh-CN"/>
              </w:rPr>
              <w:t>⑥化学成分：C</w:t>
            </w:r>
            <w:r>
              <w:rPr>
                <w:rFonts w:hint="eastAsia" w:ascii="宋体" w:hAnsi="宋体" w:eastAsia="宋体" w:cs="宋体"/>
                <w:b w:val="0"/>
                <w:bCs w:val="0"/>
                <w:color w:val="auto"/>
                <w:sz w:val="24"/>
                <w:szCs w:val="24"/>
                <w:highlight w:val="none"/>
                <w:lang w:val="en-US" w:eastAsia="en-US"/>
              </w:rPr>
              <w:t>≤</w:t>
            </w:r>
            <w:r>
              <w:rPr>
                <w:rFonts w:hint="eastAsia" w:ascii="宋体" w:hAnsi="宋体" w:eastAsia="宋体" w:cs="宋体"/>
                <w:b w:val="0"/>
                <w:bCs w:val="0"/>
                <w:color w:val="auto"/>
                <w:sz w:val="24"/>
                <w:szCs w:val="24"/>
                <w:highlight w:val="none"/>
                <w:lang w:val="en-US" w:eastAsia="zh-CN"/>
              </w:rPr>
              <w:t>0.22%、Mn</w:t>
            </w:r>
            <w:r>
              <w:rPr>
                <w:rFonts w:hint="eastAsia" w:ascii="宋体" w:hAnsi="宋体" w:eastAsia="宋体" w:cs="宋体"/>
                <w:b w:val="0"/>
                <w:bCs w:val="0"/>
                <w:color w:val="auto"/>
                <w:sz w:val="24"/>
                <w:szCs w:val="24"/>
                <w:highlight w:val="none"/>
                <w:lang w:val="en-US" w:eastAsia="en-US"/>
              </w:rPr>
              <w:t>≤</w:t>
            </w:r>
            <w:r>
              <w:rPr>
                <w:rFonts w:hint="eastAsia" w:ascii="宋体" w:hAnsi="宋体" w:eastAsia="宋体" w:cs="宋体"/>
                <w:b w:val="0"/>
                <w:bCs w:val="0"/>
                <w:color w:val="auto"/>
                <w:sz w:val="24"/>
                <w:szCs w:val="24"/>
                <w:highlight w:val="none"/>
                <w:lang w:val="en-US" w:eastAsia="zh-CN"/>
              </w:rPr>
              <w:t>1.4%、P</w:t>
            </w:r>
            <w:r>
              <w:rPr>
                <w:rFonts w:hint="eastAsia" w:ascii="宋体" w:hAnsi="宋体" w:eastAsia="宋体" w:cs="宋体"/>
                <w:b w:val="0"/>
                <w:bCs w:val="0"/>
                <w:color w:val="auto"/>
                <w:sz w:val="24"/>
                <w:szCs w:val="24"/>
                <w:highlight w:val="none"/>
                <w:lang w:val="en-US" w:eastAsia="en-US"/>
              </w:rPr>
              <w:t>≤</w:t>
            </w:r>
            <w:r>
              <w:rPr>
                <w:rFonts w:hint="eastAsia" w:ascii="宋体" w:hAnsi="宋体" w:eastAsia="宋体" w:cs="宋体"/>
                <w:b w:val="0"/>
                <w:bCs w:val="0"/>
                <w:color w:val="auto"/>
                <w:sz w:val="24"/>
                <w:szCs w:val="24"/>
                <w:highlight w:val="none"/>
                <w:lang w:val="en-US" w:eastAsia="zh-CN"/>
              </w:rPr>
              <w:t>0.045%、S</w:t>
            </w:r>
            <w:r>
              <w:rPr>
                <w:rFonts w:hint="eastAsia" w:ascii="宋体" w:hAnsi="宋体" w:eastAsia="宋体" w:cs="宋体"/>
                <w:b w:val="0"/>
                <w:bCs w:val="0"/>
                <w:color w:val="auto"/>
                <w:sz w:val="24"/>
                <w:szCs w:val="24"/>
                <w:highlight w:val="none"/>
                <w:lang w:val="en-US" w:eastAsia="en-US"/>
              </w:rPr>
              <w:t>≤</w:t>
            </w:r>
            <w:r>
              <w:rPr>
                <w:rFonts w:hint="eastAsia" w:ascii="宋体" w:hAnsi="宋体" w:eastAsia="宋体" w:cs="宋体"/>
                <w:b w:val="0"/>
                <w:bCs w:val="0"/>
                <w:color w:val="auto"/>
                <w:sz w:val="24"/>
                <w:szCs w:val="24"/>
                <w:highlight w:val="none"/>
                <w:lang w:val="en-US" w:eastAsia="zh-CN"/>
              </w:rPr>
              <w:t>0.050%、Si</w:t>
            </w:r>
            <w:r>
              <w:rPr>
                <w:rFonts w:hint="eastAsia" w:ascii="宋体" w:hAnsi="宋体" w:eastAsia="宋体" w:cs="宋体"/>
                <w:b w:val="0"/>
                <w:bCs w:val="0"/>
                <w:color w:val="auto"/>
                <w:sz w:val="24"/>
                <w:szCs w:val="24"/>
                <w:highlight w:val="none"/>
                <w:lang w:val="en-US" w:eastAsia="en-US"/>
              </w:rPr>
              <w:t>≤</w:t>
            </w:r>
            <w:r>
              <w:rPr>
                <w:rFonts w:hint="eastAsia" w:ascii="宋体" w:hAnsi="宋体" w:eastAsia="宋体" w:cs="宋体"/>
                <w:b w:val="0"/>
                <w:bCs w:val="0"/>
                <w:color w:val="auto"/>
                <w:sz w:val="24"/>
                <w:szCs w:val="24"/>
                <w:highlight w:val="none"/>
                <w:lang w:val="en-US" w:eastAsia="zh-CN"/>
              </w:rPr>
              <w:t>0.35%；⑦力学性能：抗拉强度370-500MPa，断后伸长率</w:t>
            </w:r>
            <w:r>
              <w:rPr>
                <w:rFonts w:hint="eastAsia" w:ascii="宋体" w:hAnsi="宋体" w:eastAsia="宋体" w:cs="宋体"/>
                <w:b w:val="0"/>
                <w:bCs w:val="0"/>
                <w:color w:val="auto"/>
                <w:sz w:val="24"/>
                <w:szCs w:val="24"/>
                <w:highlight w:val="none"/>
                <w:lang w:val="en-US" w:eastAsia="en-US"/>
              </w:rPr>
              <w:t>≥</w:t>
            </w:r>
            <w:r>
              <w:rPr>
                <w:rFonts w:hint="eastAsia" w:ascii="宋体" w:hAnsi="宋体" w:eastAsia="宋体" w:cs="宋体"/>
                <w:b w:val="0"/>
                <w:bCs w:val="0"/>
                <w:color w:val="auto"/>
                <w:sz w:val="24"/>
                <w:szCs w:val="24"/>
                <w:highlight w:val="none"/>
                <w:lang w:val="en-US" w:eastAsia="zh-CN"/>
              </w:rPr>
              <w:t>26%；⑧单层搁板均布载重≥100kg，搁板经静载试验后，不得有缝，最大挠度应不大于4.0mm,残余变形量应不大于0.3mm；</w:t>
            </w:r>
            <w:r>
              <w:rPr>
                <w:rFonts w:hint="eastAsia" w:ascii="微软雅黑" w:hAnsi="微软雅黑" w:eastAsia="微软雅黑" w:cs="微软雅黑"/>
                <w:b w:val="0"/>
                <w:bCs w:val="0"/>
                <w:color w:val="auto"/>
                <w:sz w:val="24"/>
                <w:szCs w:val="24"/>
                <w:highlight w:val="none"/>
                <w:lang w:val="en-US" w:eastAsia="zh-CN"/>
              </w:rPr>
              <w:t>⑨</w:t>
            </w:r>
            <w:r>
              <w:rPr>
                <w:rFonts w:hint="eastAsia" w:ascii="宋体" w:hAnsi="宋体" w:eastAsia="宋体" w:cs="宋体"/>
                <w:b w:val="0"/>
                <w:bCs w:val="0"/>
                <w:color w:val="auto"/>
                <w:sz w:val="24"/>
                <w:szCs w:val="24"/>
                <w:highlight w:val="none"/>
                <w:lang w:val="en-US" w:eastAsia="en-US"/>
              </w:rPr>
              <w:t>耐盐雾性</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en-US"/>
              </w:rPr>
              <w:t>480h</w:t>
            </w:r>
            <w:r>
              <w:rPr>
                <w:rFonts w:hint="eastAsia" w:ascii="宋体" w:hAnsi="宋体" w:eastAsia="宋体" w:cs="宋体"/>
                <w:b w:val="0"/>
                <w:bCs w:val="0"/>
                <w:color w:val="auto"/>
                <w:sz w:val="24"/>
                <w:szCs w:val="24"/>
                <w:highlight w:val="none"/>
                <w:lang w:val="en-US" w:eastAsia="zh-CN"/>
              </w:rPr>
              <w:t>）</w:t>
            </w:r>
            <w:r>
              <w:rPr>
                <w:rFonts w:hint="eastAsia" w:ascii="宋体"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en-US"/>
              </w:rPr>
              <w:t>1</w:t>
            </w:r>
            <w:r>
              <w:rPr>
                <w:rFonts w:hint="eastAsia" w:ascii="宋体" w:hAnsi="宋体" w:eastAsia="宋体" w:cs="宋体"/>
                <w:b w:val="0"/>
                <w:bCs w:val="0"/>
                <w:color w:val="auto"/>
                <w:sz w:val="24"/>
                <w:szCs w:val="24"/>
                <w:highlight w:val="none"/>
                <w:lang w:val="en-US" w:eastAsia="zh-CN"/>
              </w:rPr>
              <w:t>级；</w:t>
            </w:r>
            <w:r>
              <w:rPr>
                <w:rFonts w:hint="eastAsia" w:ascii="微软雅黑" w:hAnsi="微软雅黑" w:eastAsia="微软雅黑" w:cs="微软雅黑"/>
                <w:b w:val="0"/>
                <w:bCs w:val="0"/>
                <w:color w:val="auto"/>
                <w:sz w:val="24"/>
                <w:szCs w:val="24"/>
                <w:highlight w:val="none"/>
                <w:lang w:val="en-US" w:eastAsia="zh-CN"/>
              </w:rPr>
              <w:t>⑩</w:t>
            </w:r>
            <w:r>
              <w:rPr>
                <w:rFonts w:hint="eastAsia" w:ascii="宋体" w:hAnsi="宋体" w:eastAsia="宋体" w:cs="宋体"/>
                <w:b w:val="0"/>
                <w:bCs w:val="0"/>
                <w:color w:val="auto"/>
                <w:sz w:val="24"/>
                <w:szCs w:val="24"/>
                <w:highlight w:val="none"/>
                <w:lang w:val="en-US" w:eastAsia="en-US"/>
              </w:rPr>
              <w:t>耐</w:t>
            </w:r>
            <w:r>
              <w:rPr>
                <w:rFonts w:hint="eastAsia" w:ascii="宋体" w:hAnsi="宋体" w:eastAsia="宋体" w:cs="宋体"/>
                <w:b w:val="0"/>
                <w:bCs w:val="0"/>
                <w:color w:val="auto"/>
                <w:sz w:val="24"/>
                <w:szCs w:val="24"/>
                <w:highlight w:val="none"/>
                <w:lang w:val="en-US" w:eastAsia="zh-CN"/>
              </w:rPr>
              <w:t>人工气候</w:t>
            </w:r>
            <w:r>
              <w:rPr>
                <w:rFonts w:hint="eastAsia" w:ascii="宋体" w:hAnsi="宋体" w:eastAsia="宋体" w:cs="宋体"/>
                <w:b w:val="0"/>
                <w:bCs w:val="0"/>
                <w:color w:val="auto"/>
                <w:sz w:val="24"/>
                <w:szCs w:val="24"/>
                <w:highlight w:val="none"/>
                <w:lang w:val="en-US" w:eastAsia="en-US"/>
              </w:rPr>
              <w:t>老化</w:t>
            </w:r>
            <w:r>
              <w:rPr>
                <w:rFonts w:hint="eastAsia" w:ascii="宋体" w:hAnsi="宋体" w:eastAsia="宋体" w:cs="宋体"/>
                <w:b w:val="0"/>
                <w:bCs w:val="0"/>
                <w:color w:val="auto"/>
                <w:sz w:val="24"/>
                <w:szCs w:val="24"/>
                <w:highlight w:val="none"/>
                <w:lang w:val="en-US" w:eastAsia="zh-CN"/>
              </w:rPr>
              <w:t>（≥</w:t>
            </w:r>
            <w:r>
              <w:rPr>
                <w:rFonts w:hint="eastAsia" w:ascii="宋体" w:hAnsi="宋体" w:cs="宋体"/>
                <w:b w:val="0"/>
                <w:bCs w:val="0"/>
                <w:color w:val="auto"/>
                <w:sz w:val="24"/>
                <w:szCs w:val="24"/>
                <w:highlight w:val="none"/>
                <w:lang w:val="en-US" w:eastAsia="zh-CN"/>
              </w:rPr>
              <w:t>60</w:t>
            </w:r>
            <w:r>
              <w:rPr>
                <w:rFonts w:hint="eastAsia" w:ascii="宋体" w:hAnsi="宋体" w:eastAsia="宋体" w:cs="宋体"/>
                <w:b w:val="0"/>
                <w:bCs w:val="0"/>
                <w:color w:val="auto"/>
                <w:sz w:val="24"/>
                <w:szCs w:val="24"/>
                <w:highlight w:val="none"/>
                <w:lang w:val="en-US" w:eastAsia="en-US"/>
              </w:rPr>
              <w:t>0h</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en-US"/>
              </w:rPr>
              <w:t>色差≤</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en-US"/>
              </w:rPr>
              <w:t>.0</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en-US"/>
              </w:rPr>
              <w:t>失光等级不次于2</w:t>
            </w:r>
            <w:r>
              <w:rPr>
                <w:rFonts w:hint="eastAsia" w:ascii="宋体" w:hAnsi="宋体" w:eastAsia="宋体" w:cs="宋体"/>
                <w:b w:val="0"/>
                <w:bCs w:val="0"/>
                <w:color w:val="auto"/>
                <w:sz w:val="24"/>
                <w:szCs w:val="24"/>
                <w:highlight w:val="none"/>
                <w:lang w:val="en-US" w:eastAsia="zh-CN"/>
              </w:rPr>
              <w:t>级、</w:t>
            </w:r>
            <w:r>
              <w:rPr>
                <w:rFonts w:hint="eastAsia" w:ascii="宋体" w:hAnsi="宋体" w:eastAsia="宋体" w:cs="宋体"/>
                <w:b w:val="0"/>
                <w:bCs w:val="0"/>
                <w:color w:val="auto"/>
                <w:sz w:val="24"/>
                <w:szCs w:val="24"/>
                <w:highlight w:val="none"/>
                <w:lang w:val="en-US" w:eastAsia="en-US"/>
              </w:rPr>
              <w:t>其他老化性能</w:t>
            </w:r>
            <w:r>
              <w:rPr>
                <w:rFonts w:hint="eastAsia" w:ascii="宋体" w:hAnsi="宋体" w:eastAsia="宋体" w:cs="宋体"/>
                <w:b w:val="0"/>
                <w:bCs w:val="0"/>
                <w:color w:val="auto"/>
                <w:sz w:val="24"/>
                <w:szCs w:val="24"/>
                <w:highlight w:val="none"/>
                <w:lang w:val="en-US" w:eastAsia="zh-CN"/>
              </w:rPr>
              <w:t>≥0级。检测依据必须符合：QB/T3832-1999、QB/T3826-1999、QB/T3827-1999、GB/T10125-2021、GB/T3274-2017、YB/T4516-2016、GB/T3325-2024等标准。</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rPr>
              <w:t>2.</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 xml:space="preserve"> 挂板：</w:t>
            </w:r>
            <w:r>
              <w:rPr>
                <w:rFonts w:hint="eastAsia" w:ascii="宋体" w:hAnsi="宋体" w:eastAsia="宋体" w:cs="宋体"/>
                <w:b w:val="0"/>
                <w:bCs w:val="0"/>
                <w:color w:val="auto"/>
                <w:sz w:val="24"/>
                <w:szCs w:val="24"/>
                <w:highlight w:val="none"/>
                <w:lang w:val="zh-CN" w:eastAsia="zh-CN"/>
              </w:rPr>
              <w:t>采用</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lang w:val="zh-CN" w:eastAsia="zh-CN"/>
              </w:rPr>
              <w:t>mm厚冷轧钢板；十扣式结构，上下共压四条加强筋并冲两个椭圆形加强孔，挂板两端压自锁扣，与层板孔配合起到装配自锁，加强架体稳定性。</w:t>
            </w:r>
          </w:p>
          <w:p>
            <w:pPr>
              <w:pStyle w:val="14"/>
              <w:numPr>
                <w:ilvl w:val="0"/>
                <w:numId w:val="0"/>
              </w:numPr>
              <w:spacing w:line="360" w:lineRule="auto"/>
              <w:ind w:leftChars="0"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bidi="ar"/>
              </w:rPr>
              <w:t>质量要求满足：①</w:t>
            </w:r>
            <w:r>
              <w:rPr>
                <w:rFonts w:hint="eastAsia" w:ascii="宋体" w:hAnsi="宋体" w:eastAsia="宋体" w:cs="宋体"/>
                <w:b w:val="0"/>
                <w:bCs w:val="0"/>
                <w:color w:val="auto"/>
                <w:kern w:val="2"/>
                <w:sz w:val="24"/>
                <w:szCs w:val="24"/>
                <w:highlight w:val="none"/>
                <w:rtl w:val="0"/>
                <w:lang w:val="en-US" w:eastAsia="en-US" w:bidi="ar"/>
              </w:rPr>
              <w:t>表面质量</w:t>
            </w:r>
            <w:r>
              <w:rPr>
                <w:rFonts w:hint="eastAsia" w:ascii="宋体" w:hAnsi="宋体" w:eastAsia="宋体" w:cs="宋体"/>
                <w:b w:val="0"/>
                <w:bCs w:val="0"/>
                <w:color w:val="auto"/>
                <w:kern w:val="2"/>
                <w:sz w:val="24"/>
                <w:szCs w:val="24"/>
                <w:highlight w:val="none"/>
                <w:rtl w:val="0"/>
                <w:lang w:val="en-US" w:eastAsia="zh-CN" w:bidi="ar"/>
              </w:rPr>
              <w:t>：</w:t>
            </w:r>
            <w:r>
              <w:rPr>
                <w:rFonts w:hint="eastAsia" w:ascii="宋体" w:hAnsi="宋体" w:eastAsia="宋体" w:cs="宋体"/>
                <w:b w:val="0"/>
                <w:bCs w:val="0"/>
                <w:color w:val="auto"/>
                <w:kern w:val="2"/>
                <w:sz w:val="24"/>
                <w:szCs w:val="24"/>
                <w:highlight w:val="none"/>
                <w:rtl w:val="0"/>
                <w:lang w:val="en-US" w:eastAsia="en-US" w:bidi="ar"/>
              </w:rPr>
              <w:t>钢板和钢带断面不应有目视可见分层。钢板和钢带表面不应有结疤、裂纹、折叠、夹杂、气泡和氧化铁皮压</w:t>
            </w:r>
            <w:r>
              <w:rPr>
                <w:rFonts w:hint="eastAsia" w:ascii="宋体" w:hAnsi="宋体" w:eastAsia="宋体" w:cs="宋体"/>
                <w:b w:val="0"/>
                <w:bCs w:val="0"/>
                <w:color w:val="auto"/>
                <w:kern w:val="2"/>
                <w:sz w:val="24"/>
                <w:szCs w:val="24"/>
                <w:highlight w:val="none"/>
                <w:rtl w:val="0"/>
                <w:lang w:val="en-US" w:eastAsia="zh-CN" w:bidi="ar"/>
              </w:rPr>
              <w:t>入</w:t>
            </w:r>
            <w:r>
              <w:rPr>
                <w:rFonts w:hint="eastAsia" w:ascii="宋体" w:hAnsi="宋体" w:eastAsia="宋体" w:cs="宋体"/>
                <w:b w:val="0"/>
                <w:bCs w:val="0"/>
                <w:color w:val="auto"/>
                <w:kern w:val="2"/>
                <w:sz w:val="24"/>
                <w:szCs w:val="24"/>
                <w:highlight w:val="none"/>
                <w:rtl w:val="0"/>
                <w:lang w:val="en-US" w:eastAsia="en-US" w:bidi="ar"/>
              </w:rPr>
              <w:t>等对使用有害的缺陷</w:t>
            </w:r>
            <w:r>
              <w:rPr>
                <w:rFonts w:hint="eastAsia" w:ascii="宋体" w:hAnsi="宋体" w:eastAsia="宋体" w:cs="宋体"/>
                <w:b w:val="0"/>
                <w:bCs w:val="0"/>
                <w:color w:val="auto"/>
                <w:kern w:val="2"/>
                <w:sz w:val="24"/>
                <w:szCs w:val="24"/>
                <w:highlight w:val="none"/>
                <w:rtl w:val="0"/>
                <w:lang w:val="en-US" w:eastAsia="zh-CN" w:bidi="ar"/>
              </w:rPr>
              <w:t>；②</w:t>
            </w:r>
            <w:r>
              <w:rPr>
                <w:rFonts w:hint="eastAsia" w:ascii="宋体" w:hAnsi="宋体" w:eastAsia="宋体" w:cs="宋体"/>
                <w:b w:val="0"/>
                <w:bCs w:val="0"/>
                <w:color w:val="auto"/>
                <w:kern w:val="2"/>
                <w:sz w:val="24"/>
                <w:szCs w:val="24"/>
                <w:highlight w:val="none"/>
                <w:rtl w:val="0"/>
                <w:lang w:val="en-US" w:eastAsia="en-US" w:bidi="ar"/>
              </w:rPr>
              <w:t>中性盐雾试验</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kern w:val="2"/>
                <w:sz w:val="24"/>
                <w:szCs w:val="24"/>
                <w:highlight w:val="none"/>
                <w:rtl w:val="0"/>
                <w:lang w:val="en-US" w:eastAsia="en-US" w:bidi="ar"/>
              </w:rPr>
              <w:t>48h</w:t>
            </w:r>
            <w:r>
              <w:rPr>
                <w:rFonts w:hint="eastAsia" w:ascii="宋体" w:hAnsi="宋体" w:eastAsia="宋体" w:cs="宋体"/>
                <w:b w:val="0"/>
                <w:bCs w:val="0"/>
                <w:color w:val="auto"/>
                <w:kern w:val="2"/>
                <w:sz w:val="24"/>
                <w:szCs w:val="24"/>
                <w:highlight w:val="none"/>
                <w:rtl w:val="0"/>
                <w:lang w:val="en-US" w:eastAsia="zh-CN" w:bidi="ar"/>
              </w:rPr>
              <w:t>、</w:t>
            </w:r>
            <w:r>
              <w:rPr>
                <w:rFonts w:hint="eastAsia" w:ascii="宋体" w:hAnsi="宋体" w:eastAsia="宋体" w:cs="宋体"/>
                <w:b w:val="0"/>
                <w:bCs w:val="0"/>
                <w:color w:val="auto"/>
                <w:kern w:val="2"/>
                <w:sz w:val="24"/>
                <w:szCs w:val="24"/>
                <w:highlight w:val="none"/>
                <w:rtl w:val="0"/>
                <w:lang w:val="en-US" w:eastAsia="en-US" w:bidi="ar"/>
              </w:rPr>
              <w:t>乙酸盐雾试验</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kern w:val="2"/>
                <w:sz w:val="24"/>
                <w:szCs w:val="24"/>
                <w:highlight w:val="none"/>
                <w:rtl w:val="0"/>
                <w:lang w:val="en-US" w:eastAsia="en-US" w:bidi="ar"/>
              </w:rPr>
              <w:t>48h</w:t>
            </w:r>
            <w:r>
              <w:rPr>
                <w:rFonts w:hint="eastAsia" w:ascii="宋体" w:hAnsi="宋体" w:eastAsia="宋体" w:cs="宋体"/>
                <w:b w:val="0"/>
                <w:bCs w:val="0"/>
                <w:color w:val="auto"/>
                <w:kern w:val="2"/>
                <w:sz w:val="24"/>
                <w:szCs w:val="24"/>
                <w:highlight w:val="none"/>
                <w:rtl w:val="0"/>
                <w:lang w:val="en-US" w:eastAsia="zh-CN" w:bidi="ar"/>
              </w:rPr>
              <w:t>：金属表面涂（镀）层耐腐蚀等级均</w:t>
            </w:r>
            <w:r>
              <w:rPr>
                <w:rFonts w:hint="eastAsia" w:ascii="宋体" w:hAnsi="宋体" w:eastAsia="宋体" w:cs="宋体"/>
                <w:b w:val="0"/>
                <w:bCs w:val="0"/>
                <w:color w:val="auto"/>
                <w:kern w:val="2"/>
                <w:sz w:val="24"/>
                <w:szCs w:val="24"/>
                <w:highlight w:val="none"/>
                <w:lang w:val="zh-CN" w:eastAsia="zh-CN" w:bidi="ar"/>
              </w:rPr>
              <w:t>≥</w:t>
            </w:r>
            <w:r>
              <w:rPr>
                <w:rFonts w:hint="eastAsia" w:ascii="宋体" w:hAnsi="宋体" w:eastAsia="宋体" w:cs="宋体"/>
                <w:b w:val="0"/>
                <w:bCs w:val="0"/>
                <w:color w:val="auto"/>
                <w:kern w:val="2"/>
                <w:sz w:val="24"/>
                <w:szCs w:val="24"/>
                <w:highlight w:val="none"/>
                <w:lang w:val="en-US" w:eastAsia="zh-CN" w:bidi="ar"/>
              </w:rPr>
              <w:t>9级，</w:t>
            </w:r>
            <w:r>
              <w:rPr>
                <w:rFonts w:hint="eastAsia" w:ascii="宋体" w:hAnsi="宋体" w:eastAsia="宋体" w:cs="宋体"/>
                <w:b w:val="0"/>
                <w:bCs w:val="0"/>
                <w:color w:val="auto"/>
                <w:kern w:val="2"/>
                <w:sz w:val="24"/>
                <w:szCs w:val="24"/>
                <w:highlight w:val="none"/>
                <w:rtl w:val="0"/>
                <w:lang w:val="en-US" w:eastAsia="zh-CN" w:bidi="ar"/>
              </w:rPr>
              <w:t>金属表面涂（镀）层对基体的保护等级均</w:t>
            </w:r>
            <w:r>
              <w:rPr>
                <w:rFonts w:hint="eastAsia" w:ascii="宋体" w:hAnsi="宋体" w:eastAsia="宋体" w:cs="宋体"/>
                <w:b w:val="0"/>
                <w:bCs w:val="0"/>
                <w:color w:val="auto"/>
                <w:kern w:val="2"/>
                <w:sz w:val="24"/>
                <w:szCs w:val="24"/>
                <w:highlight w:val="none"/>
                <w:lang w:val="zh-CN" w:eastAsia="zh-CN" w:bidi="ar"/>
              </w:rPr>
              <w:t>≥</w:t>
            </w:r>
            <w:r>
              <w:rPr>
                <w:rFonts w:hint="eastAsia" w:ascii="宋体" w:hAnsi="宋体" w:eastAsia="宋体" w:cs="宋体"/>
                <w:b w:val="0"/>
                <w:bCs w:val="0"/>
                <w:color w:val="auto"/>
                <w:kern w:val="2"/>
                <w:sz w:val="24"/>
                <w:szCs w:val="24"/>
                <w:highlight w:val="none"/>
                <w:lang w:val="en-US" w:eastAsia="zh-CN" w:bidi="ar"/>
              </w:rPr>
              <w:t>9级；③</w:t>
            </w:r>
            <w:r>
              <w:rPr>
                <w:rFonts w:hint="eastAsia" w:ascii="宋体" w:hAnsi="宋体" w:eastAsia="宋体" w:cs="宋体"/>
                <w:b w:val="0"/>
                <w:bCs w:val="0"/>
                <w:color w:val="auto"/>
                <w:kern w:val="2"/>
                <w:sz w:val="24"/>
                <w:szCs w:val="24"/>
                <w:highlight w:val="none"/>
                <w:rtl w:val="0"/>
                <w:lang w:val="en-US" w:eastAsia="en-US" w:bidi="ar"/>
              </w:rPr>
              <w:t>铜加速乙酸盐雾</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kern w:val="2"/>
                <w:sz w:val="24"/>
                <w:szCs w:val="24"/>
                <w:highlight w:val="none"/>
                <w:rtl w:val="0"/>
                <w:lang w:val="en-US" w:eastAsia="en-US" w:bidi="ar"/>
              </w:rPr>
              <w:t>48h</w:t>
            </w:r>
            <w:r>
              <w:rPr>
                <w:rFonts w:hint="eastAsia" w:ascii="宋体" w:hAnsi="宋体" w:eastAsia="宋体" w:cs="宋体"/>
                <w:b w:val="0"/>
                <w:bCs w:val="0"/>
                <w:color w:val="auto"/>
                <w:kern w:val="2"/>
                <w:sz w:val="24"/>
                <w:szCs w:val="24"/>
                <w:highlight w:val="none"/>
                <w:rtl w:val="0"/>
                <w:lang w:val="en-US" w:eastAsia="zh-CN" w:bidi="ar"/>
              </w:rPr>
              <w:t>：外观评级</w:t>
            </w:r>
            <w:r>
              <w:rPr>
                <w:rFonts w:hint="eastAsia" w:ascii="宋体" w:hAnsi="宋体" w:eastAsia="宋体" w:cs="宋体"/>
                <w:b w:val="0"/>
                <w:bCs w:val="0"/>
                <w:color w:val="auto"/>
                <w:kern w:val="2"/>
                <w:sz w:val="24"/>
                <w:szCs w:val="24"/>
                <w:highlight w:val="none"/>
                <w:lang w:val="zh-CN" w:eastAsia="zh-CN" w:bidi="ar"/>
              </w:rPr>
              <w:t>≥</w:t>
            </w:r>
            <w:r>
              <w:rPr>
                <w:rFonts w:hint="eastAsia" w:ascii="宋体" w:hAnsi="宋体" w:eastAsia="宋体" w:cs="宋体"/>
                <w:b w:val="0"/>
                <w:bCs w:val="0"/>
                <w:color w:val="auto"/>
                <w:kern w:val="2"/>
                <w:sz w:val="24"/>
                <w:szCs w:val="24"/>
                <w:highlight w:val="none"/>
                <w:lang w:val="en-US" w:eastAsia="zh-CN" w:bidi="ar"/>
              </w:rPr>
              <w:t>9级，保护评级</w:t>
            </w:r>
            <w:r>
              <w:rPr>
                <w:rFonts w:hint="eastAsia" w:ascii="宋体" w:hAnsi="宋体" w:eastAsia="宋体" w:cs="宋体"/>
                <w:b w:val="0"/>
                <w:bCs w:val="0"/>
                <w:color w:val="auto"/>
                <w:kern w:val="2"/>
                <w:sz w:val="24"/>
                <w:szCs w:val="24"/>
                <w:highlight w:val="none"/>
                <w:lang w:val="zh-CN" w:eastAsia="zh-CN" w:bidi="ar"/>
              </w:rPr>
              <w:t>≥</w:t>
            </w:r>
            <w:r>
              <w:rPr>
                <w:rFonts w:hint="eastAsia" w:ascii="宋体" w:hAnsi="宋体" w:eastAsia="宋体" w:cs="宋体"/>
                <w:b w:val="0"/>
                <w:bCs w:val="0"/>
                <w:color w:val="auto"/>
                <w:kern w:val="2"/>
                <w:sz w:val="24"/>
                <w:szCs w:val="24"/>
                <w:highlight w:val="none"/>
                <w:lang w:val="en-US" w:eastAsia="zh-CN" w:bidi="ar"/>
              </w:rPr>
              <w:t>9级；④</w:t>
            </w:r>
            <w:r>
              <w:rPr>
                <w:rFonts w:hint="eastAsia" w:ascii="宋体" w:hAnsi="宋体" w:eastAsia="宋体" w:cs="宋体"/>
                <w:b w:val="0"/>
                <w:bCs w:val="0"/>
                <w:color w:val="auto"/>
                <w:sz w:val="24"/>
                <w:szCs w:val="24"/>
                <w:highlight w:val="none"/>
                <w:lang w:val="en-US" w:eastAsia="zh-CN"/>
              </w:rPr>
              <w:t>环境属性-产品有害物质：家具涂层可迁移元素的铅、镉、铬、汞、锑、钡、砷、硒检验结果均为未检出（≤0.03mg/kg）</w:t>
            </w:r>
            <w:r>
              <w:rPr>
                <w:rFonts w:hint="eastAsia" w:eastAsia="宋体" w:cs="宋体"/>
                <w:b w:val="0"/>
                <w:bCs w:val="0"/>
                <w:color w:val="auto"/>
                <w:sz w:val="24"/>
                <w:szCs w:val="24"/>
                <w:highlight w:val="none"/>
                <w:lang w:val="en-US" w:eastAsia="zh-CN"/>
              </w:rPr>
              <w:t>；</w:t>
            </w:r>
            <w:r>
              <w:rPr>
                <w:rFonts w:hint="eastAsia" w:ascii="宋体" w:hAnsi="宋体" w:eastAsia="宋体" w:cs="宋体"/>
                <w:b w:val="0"/>
                <w:bCs w:val="0"/>
                <w:color w:val="auto"/>
                <w:kern w:val="2"/>
                <w:sz w:val="24"/>
                <w:szCs w:val="24"/>
                <w:highlight w:val="none"/>
                <w:rtl w:val="0"/>
                <w:lang w:val="en-US" w:eastAsia="zh-CN" w:bidi="ar"/>
              </w:rPr>
              <w:t>⑤</w:t>
            </w:r>
            <w:r>
              <w:rPr>
                <w:rFonts w:hint="eastAsia" w:ascii="宋体" w:hAnsi="宋体" w:eastAsia="宋体" w:cs="宋体"/>
                <w:b w:val="0"/>
                <w:bCs w:val="0"/>
                <w:color w:val="auto"/>
                <w:kern w:val="2"/>
                <w:sz w:val="24"/>
                <w:szCs w:val="24"/>
                <w:highlight w:val="none"/>
                <w:rtl w:val="0"/>
                <w:lang w:val="en-US" w:eastAsia="en-US" w:bidi="ar"/>
              </w:rPr>
              <w:t>产品表面理化性能-金属喷漆(塑)涂层</w:t>
            </w:r>
            <w:r>
              <w:rPr>
                <w:rFonts w:hint="eastAsia" w:ascii="宋体" w:hAnsi="宋体" w:eastAsia="宋体" w:cs="宋体"/>
                <w:b w:val="0"/>
                <w:bCs w:val="0"/>
                <w:color w:val="auto"/>
                <w:kern w:val="2"/>
                <w:sz w:val="24"/>
                <w:szCs w:val="24"/>
                <w:highlight w:val="none"/>
                <w:rtl w:val="0"/>
                <w:lang w:val="en-US" w:eastAsia="zh-CN" w:bidi="ar"/>
              </w:rPr>
              <w:t>：</w:t>
            </w:r>
            <w:r>
              <w:rPr>
                <w:rFonts w:hint="eastAsia" w:ascii="宋体" w:hAnsi="宋体" w:eastAsia="宋体" w:cs="宋体"/>
                <w:b w:val="0"/>
                <w:bCs w:val="0"/>
                <w:color w:val="auto"/>
                <w:kern w:val="2"/>
                <w:sz w:val="24"/>
                <w:szCs w:val="24"/>
                <w:highlight w:val="none"/>
                <w:rtl w:val="0"/>
                <w:lang w:val="en-US" w:eastAsia="en-US" w:bidi="ar"/>
              </w:rPr>
              <w:t>耐盐浴</w:t>
            </w:r>
            <w:r>
              <w:rPr>
                <w:rFonts w:hint="eastAsia" w:ascii="宋体" w:hAnsi="宋体" w:eastAsia="宋体" w:cs="宋体"/>
                <w:b w:val="0"/>
                <w:bCs w:val="0"/>
                <w:color w:val="auto"/>
                <w:kern w:val="2"/>
                <w:sz w:val="24"/>
                <w:szCs w:val="24"/>
                <w:highlight w:val="none"/>
                <w:rtl w:val="0"/>
                <w:lang w:val="en-US" w:eastAsia="zh-CN" w:bidi="ar"/>
              </w:rPr>
              <w:t>检测，</w:t>
            </w:r>
            <w:r>
              <w:rPr>
                <w:rFonts w:hint="eastAsia" w:ascii="宋体" w:hAnsi="宋体" w:eastAsia="宋体" w:cs="宋体"/>
                <w:b w:val="0"/>
                <w:bCs w:val="0"/>
                <w:color w:val="auto"/>
                <w:kern w:val="2"/>
                <w:sz w:val="24"/>
                <w:szCs w:val="24"/>
                <w:highlight w:val="none"/>
                <w:rtl w:val="0"/>
                <w:lang w:val="en-US" w:eastAsia="en-US" w:bidi="ar"/>
              </w:rPr>
              <w:t>划道两侧3mm外，应无鼓泡、锈蚀、剥落和起皱等现象</w:t>
            </w:r>
            <w:r>
              <w:rPr>
                <w:rFonts w:hint="eastAsia" w:ascii="宋体" w:hAnsi="宋体" w:eastAsia="宋体" w:cs="宋体"/>
                <w:b w:val="0"/>
                <w:bCs w:val="0"/>
                <w:color w:val="auto"/>
                <w:kern w:val="2"/>
                <w:sz w:val="24"/>
                <w:szCs w:val="24"/>
                <w:highlight w:val="none"/>
                <w:rtl w:val="0"/>
                <w:lang w:val="en-US" w:eastAsia="zh-CN" w:bidi="ar"/>
              </w:rPr>
              <w:t>；</w:t>
            </w:r>
            <w:r>
              <w:rPr>
                <w:rFonts w:hint="eastAsia" w:ascii="宋体" w:hAnsi="宋体" w:eastAsia="宋体" w:cs="宋体"/>
                <w:b w:val="0"/>
                <w:bCs w:val="0"/>
                <w:color w:val="auto"/>
                <w:kern w:val="2"/>
                <w:sz w:val="24"/>
                <w:szCs w:val="24"/>
                <w:highlight w:val="none"/>
                <w:lang w:val="en-US" w:eastAsia="zh-CN" w:bidi="ar"/>
              </w:rPr>
              <w:t>⑥化学成分：C≤0.22%、Mn≤1.4%、P≤0.045%、S≤0.050%、Si≤0.35%；⑦力学性能：抗拉强度370-500MPa，断后伸长率≥26%；⑧</w:t>
            </w:r>
            <w:r>
              <w:rPr>
                <w:rFonts w:hint="eastAsia" w:ascii="宋体" w:hAnsi="宋体" w:eastAsia="宋体" w:cs="宋体"/>
                <w:b w:val="0"/>
                <w:bCs w:val="0"/>
                <w:color w:val="auto"/>
                <w:kern w:val="2"/>
                <w:sz w:val="24"/>
                <w:szCs w:val="24"/>
                <w:highlight w:val="none"/>
                <w:rtl w:val="0"/>
                <w:lang w:val="en-US" w:eastAsia="en-US" w:bidi="ar"/>
              </w:rPr>
              <w:t>涂层耐久性</w:t>
            </w:r>
            <w:r>
              <w:rPr>
                <w:rFonts w:hint="eastAsia" w:ascii="宋体" w:hAnsi="宋体" w:eastAsia="宋体" w:cs="宋体"/>
                <w:b w:val="0"/>
                <w:bCs w:val="0"/>
                <w:color w:val="auto"/>
                <w:kern w:val="2"/>
                <w:sz w:val="24"/>
                <w:szCs w:val="24"/>
                <w:highlight w:val="none"/>
                <w:rtl w:val="0"/>
                <w:lang w:val="en-US" w:eastAsia="zh-CN" w:bidi="ar"/>
              </w:rPr>
              <w:t>检测：</w:t>
            </w:r>
            <w:r>
              <w:rPr>
                <w:rFonts w:hint="eastAsia" w:ascii="宋体" w:hAnsi="宋体" w:eastAsia="宋体" w:cs="宋体"/>
                <w:b w:val="0"/>
                <w:bCs w:val="0"/>
                <w:color w:val="auto"/>
                <w:kern w:val="2"/>
                <w:sz w:val="24"/>
                <w:szCs w:val="24"/>
                <w:highlight w:val="none"/>
                <w:rtl w:val="0"/>
                <w:lang w:val="en-US" w:eastAsia="en-US" w:bidi="ar"/>
              </w:rPr>
              <w:t>经</w:t>
            </w:r>
            <w:r>
              <w:rPr>
                <w:rFonts w:hint="eastAsia" w:ascii="宋体" w:hAnsi="宋体" w:eastAsia="宋体" w:cs="宋体"/>
                <w:b w:val="0"/>
                <w:bCs w:val="0"/>
                <w:color w:val="auto"/>
                <w:kern w:val="2"/>
                <w:sz w:val="24"/>
                <w:szCs w:val="24"/>
                <w:highlight w:val="none"/>
                <w:rtl w:val="0"/>
                <w:lang w:val="en-US" w:eastAsia="zh-CN" w:bidi="ar"/>
              </w:rPr>
              <w:t>不少于</w:t>
            </w:r>
            <w:r>
              <w:rPr>
                <w:rFonts w:hint="eastAsia" w:ascii="宋体" w:hAnsi="宋体" w:eastAsia="宋体" w:cs="宋体"/>
                <w:b w:val="0"/>
                <w:bCs w:val="0"/>
                <w:color w:val="auto"/>
                <w:kern w:val="2"/>
                <w:sz w:val="24"/>
                <w:szCs w:val="24"/>
                <w:highlight w:val="none"/>
                <w:rtl w:val="0"/>
                <w:lang w:val="en-US" w:eastAsia="en-US" w:bidi="ar"/>
              </w:rPr>
              <w:t>2个耐久性循环试验后无开裂，无起泡、无剥落现象</w:t>
            </w:r>
            <w:r>
              <w:rPr>
                <w:rFonts w:hint="eastAsia" w:ascii="宋体" w:hAnsi="宋体" w:eastAsia="宋体" w:cs="宋体"/>
                <w:b w:val="0"/>
                <w:bCs w:val="0"/>
                <w:color w:val="auto"/>
                <w:kern w:val="2"/>
                <w:sz w:val="24"/>
                <w:szCs w:val="24"/>
                <w:highlight w:val="none"/>
                <w:rtl w:val="0"/>
                <w:lang w:val="en-US" w:eastAsia="zh-CN" w:bidi="ar"/>
              </w:rPr>
              <w:t>。</w:t>
            </w:r>
            <w:r>
              <w:rPr>
                <w:rFonts w:hint="eastAsia" w:ascii="宋体" w:hAnsi="宋体" w:eastAsia="宋体" w:cs="宋体"/>
                <w:b w:val="0"/>
                <w:bCs w:val="0"/>
                <w:color w:val="auto"/>
                <w:kern w:val="2"/>
                <w:sz w:val="24"/>
                <w:szCs w:val="24"/>
                <w:highlight w:val="none"/>
                <w:lang w:val="en-US" w:eastAsia="zh-CN" w:bidi="ar"/>
              </w:rPr>
              <w:t>检测依据必须符合：QB/T3832-1999、QB/T3826-1999、QB/T3827-1999、GB/T10125-2021、GB/T3274-2017、JC/T2484-2018、</w:t>
            </w:r>
            <w:r>
              <w:rPr>
                <w:rFonts w:hint="eastAsia" w:ascii="宋体" w:hAnsi="宋体" w:eastAsia="宋体" w:cs="宋体"/>
                <w:b w:val="0"/>
                <w:bCs w:val="0"/>
                <w:color w:val="auto"/>
                <w:sz w:val="24"/>
                <w:szCs w:val="24"/>
                <w:highlight w:val="none"/>
                <w:lang w:val="en-US" w:eastAsia="zh-CN"/>
              </w:rPr>
              <w:t>GB/T3325-2024</w:t>
            </w:r>
            <w:r>
              <w:rPr>
                <w:rFonts w:hint="eastAsia" w:ascii="宋体" w:hAnsi="宋体" w:eastAsia="宋体" w:cs="宋体"/>
                <w:b w:val="0"/>
                <w:bCs w:val="0"/>
                <w:color w:val="auto"/>
                <w:kern w:val="2"/>
                <w:sz w:val="24"/>
                <w:szCs w:val="24"/>
                <w:highlight w:val="none"/>
                <w:lang w:val="en-US" w:eastAsia="zh-CN" w:bidi="ar"/>
              </w:rPr>
              <w:t>等标准。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both"/>
              <w:textAlignment w:val="center"/>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en-US" w:eastAsia="zh-CN"/>
              </w:rPr>
              <w:t>2.4） 挡棒：</w:t>
            </w:r>
            <w:r>
              <w:rPr>
                <w:rFonts w:hint="eastAsia" w:ascii="宋体" w:hAnsi="宋体" w:eastAsia="宋体" w:cs="宋体"/>
                <w:b w:val="0"/>
                <w:bCs w:val="0"/>
                <w:color w:val="auto"/>
                <w:sz w:val="24"/>
                <w:szCs w:val="24"/>
                <w:highlight w:val="none"/>
                <w:lang w:val="zh-CN" w:eastAsia="zh-CN"/>
              </w:rPr>
              <w:t>采用</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lang w:val="zh-CN" w:eastAsia="zh-CN"/>
              </w:rPr>
              <w:t>mm厚冷轧钢板；</w:t>
            </w:r>
            <w:r>
              <w:rPr>
                <w:rFonts w:hint="eastAsia" w:ascii="宋体" w:hAnsi="宋体" w:eastAsia="宋体" w:cs="宋体"/>
                <w:b w:val="0"/>
                <w:bCs w:val="0"/>
                <w:color w:val="auto"/>
                <w:sz w:val="24"/>
                <w:szCs w:val="24"/>
                <w:highlight w:val="none"/>
                <w:lang w:val="en-US" w:eastAsia="zh-CN"/>
              </w:rPr>
              <w:t>两端带有防脱落挂钩与挂板连接稳固，</w:t>
            </w:r>
            <w:r>
              <w:rPr>
                <w:rFonts w:hint="eastAsia" w:ascii="宋体" w:hAnsi="宋体" w:eastAsia="宋体" w:cs="宋体"/>
                <w:b w:val="0"/>
                <w:bCs w:val="0"/>
                <w:color w:val="auto"/>
                <w:sz w:val="24"/>
                <w:szCs w:val="24"/>
                <w:highlight w:val="none"/>
                <w:lang w:val="zh-CN" w:eastAsia="zh-CN"/>
              </w:rPr>
              <w:t>成型尺寸14*18mm，</w:t>
            </w:r>
            <w:r>
              <w:rPr>
                <w:rFonts w:hint="eastAsia" w:ascii="宋体" w:hAnsi="宋体" w:eastAsia="宋体" w:cs="宋体"/>
                <w:b w:val="0"/>
                <w:bCs w:val="0"/>
                <w:color w:val="auto"/>
                <w:sz w:val="24"/>
                <w:szCs w:val="24"/>
                <w:highlight w:val="none"/>
                <w:lang w:val="en-US" w:eastAsia="zh-CN"/>
              </w:rPr>
              <w:t>U</w:t>
            </w:r>
            <w:r>
              <w:rPr>
                <w:rFonts w:hint="eastAsia" w:ascii="宋体" w:hAnsi="宋体" w:eastAsia="宋体" w:cs="宋体"/>
                <w:b w:val="0"/>
                <w:bCs w:val="0"/>
                <w:color w:val="auto"/>
                <w:sz w:val="24"/>
                <w:szCs w:val="24"/>
                <w:highlight w:val="none"/>
                <w:lang w:val="zh-CN" w:eastAsia="zh-CN"/>
              </w:rPr>
              <w:t>型状，两侧面各压一条筋，以增强其强度。</w:t>
            </w:r>
          </w:p>
          <w:p>
            <w:pPr>
              <w:pStyle w:val="14"/>
              <w:numPr>
                <w:ilvl w:val="0"/>
                <w:numId w:val="0"/>
              </w:numPr>
              <w:spacing w:line="360" w:lineRule="auto"/>
              <w:ind w:firstLine="480" w:firstLineChars="200"/>
              <w:jc w:val="left"/>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kern w:val="2"/>
                <w:sz w:val="24"/>
                <w:szCs w:val="24"/>
                <w:highlight w:val="none"/>
                <w:lang w:val="en-US" w:eastAsia="zh-CN" w:bidi="ar"/>
              </w:rPr>
              <w:t>质量要求满足</w:t>
            </w:r>
            <w:r>
              <w:rPr>
                <w:rFonts w:hint="eastAsia" w:ascii="宋体" w:hAnsi="宋体" w:eastAsia="宋体" w:cs="宋体"/>
                <w:i w:val="0"/>
                <w:iCs w:val="0"/>
                <w:color w:val="auto"/>
                <w:kern w:val="0"/>
                <w:sz w:val="24"/>
                <w:szCs w:val="24"/>
                <w:highlight w:val="none"/>
                <w:u w:val="none"/>
                <w:lang w:val="en-US" w:eastAsia="zh-CN" w:bidi="ar"/>
              </w:rPr>
              <w:t>：①漆膜厚度</w:t>
            </w:r>
            <w:r>
              <w:rPr>
                <w:rFonts w:hint="eastAsia" w:ascii="宋体" w:hAnsi="宋体" w:eastAsia="宋体" w:cs="宋体"/>
                <w:i w:val="0"/>
                <w:iCs w:val="0"/>
                <w:color w:val="auto"/>
                <w:kern w:val="0"/>
                <w:sz w:val="24"/>
                <w:szCs w:val="24"/>
                <w:highlight w:val="none"/>
                <w:u w:val="none"/>
                <w:rtl w:val="0"/>
                <w:lang w:val="zh-CN" w:eastAsia="en-US" w:bidi="ar"/>
              </w:rPr>
              <w:t>：≥60μm；</w:t>
            </w:r>
            <w:r>
              <w:rPr>
                <w:rFonts w:hint="eastAsia" w:ascii="宋体" w:hAnsi="宋体" w:eastAsia="宋体" w:cs="宋体"/>
                <w:i w:val="0"/>
                <w:iCs w:val="0"/>
                <w:color w:val="auto"/>
                <w:kern w:val="0"/>
                <w:sz w:val="24"/>
                <w:szCs w:val="24"/>
                <w:highlight w:val="none"/>
                <w:u w:val="none"/>
                <w:lang w:val="en-US" w:eastAsia="zh-CN" w:bidi="ar"/>
              </w:rPr>
              <w:t>②</w:t>
            </w:r>
            <w:r>
              <w:rPr>
                <w:rFonts w:hint="eastAsia" w:ascii="宋体" w:hAnsi="宋体" w:eastAsia="宋体" w:cs="宋体"/>
                <w:i w:val="0"/>
                <w:iCs w:val="0"/>
                <w:color w:val="auto"/>
                <w:kern w:val="0"/>
                <w:sz w:val="24"/>
                <w:szCs w:val="24"/>
                <w:highlight w:val="none"/>
                <w:u w:val="none"/>
                <w:rtl w:val="0"/>
                <w:lang w:val="zh-CN" w:eastAsia="en-US" w:bidi="ar"/>
              </w:rPr>
              <w:t>循环加速腐蚀试验：经循环加速腐蚀试验</w:t>
            </w:r>
            <w:r>
              <w:rPr>
                <w:rFonts w:hint="eastAsia" w:ascii="宋体" w:hAnsi="宋体" w:eastAsia="宋体" w:cs="宋体"/>
                <w:i w:val="0"/>
                <w:iCs w:val="0"/>
                <w:color w:val="auto"/>
                <w:kern w:val="0"/>
                <w:sz w:val="24"/>
                <w:szCs w:val="24"/>
                <w:highlight w:val="none"/>
                <w:u w:val="none"/>
                <w:rtl w:val="0"/>
                <w:lang w:val="en-US" w:eastAsia="zh-CN" w:bidi="ar"/>
              </w:rPr>
              <w:t>不少于</w:t>
            </w:r>
            <w:r>
              <w:rPr>
                <w:rFonts w:hint="eastAsia" w:ascii="宋体" w:hAnsi="宋体" w:eastAsia="宋体" w:cs="宋体"/>
                <w:i w:val="0"/>
                <w:iCs w:val="0"/>
                <w:color w:val="auto"/>
                <w:kern w:val="0"/>
                <w:sz w:val="24"/>
                <w:szCs w:val="24"/>
                <w:highlight w:val="none"/>
                <w:u w:val="none"/>
                <w:rtl w:val="0"/>
                <w:lang w:val="zh-CN" w:eastAsia="en-US" w:bidi="ar"/>
              </w:rPr>
              <w:t>60个循环，外观评级</w:t>
            </w:r>
            <w:r>
              <w:rPr>
                <w:rFonts w:hint="eastAsia" w:ascii="宋体" w:hAnsi="宋体" w:eastAsia="宋体" w:cs="宋体"/>
                <w:b w:val="0"/>
                <w:bCs w:val="0"/>
                <w:color w:val="auto"/>
                <w:kern w:val="2"/>
                <w:sz w:val="24"/>
                <w:szCs w:val="24"/>
                <w:highlight w:val="none"/>
                <w:rtl w:val="0"/>
                <w:lang w:val="zh-CN" w:eastAsia="en-US" w:bidi="ar-SA"/>
              </w:rPr>
              <w:t>Ra≥</w:t>
            </w:r>
            <w:r>
              <w:rPr>
                <w:rFonts w:hint="eastAsia" w:ascii="宋体" w:hAnsi="宋体" w:eastAsia="宋体" w:cs="宋体"/>
                <w:b w:val="0"/>
                <w:bCs w:val="0"/>
                <w:color w:val="auto"/>
                <w:kern w:val="2"/>
                <w:sz w:val="24"/>
                <w:szCs w:val="24"/>
                <w:highlight w:val="none"/>
                <w:rtl w:val="0"/>
                <w:lang w:val="en-US" w:eastAsia="zh-CN" w:bidi="ar-SA"/>
              </w:rPr>
              <w:t>9</w:t>
            </w:r>
            <w:r>
              <w:rPr>
                <w:rFonts w:hint="eastAsia" w:ascii="宋体" w:hAnsi="宋体" w:eastAsia="宋体" w:cs="宋体"/>
                <w:b w:val="0"/>
                <w:bCs w:val="0"/>
                <w:color w:val="auto"/>
                <w:kern w:val="2"/>
                <w:sz w:val="24"/>
                <w:szCs w:val="24"/>
                <w:highlight w:val="none"/>
                <w:rtl w:val="0"/>
                <w:lang w:val="zh-CN" w:eastAsia="en-US" w:bidi="ar-SA"/>
              </w:rPr>
              <w:t>级，保护评级Rp≥</w:t>
            </w:r>
            <w:r>
              <w:rPr>
                <w:rFonts w:hint="eastAsia" w:ascii="宋体" w:hAnsi="宋体" w:eastAsia="宋体" w:cs="宋体"/>
                <w:b w:val="0"/>
                <w:bCs w:val="0"/>
                <w:color w:val="auto"/>
                <w:kern w:val="2"/>
                <w:sz w:val="24"/>
                <w:szCs w:val="24"/>
                <w:highlight w:val="none"/>
                <w:rtl w:val="0"/>
                <w:lang w:val="en-US" w:eastAsia="zh-CN" w:bidi="ar-SA"/>
              </w:rPr>
              <w:t>9</w:t>
            </w:r>
            <w:r>
              <w:rPr>
                <w:rFonts w:hint="eastAsia" w:ascii="宋体" w:hAnsi="宋体" w:eastAsia="宋体" w:cs="宋体"/>
                <w:b w:val="0"/>
                <w:bCs w:val="0"/>
                <w:color w:val="auto"/>
                <w:kern w:val="2"/>
                <w:sz w:val="24"/>
                <w:szCs w:val="24"/>
                <w:highlight w:val="none"/>
                <w:rtl w:val="0"/>
                <w:lang w:val="zh-CN" w:eastAsia="en-US" w:bidi="ar-SA"/>
              </w:rPr>
              <w:t>级；</w:t>
            </w:r>
            <w:r>
              <w:rPr>
                <w:rFonts w:hint="eastAsia" w:ascii="宋体" w:hAnsi="宋体" w:eastAsia="宋体" w:cs="宋体"/>
                <w:i w:val="0"/>
                <w:iCs w:val="0"/>
                <w:caps w:val="0"/>
                <w:color w:val="auto"/>
                <w:spacing w:val="0"/>
                <w:sz w:val="24"/>
                <w:szCs w:val="24"/>
                <w:highlight w:val="none"/>
                <w:shd w:val="clear" w:fill="FFFFFF"/>
              </w:rPr>
              <w:t>③</w:t>
            </w:r>
            <w:r>
              <w:rPr>
                <w:rFonts w:hint="eastAsia" w:ascii="宋体" w:hAnsi="宋体" w:eastAsia="宋体" w:cs="宋体"/>
                <w:b w:val="0"/>
                <w:bCs w:val="0"/>
                <w:color w:val="auto"/>
                <w:kern w:val="2"/>
                <w:sz w:val="24"/>
                <w:szCs w:val="24"/>
                <w:highlight w:val="none"/>
                <w:rtl w:val="0"/>
                <w:lang w:val="zh-CN" w:eastAsia="en-US" w:bidi="ar-SA"/>
              </w:rPr>
              <w:t>漏点：涂层无漏点；</w:t>
            </w:r>
            <w:r>
              <w:rPr>
                <w:rFonts w:hint="eastAsia" w:ascii="宋体" w:hAnsi="宋体" w:eastAsia="宋体" w:cs="宋体"/>
                <w:i w:val="0"/>
                <w:iCs w:val="0"/>
                <w:caps w:val="0"/>
                <w:color w:val="auto"/>
                <w:spacing w:val="0"/>
                <w:sz w:val="24"/>
                <w:szCs w:val="24"/>
                <w:highlight w:val="none"/>
                <w:shd w:val="clear" w:fill="FFFFFF"/>
              </w:rPr>
              <w:t>④</w:t>
            </w:r>
            <w:r>
              <w:rPr>
                <w:rFonts w:hint="eastAsia" w:ascii="宋体" w:hAnsi="宋体" w:eastAsia="宋体" w:cs="宋体"/>
                <w:b w:val="0"/>
                <w:bCs w:val="0"/>
                <w:color w:val="auto"/>
                <w:kern w:val="2"/>
                <w:sz w:val="24"/>
                <w:szCs w:val="24"/>
                <w:highlight w:val="none"/>
                <w:rtl w:val="0"/>
                <w:lang w:val="zh-CN" w:eastAsia="en-US" w:bidi="ar-SA"/>
              </w:rPr>
              <w:t>化学成分：C≤0.</w:t>
            </w:r>
            <w:r>
              <w:rPr>
                <w:rFonts w:hint="eastAsia" w:ascii="宋体" w:hAnsi="宋体" w:eastAsia="宋体" w:cs="宋体"/>
                <w:b w:val="0"/>
                <w:bCs w:val="0"/>
                <w:color w:val="auto"/>
                <w:kern w:val="2"/>
                <w:sz w:val="24"/>
                <w:szCs w:val="24"/>
                <w:highlight w:val="none"/>
                <w:rtl w:val="0"/>
                <w:lang w:val="en-US" w:eastAsia="zh-CN" w:bidi="ar-SA"/>
              </w:rPr>
              <w:t>12%</w:t>
            </w:r>
            <w:r>
              <w:rPr>
                <w:rFonts w:hint="eastAsia" w:ascii="宋体" w:hAnsi="宋体" w:eastAsia="宋体" w:cs="宋体"/>
                <w:b w:val="0"/>
                <w:bCs w:val="0"/>
                <w:color w:val="auto"/>
                <w:kern w:val="2"/>
                <w:sz w:val="24"/>
                <w:szCs w:val="24"/>
                <w:highlight w:val="none"/>
                <w:rtl w:val="0"/>
                <w:lang w:val="zh-CN" w:eastAsia="en-US" w:bidi="ar-SA"/>
              </w:rPr>
              <w:t>、Mn≤</w:t>
            </w:r>
            <w:r>
              <w:rPr>
                <w:rFonts w:hint="eastAsia" w:ascii="宋体" w:hAnsi="宋体" w:eastAsia="宋体" w:cs="宋体"/>
                <w:b w:val="0"/>
                <w:bCs w:val="0"/>
                <w:color w:val="auto"/>
                <w:kern w:val="2"/>
                <w:sz w:val="24"/>
                <w:szCs w:val="24"/>
                <w:highlight w:val="none"/>
                <w:rtl w:val="0"/>
                <w:lang w:val="en-US" w:eastAsia="zh-CN" w:bidi="ar-SA"/>
              </w:rPr>
              <w:t>0.60%</w:t>
            </w:r>
            <w:r>
              <w:rPr>
                <w:rFonts w:hint="eastAsia" w:ascii="宋体" w:hAnsi="宋体" w:eastAsia="宋体" w:cs="宋体"/>
                <w:b w:val="0"/>
                <w:bCs w:val="0"/>
                <w:color w:val="auto"/>
                <w:kern w:val="2"/>
                <w:sz w:val="24"/>
                <w:szCs w:val="24"/>
                <w:highlight w:val="none"/>
                <w:rtl w:val="0"/>
                <w:lang w:val="zh-CN" w:eastAsia="en-US" w:bidi="ar-SA"/>
              </w:rPr>
              <w:t>、P≤</w:t>
            </w:r>
            <w:r>
              <w:rPr>
                <w:rFonts w:hint="eastAsia" w:ascii="宋体" w:hAnsi="宋体" w:eastAsia="宋体" w:cs="宋体"/>
                <w:b w:val="0"/>
                <w:bCs w:val="0"/>
                <w:color w:val="auto"/>
                <w:kern w:val="2"/>
                <w:sz w:val="24"/>
                <w:szCs w:val="24"/>
                <w:highlight w:val="none"/>
                <w:rtl w:val="0"/>
                <w:lang w:val="en-US" w:eastAsia="zh-CN" w:bidi="ar-SA"/>
              </w:rPr>
              <w:t>0.030%</w:t>
            </w:r>
            <w:r>
              <w:rPr>
                <w:rFonts w:hint="eastAsia" w:ascii="宋体" w:hAnsi="宋体" w:eastAsia="宋体" w:cs="宋体"/>
                <w:b w:val="0"/>
                <w:bCs w:val="0"/>
                <w:color w:val="auto"/>
                <w:kern w:val="2"/>
                <w:sz w:val="24"/>
                <w:szCs w:val="24"/>
                <w:highlight w:val="none"/>
                <w:rtl w:val="0"/>
                <w:lang w:val="zh-CN" w:eastAsia="en-US" w:bidi="ar-SA"/>
              </w:rPr>
              <w:t>、S≤0.0</w:t>
            </w:r>
            <w:r>
              <w:rPr>
                <w:rFonts w:hint="eastAsia" w:ascii="宋体" w:hAnsi="宋体" w:eastAsia="宋体" w:cs="宋体"/>
                <w:b w:val="0"/>
                <w:bCs w:val="0"/>
                <w:color w:val="auto"/>
                <w:kern w:val="2"/>
                <w:sz w:val="24"/>
                <w:szCs w:val="24"/>
                <w:highlight w:val="none"/>
                <w:rtl w:val="0"/>
                <w:lang w:val="en-US" w:eastAsia="zh-CN" w:bidi="ar-SA"/>
              </w:rPr>
              <w:t>30%、Alt≥0.020%；</w:t>
            </w:r>
            <w:r>
              <w:rPr>
                <w:rFonts w:hint="eastAsia" w:ascii="宋体" w:hAnsi="宋体" w:eastAsia="宋体" w:cs="宋体"/>
                <w:i w:val="0"/>
                <w:iCs w:val="0"/>
                <w:caps w:val="0"/>
                <w:color w:val="auto"/>
                <w:spacing w:val="0"/>
                <w:sz w:val="24"/>
                <w:szCs w:val="24"/>
                <w:highlight w:val="none"/>
                <w:shd w:val="clear" w:fill="FFFFFF"/>
              </w:rPr>
              <w:t>⑤</w:t>
            </w:r>
            <w:r>
              <w:rPr>
                <w:rFonts w:hint="eastAsia" w:ascii="宋体" w:hAnsi="宋体" w:eastAsia="宋体" w:cs="宋体"/>
                <w:b w:val="0"/>
                <w:bCs w:val="0"/>
                <w:color w:val="auto"/>
                <w:kern w:val="2"/>
                <w:sz w:val="24"/>
                <w:szCs w:val="24"/>
                <w:highlight w:val="none"/>
                <w:rtl w:val="0"/>
                <w:lang w:val="zh-CN" w:eastAsia="en-US" w:bidi="ar-SA"/>
              </w:rPr>
              <w:t>力学性能：抗拉强度</w:t>
            </w:r>
            <w:r>
              <w:rPr>
                <w:rFonts w:hint="eastAsia" w:ascii="宋体" w:hAnsi="宋体" w:eastAsia="宋体" w:cs="宋体"/>
                <w:b w:val="0"/>
                <w:bCs w:val="0"/>
                <w:color w:val="auto"/>
                <w:kern w:val="2"/>
                <w:sz w:val="24"/>
                <w:szCs w:val="24"/>
                <w:highlight w:val="none"/>
                <w:rtl w:val="0"/>
                <w:lang w:val="en-US" w:eastAsia="zh-CN" w:bidi="ar-SA"/>
              </w:rPr>
              <w:t>270-410Mpa</w:t>
            </w:r>
            <w:r>
              <w:rPr>
                <w:rFonts w:hint="eastAsia" w:ascii="宋体" w:hAnsi="宋体" w:eastAsia="宋体" w:cs="宋体"/>
                <w:b w:val="0"/>
                <w:bCs w:val="0"/>
                <w:color w:val="auto"/>
                <w:kern w:val="2"/>
                <w:sz w:val="24"/>
                <w:szCs w:val="24"/>
                <w:highlight w:val="none"/>
                <w:rtl w:val="0"/>
                <w:lang w:val="zh-CN" w:eastAsia="en-US" w:bidi="ar-SA"/>
              </w:rPr>
              <w:t>，</w:t>
            </w:r>
            <w:r>
              <w:rPr>
                <w:rFonts w:hint="eastAsia" w:ascii="宋体" w:hAnsi="宋体" w:eastAsia="宋体" w:cs="宋体"/>
                <w:b w:val="0"/>
                <w:bCs w:val="0"/>
                <w:color w:val="auto"/>
                <w:kern w:val="2"/>
                <w:sz w:val="24"/>
                <w:szCs w:val="24"/>
                <w:highlight w:val="none"/>
                <w:rtl w:val="0"/>
                <w:lang w:val="en-US" w:eastAsia="zh-CN" w:bidi="ar-SA"/>
              </w:rPr>
              <w:t>屈服强度≤280Mpa</w:t>
            </w:r>
            <w:r>
              <w:rPr>
                <w:rFonts w:hint="eastAsia" w:ascii="宋体" w:hAnsi="宋体" w:eastAsia="宋体" w:cs="宋体"/>
                <w:b w:val="0"/>
                <w:bCs w:val="0"/>
                <w:color w:val="auto"/>
                <w:kern w:val="2"/>
                <w:sz w:val="24"/>
                <w:szCs w:val="24"/>
                <w:highlight w:val="none"/>
                <w:rtl w:val="0"/>
                <w:lang w:val="zh-CN" w:eastAsia="en-US" w:bidi="ar-SA"/>
              </w:rPr>
              <w:t>，断后伸长率≥</w:t>
            </w:r>
            <w:r>
              <w:rPr>
                <w:rFonts w:hint="eastAsia" w:ascii="宋体" w:hAnsi="宋体" w:eastAsia="宋体" w:cs="宋体"/>
                <w:b w:val="0"/>
                <w:bCs w:val="0"/>
                <w:color w:val="auto"/>
                <w:kern w:val="2"/>
                <w:sz w:val="24"/>
                <w:szCs w:val="24"/>
                <w:highlight w:val="none"/>
                <w:rtl w:val="0"/>
                <w:lang w:val="en-US" w:eastAsia="zh-CN" w:bidi="ar-SA"/>
              </w:rPr>
              <w:t>28</w:t>
            </w:r>
            <w:r>
              <w:rPr>
                <w:rFonts w:hint="eastAsia" w:ascii="宋体" w:hAnsi="宋体" w:eastAsia="宋体" w:cs="宋体"/>
                <w:b w:val="0"/>
                <w:bCs w:val="0"/>
                <w:color w:val="auto"/>
                <w:kern w:val="2"/>
                <w:sz w:val="24"/>
                <w:szCs w:val="24"/>
                <w:highlight w:val="none"/>
                <w:rtl w:val="0"/>
                <w:lang w:val="zh-CN" w:eastAsia="en-US" w:bidi="ar-SA"/>
              </w:rPr>
              <w:t>%；</w:t>
            </w:r>
            <w:r>
              <w:rPr>
                <w:rFonts w:hint="eastAsia" w:ascii="宋体" w:hAnsi="宋体" w:eastAsia="宋体" w:cs="宋体"/>
                <w:i w:val="0"/>
                <w:iCs w:val="0"/>
                <w:caps w:val="0"/>
                <w:color w:val="auto"/>
                <w:spacing w:val="0"/>
                <w:sz w:val="24"/>
                <w:szCs w:val="24"/>
                <w:highlight w:val="none"/>
                <w:shd w:val="clear" w:fill="FFFFFF"/>
              </w:rPr>
              <w:t>⑥</w:t>
            </w:r>
            <w:r>
              <w:rPr>
                <w:rFonts w:hint="eastAsia" w:ascii="宋体" w:hAnsi="宋体" w:eastAsia="宋体" w:cs="宋体"/>
                <w:b w:val="0"/>
                <w:bCs w:val="0"/>
                <w:color w:val="auto"/>
                <w:kern w:val="2"/>
                <w:sz w:val="24"/>
                <w:szCs w:val="24"/>
                <w:highlight w:val="none"/>
                <w:rtl w:val="0"/>
                <w:lang w:val="zh-CN" w:eastAsia="en-US" w:bidi="ar-SA"/>
              </w:rPr>
              <w:t>耐霉菌性（黑曲霉）：</w:t>
            </w:r>
            <w:r>
              <w:rPr>
                <w:rFonts w:hint="eastAsia" w:ascii="宋体" w:hAnsi="宋体" w:eastAsia="宋体" w:cs="宋体"/>
                <w:b w:val="0"/>
                <w:bCs w:val="0"/>
                <w:color w:val="auto"/>
                <w:kern w:val="2"/>
                <w:sz w:val="24"/>
                <w:szCs w:val="24"/>
                <w:highlight w:val="none"/>
                <w:rtl w:val="0"/>
                <w:lang w:val="en-US" w:eastAsia="zh-CN" w:bidi="ar-SA"/>
              </w:rPr>
              <w:t>等级≥1</w:t>
            </w:r>
            <w:r>
              <w:rPr>
                <w:rFonts w:hint="eastAsia" w:ascii="宋体" w:hAnsi="宋体" w:eastAsia="宋体" w:cs="宋体"/>
                <w:b w:val="0"/>
                <w:bCs w:val="0"/>
                <w:color w:val="auto"/>
                <w:kern w:val="2"/>
                <w:sz w:val="24"/>
                <w:szCs w:val="24"/>
                <w:highlight w:val="none"/>
                <w:rtl w:val="0"/>
                <w:lang w:val="zh-CN" w:eastAsia="en-US" w:bidi="ar-SA"/>
              </w:rPr>
              <w:t>级。检测依据符合：GB/T</w:t>
            </w:r>
            <w:r>
              <w:rPr>
                <w:rFonts w:hint="eastAsia" w:ascii="宋体" w:hAnsi="宋体" w:eastAsia="宋体" w:cs="宋体"/>
                <w:b w:val="0"/>
                <w:bCs w:val="0"/>
                <w:color w:val="auto"/>
                <w:kern w:val="2"/>
                <w:sz w:val="24"/>
                <w:szCs w:val="24"/>
                <w:highlight w:val="none"/>
                <w:rtl w:val="0"/>
                <w:lang w:val="en-US" w:eastAsia="zh-CN" w:bidi="ar-SA"/>
              </w:rPr>
              <w:t xml:space="preserve"> </w:t>
            </w:r>
            <w:r>
              <w:rPr>
                <w:rFonts w:hint="eastAsia" w:ascii="宋体" w:hAnsi="宋体" w:eastAsia="宋体" w:cs="宋体"/>
                <w:b w:val="0"/>
                <w:bCs w:val="0"/>
                <w:color w:val="auto"/>
                <w:kern w:val="2"/>
                <w:sz w:val="24"/>
                <w:szCs w:val="24"/>
                <w:highlight w:val="none"/>
                <w:rtl w:val="0"/>
                <w:lang w:val="zh-CN" w:eastAsia="en-US" w:bidi="ar-SA"/>
              </w:rPr>
              <w:t>4893.5-2013、GB/T</w:t>
            </w:r>
            <w:r>
              <w:rPr>
                <w:rFonts w:hint="eastAsia" w:ascii="宋体" w:hAnsi="宋体" w:eastAsia="宋体" w:cs="宋体"/>
                <w:b w:val="0"/>
                <w:bCs w:val="0"/>
                <w:color w:val="auto"/>
                <w:kern w:val="2"/>
                <w:sz w:val="24"/>
                <w:szCs w:val="24"/>
                <w:highlight w:val="none"/>
                <w:rtl w:val="0"/>
                <w:lang w:val="en-US" w:eastAsia="zh-CN" w:bidi="ar-SA"/>
              </w:rPr>
              <w:t xml:space="preserve"> </w:t>
            </w:r>
            <w:r>
              <w:rPr>
                <w:rFonts w:hint="eastAsia" w:ascii="宋体" w:hAnsi="宋体" w:eastAsia="宋体" w:cs="宋体"/>
                <w:b w:val="0"/>
                <w:bCs w:val="0"/>
                <w:color w:val="auto"/>
                <w:kern w:val="2"/>
                <w:sz w:val="24"/>
                <w:szCs w:val="24"/>
                <w:highlight w:val="none"/>
                <w:rtl w:val="0"/>
                <w:lang w:val="zh-CN" w:eastAsia="en-US" w:bidi="ar-SA"/>
              </w:rPr>
              <w:t>24195-2009、GB/T</w:t>
            </w:r>
            <w:r>
              <w:rPr>
                <w:rFonts w:hint="eastAsia" w:ascii="宋体" w:hAnsi="宋体" w:eastAsia="宋体" w:cs="宋体"/>
                <w:b w:val="0"/>
                <w:bCs w:val="0"/>
                <w:color w:val="auto"/>
                <w:kern w:val="2"/>
                <w:sz w:val="24"/>
                <w:szCs w:val="24"/>
                <w:highlight w:val="none"/>
                <w:rtl w:val="0"/>
                <w:lang w:val="en-US" w:eastAsia="zh-CN" w:bidi="ar-SA"/>
              </w:rPr>
              <w:t xml:space="preserve"> 6461-2002、</w:t>
            </w:r>
            <w:r>
              <w:rPr>
                <w:rFonts w:hint="eastAsia" w:ascii="宋体" w:hAnsi="宋体" w:eastAsia="宋体" w:cs="宋体"/>
                <w:b w:val="0"/>
                <w:bCs w:val="0"/>
                <w:color w:val="auto"/>
                <w:kern w:val="2"/>
                <w:sz w:val="24"/>
                <w:szCs w:val="24"/>
                <w:highlight w:val="none"/>
                <w:rtl w:val="0"/>
                <w:lang w:val="zh-CN" w:eastAsia="en-US" w:bidi="ar-SA"/>
              </w:rPr>
              <w:t>GB/T 50393-2017、GB/T</w:t>
            </w:r>
            <w:r>
              <w:rPr>
                <w:rFonts w:hint="eastAsia" w:ascii="宋体" w:hAnsi="宋体" w:eastAsia="宋体" w:cs="宋体"/>
                <w:b w:val="0"/>
                <w:bCs w:val="0"/>
                <w:color w:val="auto"/>
                <w:kern w:val="2"/>
                <w:sz w:val="24"/>
                <w:szCs w:val="24"/>
                <w:highlight w:val="none"/>
                <w:rtl w:val="0"/>
                <w:lang w:val="en-US" w:eastAsia="zh-CN" w:bidi="ar-SA"/>
              </w:rPr>
              <w:t xml:space="preserve"> 5213-2019、</w:t>
            </w:r>
            <w:r>
              <w:rPr>
                <w:rFonts w:hint="eastAsia" w:ascii="宋体" w:hAnsi="宋体" w:eastAsia="宋体" w:cs="宋体"/>
                <w:b w:val="0"/>
                <w:bCs w:val="0"/>
                <w:color w:val="auto"/>
                <w:kern w:val="2"/>
                <w:sz w:val="24"/>
                <w:szCs w:val="24"/>
                <w:highlight w:val="none"/>
                <w:rtl w:val="0"/>
                <w:lang w:val="zh-CN" w:eastAsia="en-US" w:bidi="ar-SA"/>
              </w:rPr>
              <w:t>GB/T</w:t>
            </w:r>
            <w:r>
              <w:rPr>
                <w:rFonts w:hint="eastAsia" w:ascii="宋体" w:hAnsi="宋体" w:eastAsia="宋体" w:cs="宋体"/>
                <w:b w:val="0"/>
                <w:bCs w:val="0"/>
                <w:color w:val="auto"/>
                <w:kern w:val="2"/>
                <w:sz w:val="24"/>
                <w:szCs w:val="24"/>
                <w:highlight w:val="none"/>
                <w:rtl w:val="0"/>
                <w:lang w:val="en-US" w:eastAsia="zh-CN" w:bidi="ar-SA"/>
              </w:rPr>
              <w:t xml:space="preserve"> 4336-2016、</w:t>
            </w:r>
            <w:r>
              <w:rPr>
                <w:rFonts w:hint="eastAsia" w:ascii="宋体" w:hAnsi="宋体" w:eastAsia="宋体" w:cs="宋体"/>
                <w:b w:val="0"/>
                <w:bCs w:val="0"/>
                <w:color w:val="auto"/>
                <w:kern w:val="2"/>
                <w:sz w:val="24"/>
                <w:szCs w:val="24"/>
                <w:highlight w:val="none"/>
                <w:rtl w:val="0"/>
                <w:lang w:val="zh-CN" w:eastAsia="en-US" w:bidi="ar-SA"/>
              </w:rPr>
              <w:t>GB</w:t>
            </w:r>
            <w:r>
              <w:rPr>
                <w:rFonts w:hint="eastAsia" w:ascii="宋体" w:hAnsi="宋体" w:eastAsia="宋体" w:cs="宋体"/>
                <w:b w:val="0"/>
                <w:bCs w:val="0"/>
                <w:color w:val="auto"/>
                <w:kern w:val="2"/>
                <w:sz w:val="24"/>
                <w:szCs w:val="24"/>
                <w:highlight w:val="none"/>
                <w:rtl w:val="0"/>
                <w:lang w:val="en-US" w:eastAsia="zh-CN" w:bidi="ar-SA"/>
              </w:rPr>
              <w:t xml:space="preserve">/T </w:t>
            </w:r>
            <w:r>
              <w:rPr>
                <w:rFonts w:hint="eastAsia" w:ascii="宋体" w:hAnsi="宋体" w:eastAsia="宋体" w:cs="宋体"/>
                <w:b w:val="0"/>
                <w:bCs w:val="0"/>
                <w:color w:val="auto"/>
                <w:kern w:val="2"/>
                <w:sz w:val="24"/>
                <w:szCs w:val="24"/>
                <w:highlight w:val="none"/>
                <w:rtl w:val="0"/>
                <w:lang w:val="zh-CN" w:eastAsia="en-US" w:bidi="ar-SA"/>
              </w:rPr>
              <w:t>228.1-2021、GB/T</w:t>
            </w:r>
            <w:r>
              <w:rPr>
                <w:rFonts w:hint="eastAsia" w:ascii="宋体" w:hAnsi="宋体" w:eastAsia="宋体" w:cs="宋体"/>
                <w:b w:val="0"/>
                <w:bCs w:val="0"/>
                <w:color w:val="auto"/>
                <w:kern w:val="2"/>
                <w:sz w:val="24"/>
                <w:szCs w:val="24"/>
                <w:highlight w:val="none"/>
                <w:rtl w:val="0"/>
                <w:lang w:val="en-US" w:eastAsia="zh-CN" w:bidi="ar-SA"/>
              </w:rPr>
              <w:t xml:space="preserve"> 1741-2020等</w:t>
            </w:r>
            <w:r>
              <w:rPr>
                <w:rFonts w:hint="eastAsia" w:ascii="宋体" w:hAnsi="宋体" w:eastAsia="宋体" w:cs="宋体"/>
                <w:b w:val="0"/>
                <w:bCs w:val="0"/>
                <w:color w:val="auto"/>
                <w:kern w:val="2"/>
                <w:sz w:val="24"/>
                <w:szCs w:val="24"/>
                <w:highlight w:val="none"/>
                <w:rtl w:val="0"/>
                <w:lang w:val="zh-CN" w:eastAsia="en-US" w:bidi="ar-SA"/>
              </w:rPr>
              <w:t>标准。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侧板：</w:t>
            </w:r>
            <w:r>
              <w:rPr>
                <w:rFonts w:hint="eastAsia" w:ascii="宋体" w:hAnsi="宋体" w:eastAsia="宋体" w:cs="宋体"/>
                <w:b w:val="0"/>
                <w:bCs w:val="0"/>
                <w:color w:val="auto"/>
                <w:sz w:val="24"/>
                <w:szCs w:val="24"/>
                <w:highlight w:val="none"/>
                <w:lang w:val="zh-CN" w:eastAsia="zh-CN"/>
              </w:rPr>
              <w:t>采用</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lang w:val="zh-CN" w:eastAsia="zh-CN"/>
              </w:rPr>
              <w:t>mm厚冷轧钢板；</w:t>
            </w:r>
            <w:r>
              <w:rPr>
                <w:rFonts w:hint="eastAsia" w:ascii="宋体" w:hAnsi="宋体" w:eastAsia="宋体" w:cs="宋体"/>
                <w:b w:val="0"/>
                <w:bCs w:val="0"/>
                <w:color w:val="auto"/>
                <w:sz w:val="24"/>
                <w:szCs w:val="24"/>
                <w:highlight w:val="none"/>
              </w:rPr>
              <w:t>上中下三节拼装款式；颜色双色搭配。列与列侧面板之间配备磁性密封条，起抗震缓冲、密封功能，每列架体合拢后密封良好无缝隙。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2.6） 目录槽：采用</w:t>
            </w:r>
            <w:r>
              <w:rPr>
                <w:rFonts w:hint="eastAsia" w:ascii="宋体" w:hAnsi="宋体" w:eastAsia="宋体" w:cs="宋体"/>
                <w:color w:val="auto"/>
                <w:kern w:val="0"/>
                <w:sz w:val="24"/>
                <w:szCs w:val="24"/>
                <w:highlight w:val="none"/>
                <w:lang w:val="en-US" w:eastAsia="zh-CN"/>
              </w:rPr>
              <w:t>≥2.0mm</w:t>
            </w:r>
            <w:r>
              <w:rPr>
                <w:rFonts w:hint="eastAsia" w:ascii="宋体" w:hAnsi="宋体" w:eastAsia="宋体" w:cs="宋体"/>
                <w:b w:val="0"/>
                <w:bCs w:val="0"/>
                <w:color w:val="auto"/>
                <w:sz w:val="24"/>
                <w:szCs w:val="24"/>
                <w:highlight w:val="none"/>
                <w:lang w:val="en-US" w:eastAsia="zh-CN"/>
              </w:rPr>
              <w:t>ABS材质</w:t>
            </w:r>
            <w:r>
              <w:rPr>
                <w:rFonts w:hint="eastAsia" w:ascii="宋体" w:hAnsi="宋体" w:eastAsia="宋体" w:cs="宋体"/>
                <w:b w:val="0"/>
                <w:bCs w:val="0"/>
                <w:color w:val="auto"/>
                <w:sz w:val="24"/>
                <w:szCs w:val="24"/>
                <w:highlight w:val="none"/>
                <w:lang w:val="zh-CN" w:eastAsia="zh-CN"/>
              </w:rPr>
              <w:t>，目录槽尺寸不小于140*80mm，模具一次性冲压成型，扣入式安装于侧板上方，不用铆钉、磁铁或其他螺钉固定，便捷安装和拆装。</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both"/>
              <w:textAlignment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2.</w:t>
            </w: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b w:val="0"/>
                <w:bCs w:val="0"/>
                <w:color w:val="auto"/>
                <w:sz w:val="24"/>
                <w:szCs w:val="24"/>
                <w:highlight w:val="none"/>
              </w:rPr>
              <w:t xml:space="preserve"> 顶板：</w:t>
            </w:r>
            <w:r>
              <w:rPr>
                <w:rFonts w:hint="eastAsia" w:ascii="宋体" w:hAnsi="宋体" w:eastAsia="宋体" w:cs="宋体"/>
                <w:b w:val="0"/>
                <w:bCs w:val="0"/>
                <w:color w:val="auto"/>
                <w:sz w:val="24"/>
                <w:szCs w:val="24"/>
                <w:highlight w:val="none"/>
                <w:lang w:val="zh-CN" w:eastAsia="zh-CN"/>
              </w:rPr>
              <w:t>采用</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lang w:val="zh-CN" w:eastAsia="zh-CN"/>
              </w:rPr>
              <w:t>mm厚冷轧钢板；</w:t>
            </w:r>
            <w:r>
              <w:rPr>
                <w:rFonts w:hint="eastAsia" w:ascii="宋体" w:hAnsi="宋体" w:eastAsia="宋体" w:cs="宋体"/>
                <w:b w:val="0"/>
                <w:bCs w:val="0"/>
                <w:color w:val="auto"/>
                <w:sz w:val="24"/>
                <w:szCs w:val="24"/>
                <w:highlight w:val="none"/>
              </w:rPr>
              <w:t>表面平整并配置防</w:t>
            </w:r>
            <w:r>
              <w:rPr>
                <w:rFonts w:hint="eastAsia" w:ascii="宋体" w:hAnsi="宋体" w:eastAsia="宋体" w:cs="宋体"/>
                <w:b w:val="0"/>
                <w:bCs w:val="0"/>
                <w:color w:val="auto"/>
                <w:sz w:val="24"/>
                <w:szCs w:val="24"/>
                <w:highlight w:val="none"/>
                <w:lang w:val="en-US" w:eastAsia="zh-CN"/>
              </w:rPr>
              <w:t>尘板，相邻顶板间拼接紧密。</w:t>
            </w:r>
          </w:p>
          <w:p>
            <w:pPr>
              <w:keepNext w:val="0"/>
              <w:keepLines w:val="0"/>
              <w:widowControl/>
              <w:suppressLineNumbers w:val="0"/>
              <w:spacing w:line="360" w:lineRule="auto"/>
              <w:ind w:firstLine="480" w:firstLineChars="200"/>
              <w:jc w:val="left"/>
              <w:textAlignment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bidi="ar"/>
              </w:rPr>
              <w:t>质量要求满足：</w:t>
            </w:r>
            <w:r>
              <w:rPr>
                <w:rFonts w:hint="eastAsia" w:ascii="宋体" w:hAnsi="宋体" w:eastAsia="宋体" w:cs="宋体"/>
                <w:i w:val="0"/>
                <w:iCs w:val="0"/>
                <w:color w:val="auto"/>
                <w:kern w:val="0"/>
                <w:sz w:val="24"/>
                <w:szCs w:val="24"/>
                <w:highlight w:val="none"/>
                <w:u w:val="none"/>
                <w:lang w:val="en-US" w:eastAsia="zh-CN" w:bidi="ar"/>
              </w:rPr>
              <w:t>①漆膜厚度</w:t>
            </w:r>
            <w:r>
              <w:rPr>
                <w:rFonts w:hint="eastAsia" w:ascii="宋体" w:hAnsi="宋体" w:eastAsia="宋体" w:cs="宋体"/>
                <w:i w:val="0"/>
                <w:iCs w:val="0"/>
                <w:color w:val="auto"/>
                <w:kern w:val="0"/>
                <w:sz w:val="24"/>
                <w:szCs w:val="24"/>
                <w:highlight w:val="none"/>
                <w:u w:val="none"/>
                <w:rtl w:val="0"/>
                <w:lang w:val="zh-CN" w:eastAsia="en-US" w:bidi="ar"/>
              </w:rPr>
              <w:t>：≥60μm；</w:t>
            </w:r>
            <w:r>
              <w:rPr>
                <w:rFonts w:hint="eastAsia" w:ascii="宋体" w:hAnsi="宋体" w:eastAsia="宋体" w:cs="宋体"/>
                <w:i w:val="0"/>
                <w:iCs w:val="0"/>
                <w:color w:val="auto"/>
                <w:kern w:val="0"/>
                <w:sz w:val="24"/>
                <w:szCs w:val="24"/>
                <w:highlight w:val="none"/>
                <w:u w:val="none"/>
                <w:lang w:val="en-US" w:eastAsia="zh-CN" w:bidi="ar"/>
              </w:rPr>
              <w:t>②</w:t>
            </w:r>
            <w:r>
              <w:rPr>
                <w:rFonts w:hint="eastAsia" w:ascii="宋体" w:hAnsi="宋体" w:eastAsia="宋体" w:cs="宋体"/>
                <w:b w:val="0"/>
                <w:bCs w:val="0"/>
                <w:color w:val="auto"/>
                <w:kern w:val="2"/>
                <w:sz w:val="24"/>
                <w:szCs w:val="24"/>
                <w:highlight w:val="none"/>
                <w:rtl w:val="0"/>
                <w:lang w:val="zh-CN" w:eastAsia="en-US" w:bidi="ar-SA"/>
              </w:rPr>
              <w:t>循环加速腐蚀试验：经循环加速腐蚀试验</w:t>
            </w:r>
            <w:r>
              <w:rPr>
                <w:rFonts w:hint="eastAsia" w:ascii="宋体" w:hAnsi="宋体" w:eastAsia="宋体" w:cs="宋体"/>
                <w:b w:val="0"/>
                <w:bCs w:val="0"/>
                <w:color w:val="auto"/>
                <w:kern w:val="2"/>
                <w:sz w:val="24"/>
                <w:szCs w:val="24"/>
                <w:highlight w:val="none"/>
                <w:rtl w:val="0"/>
                <w:lang w:val="en-US" w:eastAsia="zh-CN" w:bidi="ar-SA"/>
              </w:rPr>
              <w:t>不少于</w:t>
            </w:r>
            <w:r>
              <w:rPr>
                <w:rFonts w:hint="eastAsia" w:ascii="宋体" w:hAnsi="宋体" w:eastAsia="宋体" w:cs="宋体"/>
                <w:b w:val="0"/>
                <w:bCs w:val="0"/>
                <w:color w:val="auto"/>
                <w:kern w:val="2"/>
                <w:sz w:val="24"/>
                <w:szCs w:val="24"/>
                <w:highlight w:val="none"/>
                <w:rtl w:val="0"/>
                <w:lang w:val="zh-CN" w:eastAsia="en-US" w:bidi="ar-SA"/>
              </w:rPr>
              <w:t>60个循环，外观评级Ra≥</w:t>
            </w:r>
            <w:r>
              <w:rPr>
                <w:rFonts w:hint="eastAsia" w:ascii="宋体" w:hAnsi="宋体" w:eastAsia="宋体" w:cs="宋体"/>
                <w:b w:val="0"/>
                <w:bCs w:val="0"/>
                <w:color w:val="auto"/>
                <w:kern w:val="2"/>
                <w:sz w:val="24"/>
                <w:szCs w:val="24"/>
                <w:highlight w:val="none"/>
                <w:rtl w:val="0"/>
                <w:lang w:val="en-US" w:eastAsia="zh-CN" w:bidi="ar-SA"/>
              </w:rPr>
              <w:t>9</w:t>
            </w:r>
            <w:r>
              <w:rPr>
                <w:rFonts w:hint="eastAsia" w:ascii="宋体" w:hAnsi="宋体" w:eastAsia="宋体" w:cs="宋体"/>
                <w:b w:val="0"/>
                <w:bCs w:val="0"/>
                <w:color w:val="auto"/>
                <w:kern w:val="2"/>
                <w:sz w:val="24"/>
                <w:szCs w:val="24"/>
                <w:highlight w:val="none"/>
                <w:rtl w:val="0"/>
                <w:lang w:val="zh-CN" w:eastAsia="en-US" w:bidi="ar-SA"/>
              </w:rPr>
              <w:t>级，保护评级Rp≥</w:t>
            </w:r>
            <w:r>
              <w:rPr>
                <w:rFonts w:hint="eastAsia" w:ascii="宋体" w:hAnsi="宋体" w:eastAsia="宋体" w:cs="宋体"/>
                <w:b w:val="0"/>
                <w:bCs w:val="0"/>
                <w:color w:val="auto"/>
                <w:kern w:val="2"/>
                <w:sz w:val="24"/>
                <w:szCs w:val="24"/>
                <w:highlight w:val="none"/>
                <w:rtl w:val="0"/>
                <w:lang w:val="en-US" w:eastAsia="zh-CN" w:bidi="ar-SA"/>
              </w:rPr>
              <w:t>9</w:t>
            </w:r>
            <w:r>
              <w:rPr>
                <w:rFonts w:hint="eastAsia" w:ascii="宋体" w:hAnsi="宋体" w:eastAsia="宋体" w:cs="宋体"/>
                <w:b w:val="0"/>
                <w:bCs w:val="0"/>
                <w:color w:val="auto"/>
                <w:kern w:val="2"/>
                <w:sz w:val="24"/>
                <w:szCs w:val="24"/>
                <w:highlight w:val="none"/>
                <w:rtl w:val="0"/>
                <w:lang w:val="zh-CN" w:eastAsia="en-US" w:bidi="ar-SA"/>
              </w:rPr>
              <w:t>级；</w:t>
            </w:r>
            <w:r>
              <w:rPr>
                <w:rFonts w:hint="eastAsia" w:ascii="宋体" w:hAnsi="宋体" w:eastAsia="宋体" w:cs="宋体"/>
                <w:i w:val="0"/>
                <w:iCs w:val="0"/>
                <w:caps w:val="0"/>
                <w:color w:val="auto"/>
                <w:spacing w:val="0"/>
                <w:sz w:val="24"/>
                <w:szCs w:val="24"/>
                <w:highlight w:val="none"/>
                <w:shd w:val="clear" w:fill="FFFFFF"/>
              </w:rPr>
              <w:t>③</w:t>
            </w:r>
            <w:r>
              <w:rPr>
                <w:rFonts w:hint="eastAsia" w:ascii="宋体" w:hAnsi="宋体" w:eastAsia="宋体" w:cs="宋体"/>
                <w:b w:val="0"/>
                <w:bCs w:val="0"/>
                <w:color w:val="auto"/>
                <w:kern w:val="2"/>
                <w:sz w:val="24"/>
                <w:szCs w:val="24"/>
                <w:highlight w:val="none"/>
                <w:rtl w:val="0"/>
                <w:lang w:val="zh-CN" w:eastAsia="en-US" w:bidi="ar-SA"/>
              </w:rPr>
              <w:t>漏点：涂层无漏点；</w:t>
            </w:r>
            <w:r>
              <w:rPr>
                <w:rFonts w:hint="eastAsia" w:ascii="宋体" w:hAnsi="宋体" w:eastAsia="宋体" w:cs="宋体"/>
                <w:i w:val="0"/>
                <w:iCs w:val="0"/>
                <w:caps w:val="0"/>
                <w:color w:val="auto"/>
                <w:spacing w:val="0"/>
                <w:sz w:val="24"/>
                <w:szCs w:val="24"/>
                <w:highlight w:val="none"/>
                <w:shd w:val="clear" w:fill="FFFFFF"/>
              </w:rPr>
              <w:t>④</w:t>
            </w:r>
            <w:r>
              <w:rPr>
                <w:rFonts w:hint="eastAsia" w:ascii="宋体" w:hAnsi="宋体" w:eastAsia="宋体" w:cs="宋体"/>
                <w:b w:val="0"/>
                <w:bCs w:val="0"/>
                <w:color w:val="auto"/>
                <w:kern w:val="2"/>
                <w:sz w:val="24"/>
                <w:szCs w:val="24"/>
                <w:highlight w:val="none"/>
                <w:rtl w:val="0"/>
                <w:lang w:val="zh-CN" w:eastAsia="en-US" w:bidi="ar-SA"/>
              </w:rPr>
              <w:t>化学成分：C≤0.</w:t>
            </w:r>
            <w:r>
              <w:rPr>
                <w:rFonts w:hint="eastAsia" w:ascii="宋体" w:hAnsi="宋体" w:eastAsia="宋体" w:cs="宋体"/>
                <w:b w:val="0"/>
                <w:bCs w:val="0"/>
                <w:color w:val="auto"/>
                <w:kern w:val="2"/>
                <w:sz w:val="24"/>
                <w:szCs w:val="24"/>
                <w:highlight w:val="none"/>
                <w:rtl w:val="0"/>
                <w:lang w:val="en-US" w:eastAsia="zh-CN" w:bidi="ar-SA"/>
              </w:rPr>
              <w:t>12%</w:t>
            </w:r>
            <w:r>
              <w:rPr>
                <w:rFonts w:hint="eastAsia" w:ascii="宋体" w:hAnsi="宋体" w:eastAsia="宋体" w:cs="宋体"/>
                <w:b w:val="0"/>
                <w:bCs w:val="0"/>
                <w:color w:val="auto"/>
                <w:kern w:val="2"/>
                <w:sz w:val="24"/>
                <w:szCs w:val="24"/>
                <w:highlight w:val="none"/>
                <w:rtl w:val="0"/>
                <w:lang w:val="zh-CN" w:eastAsia="en-US" w:bidi="ar-SA"/>
              </w:rPr>
              <w:t>、Mn≤</w:t>
            </w:r>
            <w:r>
              <w:rPr>
                <w:rFonts w:hint="eastAsia" w:ascii="宋体" w:hAnsi="宋体" w:eastAsia="宋体" w:cs="宋体"/>
                <w:b w:val="0"/>
                <w:bCs w:val="0"/>
                <w:color w:val="auto"/>
                <w:kern w:val="2"/>
                <w:sz w:val="24"/>
                <w:szCs w:val="24"/>
                <w:highlight w:val="none"/>
                <w:rtl w:val="0"/>
                <w:lang w:val="en-US" w:eastAsia="zh-CN" w:bidi="ar-SA"/>
              </w:rPr>
              <w:t>0.60%</w:t>
            </w:r>
            <w:r>
              <w:rPr>
                <w:rFonts w:hint="eastAsia" w:ascii="宋体" w:hAnsi="宋体" w:eastAsia="宋体" w:cs="宋体"/>
                <w:b w:val="0"/>
                <w:bCs w:val="0"/>
                <w:color w:val="auto"/>
                <w:kern w:val="2"/>
                <w:sz w:val="24"/>
                <w:szCs w:val="24"/>
                <w:highlight w:val="none"/>
                <w:rtl w:val="0"/>
                <w:lang w:val="zh-CN" w:eastAsia="en-US" w:bidi="ar-SA"/>
              </w:rPr>
              <w:t>、P≤</w:t>
            </w:r>
            <w:r>
              <w:rPr>
                <w:rFonts w:hint="eastAsia" w:ascii="宋体" w:hAnsi="宋体" w:eastAsia="宋体" w:cs="宋体"/>
                <w:b w:val="0"/>
                <w:bCs w:val="0"/>
                <w:color w:val="auto"/>
                <w:kern w:val="2"/>
                <w:sz w:val="24"/>
                <w:szCs w:val="24"/>
                <w:highlight w:val="none"/>
                <w:rtl w:val="0"/>
                <w:lang w:val="en-US" w:eastAsia="zh-CN" w:bidi="ar-SA"/>
              </w:rPr>
              <w:t>0.030%</w:t>
            </w:r>
            <w:r>
              <w:rPr>
                <w:rFonts w:hint="eastAsia" w:ascii="宋体" w:hAnsi="宋体" w:eastAsia="宋体" w:cs="宋体"/>
                <w:b w:val="0"/>
                <w:bCs w:val="0"/>
                <w:color w:val="auto"/>
                <w:kern w:val="2"/>
                <w:sz w:val="24"/>
                <w:szCs w:val="24"/>
                <w:highlight w:val="none"/>
                <w:rtl w:val="0"/>
                <w:lang w:val="zh-CN" w:eastAsia="en-US" w:bidi="ar-SA"/>
              </w:rPr>
              <w:t>、S≤0.0</w:t>
            </w:r>
            <w:r>
              <w:rPr>
                <w:rFonts w:hint="eastAsia" w:ascii="宋体" w:hAnsi="宋体" w:eastAsia="宋体" w:cs="宋体"/>
                <w:b w:val="0"/>
                <w:bCs w:val="0"/>
                <w:color w:val="auto"/>
                <w:kern w:val="2"/>
                <w:sz w:val="24"/>
                <w:szCs w:val="24"/>
                <w:highlight w:val="none"/>
                <w:rtl w:val="0"/>
                <w:lang w:val="en-US" w:eastAsia="zh-CN" w:bidi="ar-SA"/>
              </w:rPr>
              <w:t>30%、Alt≥0.020%；</w:t>
            </w:r>
            <w:r>
              <w:rPr>
                <w:rFonts w:hint="eastAsia" w:ascii="宋体" w:hAnsi="宋体" w:eastAsia="宋体" w:cs="宋体"/>
                <w:i w:val="0"/>
                <w:iCs w:val="0"/>
                <w:caps w:val="0"/>
                <w:color w:val="auto"/>
                <w:spacing w:val="0"/>
                <w:sz w:val="24"/>
                <w:szCs w:val="24"/>
                <w:highlight w:val="none"/>
                <w:shd w:val="clear" w:fill="FFFFFF"/>
              </w:rPr>
              <w:t>⑤</w:t>
            </w:r>
            <w:r>
              <w:rPr>
                <w:rFonts w:hint="eastAsia" w:ascii="宋体" w:hAnsi="宋体" w:eastAsia="宋体" w:cs="宋体"/>
                <w:b w:val="0"/>
                <w:bCs w:val="0"/>
                <w:color w:val="auto"/>
                <w:kern w:val="2"/>
                <w:sz w:val="24"/>
                <w:szCs w:val="24"/>
                <w:highlight w:val="none"/>
                <w:rtl w:val="0"/>
                <w:lang w:val="zh-CN" w:eastAsia="en-US" w:bidi="ar-SA"/>
              </w:rPr>
              <w:t>力学性能：抗拉强度</w:t>
            </w:r>
            <w:r>
              <w:rPr>
                <w:rFonts w:hint="eastAsia" w:ascii="宋体" w:hAnsi="宋体" w:eastAsia="宋体" w:cs="宋体"/>
                <w:b w:val="0"/>
                <w:bCs w:val="0"/>
                <w:color w:val="auto"/>
                <w:kern w:val="2"/>
                <w:sz w:val="24"/>
                <w:szCs w:val="24"/>
                <w:highlight w:val="none"/>
                <w:rtl w:val="0"/>
                <w:lang w:val="en-US" w:eastAsia="zh-CN" w:bidi="ar-SA"/>
              </w:rPr>
              <w:t>270-410Mpa</w:t>
            </w:r>
            <w:r>
              <w:rPr>
                <w:rFonts w:hint="eastAsia" w:ascii="宋体" w:hAnsi="宋体" w:eastAsia="宋体" w:cs="宋体"/>
                <w:b w:val="0"/>
                <w:bCs w:val="0"/>
                <w:color w:val="auto"/>
                <w:kern w:val="2"/>
                <w:sz w:val="24"/>
                <w:szCs w:val="24"/>
                <w:highlight w:val="none"/>
                <w:rtl w:val="0"/>
                <w:lang w:val="zh-CN" w:eastAsia="en-US" w:bidi="ar-SA"/>
              </w:rPr>
              <w:t>，</w:t>
            </w:r>
            <w:r>
              <w:rPr>
                <w:rFonts w:hint="eastAsia" w:ascii="宋体" w:hAnsi="宋体" w:eastAsia="宋体" w:cs="宋体"/>
                <w:b w:val="0"/>
                <w:bCs w:val="0"/>
                <w:color w:val="auto"/>
                <w:kern w:val="2"/>
                <w:sz w:val="24"/>
                <w:szCs w:val="24"/>
                <w:highlight w:val="none"/>
                <w:rtl w:val="0"/>
                <w:lang w:val="en-US" w:eastAsia="zh-CN" w:bidi="ar-SA"/>
              </w:rPr>
              <w:t>屈服强度≤280Mpa</w:t>
            </w:r>
            <w:r>
              <w:rPr>
                <w:rFonts w:hint="eastAsia" w:ascii="宋体" w:hAnsi="宋体" w:eastAsia="宋体" w:cs="宋体"/>
                <w:b w:val="0"/>
                <w:bCs w:val="0"/>
                <w:color w:val="auto"/>
                <w:kern w:val="2"/>
                <w:sz w:val="24"/>
                <w:szCs w:val="24"/>
                <w:highlight w:val="none"/>
                <w:rtl w:val="0"/>
                <w:lang w:val="zh-CN" w:eastAsia="en-US" w:bidi="ar-SA"/>
              </w:rPr>
              <w:t>，断后伸长率≥</w:t>
            </w:r>
            <w:r>
              <w:rPr>
                <w:rFonts w:hint="eastAsia" w:ascii="宋体" w:hAnsi="宋体" w:eastAsia="宋体" w:cs="宋体"/>
                <w:b w:val="0"/>
                <w:bCs w:val="0"/>
                <w:color w:val="auto"/>
                <w:kern w:val="2"/>
                <w:sz w:val="24"/>
                <w:szCs w:val="24"/>
                <w:highlight w:val="none"/>
                <w:rtl w:val="0"/>
                <w:lang w:val="en-US" w:eastAsia="zh-CN" w:bidi="ar-SA"/>
              </w:rPr>
              <w:t>28</w:t>
            </w:r>
            <w:r>
              <w:rPr>
                <w:rFonts w:hint="eastAsia" w:ascii="宋体" w:hAnsi="宋体" w:eastAsia="宋体" w:cs="宋体"/>
                <w:b w:val="0"/>
                <w:bCs w:val="0"/>
                <w:color w:val="auto"/>
                <w:kern w:val="2"/>
                <w:sz w:val="24"/>
                <w:szCs w:val="24"/>
                <w:highlight w:val="none"/>
                <w:rtl w:val="0"/>
                <w:lang w:val="zh-CN" w:eastAsia="en-US" w:bidi="ar-SA"/>
              </w:rPr>
              <w:t>%；</w:t>
            </w:r>
            <w:r>
              <w:rPr>
                <w:rFonts w:hint="eastAsia" w:ascii="宋体" w:hAnsi="宋体" w:eastAsia="宋体" w:cs="宋体"/>
                <w:i w:val="0"/>
                <w:iCs w:val="0"/>
                <w:caps w:val="0"/>
                <w:color w:val="auto"/>
                <w:spacing w:val="0"/>
                <w:sz w:val="24"/>
                <w:szCs w:val="24"/>
                <w:highlight w:val="none"/>
                <w:shd w:val="clear" w:fill="FFFFFF"/>
              </w:rPr>
              <w:t>⑥</w:t>
            </w:r>
            <w:r>
              <w:rPr>
                <w:rFonts w:hint="eastAsia" w:ascii="宋体" w:hAnsi="宋体" w:eastAsia="宋体" w:cs="宋体"/>
                <w:b w:val="0"/>
                <w:bCs w:val="0"/>
                <w:color w:val="auto"/>
                <w:kern w:val="2"/>
                <w:sz w:val="24"/>
                <w:szCs w:val="24"/>
                <w:highlight w:val="none"/>
                <w:rtl w:val="0"/>
                <w:lang w:val="zh-CN" w:eastAsia="en-US" w:bidi="ar-SA"/>
              </w:rPr>
              <w:t>耐霉菌性（黑曲霉）：</w:t>
            </w:r>
            <w:r>
              <w:rPr>
                <w:rFonts w:hint="eastAsia" w:ascii="宋体" w:hAnsi="宋体" w:eastAsia="宋体" w:cs="宋体"/>
                <w:b w:val="0"/>
                <w:bCs w:val="0"/>
                <w:color w:val="auto"/>
                <w:kern w:val="2"/>
                <w:sz w:val="24"/>
                <w:szCs w:val="24"/>
                <w:highlight w:val="none"/>
                <w:rtl w:val="0"/>
                <w:lang w:val="en-US" w:eastAsia="zh-CN" w:bidi="ar-SA"/>
              </w:rPr>
              <w:t>等级≥1</w:t>
            </w:r>
            <w:r>
              <w:rPr>
                <w:rFonts w:hint="eastAsia" w:ascii="宋体" w:hAnsi="宋体" w:eastAsia="宋体" w:cs="宋体"/>
                <w:b w:val="0"/>
                <w:bCs w:val="0"/>
                <w:color w:val="auto"/>
                <w:kern w:val="2"/>
                <w:sz w:val="24"/>
                <w:szCs w:val="24"/>
                <w:highlight w:val="none"/>
                <w:rtl w:val="0"/>
                <w:lang w:val="zh-CN" w:eastAsia="en-US" w:bidi="ar-SA"/>
              </w:rPr>
              <w:t>级。检测依据符合：GB/T</w:t>
            </w:r>
            <w:r>
              <w:rPr>
                <w:rFonts w:hint="eastAsia" w:ascii="宋体" w:hAnsi="宋体" w:eastAsia="宋体" w:cs="宋体"/>
                <w:b w:val="0"/>
                <w:bCs w:val="0"/>
                <w:color w:val="auto"/>
                <w:kern w:val="2"/>
                <w:sz w:val="24"/>
                <w:szCs w:val="24"/>
                <w:highlight w:val="none"/>
                <w:rtl w:val="0"/>
                <w:lang w:val="en-US" w:eastAsia="zh-CN" w:bidi="ar-SA"/>
              </w:rPr>
              <w:t xml:space="preserve"> </w:t>
            </w:r>
            <w:r>
              <w:rPr>
                <w:rFonts w:hint="eastAsia" w:ascii="宋体" w:hAnsi="宋体" w:eastAsia="宋体" w:cs="宋体"/>
                <w:b w:val="0"/>
                <w:bCs w:val="0"/>
                <w:color w:val="auto"/>
                <w:kern w:val="2"/>
                <w:sz w:val="24"/>
                <w:szCs w:val="24"/>
                <w:highlight w:val="none"/>
                <w:rtl w:val="0"/>
                <w:lang w:val="zh-CN" w:eastAsia="en-US" w:bidi="ar-SA"/>
              </w:rPr>
              <w:t>4893.5-2013、GB/T</w:t>
            </w:r>
            <w:r>
              <w:rPr>
                <w:rFonts w:hint="eastAsia" w:ascii="宋体" w:hAnsi="宋体" w:eastAsia="宋体" w:cs="宋体"/>
                <w:b w:val="0"/>
                <w:bCs w:val="0"/>
                <w:color w:val="auto"/>
                <w:kern w:val="2"/>
                <w:sz w:val="24"/>
                <w:szCs w:val="24"/>
                <w:highlight w:val="none"/>
                <w:rtl w:val="0"/>
                <w:lang w:val="en-US" w:eastAsia="zh-CN" w:bidi="ar-SA"/>
              </w:rPr>
              <w:t xml:space="preserve"> </w:t>
            </w:r>
            <w:r>
              <w:rPr>
                <w:rFonts w:hint="eastAsia" w:ascii="宋体" w:hAnsi="宋体" w:eastAsia="宋体" w:cs="宋体"/>
                <w:b w:val="0"/>
                <w:bCs w:val="0"/>
                <w:color w:val="auto"/>
                <w:kern w:val="2"/>
                <w:sz w:val="24"/>
                <w:szCs w:val="24"/>
                <w:highlight w:val="none"/>
                <w:rtl w:val="0"/>
                <w:lang w:val="zh-CN" w:eastAsia="en-US" w:bidi="ar-SA"/>
              </w:rPr>
              <w:t>24195-2009、GB/T</w:t>
            </w:r>
            <w:r>
              <w:rPr>
                <w:rFonts w:hint="eastAsia" w:ascii="宋体" w:hAnsi="宋体" w:eastAsia="宋体" w:cs="宋体"/>
                <w:b w:val="0"/>
                <w:bCs w:val="0"/>
                <w:color w:val="auto"/>
                <w:kern w:val="2"/>
                <w:sz w:val="24"/>
                <w:szCs w:val="24"/>
                <w:highlight w:val="none"/>
                <w:rtl w:val="0"/>
                <w:lang w:val="en-US" w:eastAsia="zh-CN" w:bidi="ar-SA"/>
              </w:rPr>
              <w:t xml:space="preserve"> 6461-2002、</w:t>
            </w:r>
            <w:r>
              <w:rPr>
                <w:rFonts w:hint="eastAsia" w:ascii="宋体" w:hAnsi="宋体" w:eastAsia="宋体" w:cs="宋体"/>
                <w:b w:val="0"/>
                <w:bCs w:val="0"/>
                <w:color w:val="auto"/>
                <w:kern w:val="2"/>
                <w:sz w:val="24"/>
                <w:szCs w:val="24"/>
                <w:highlight w:val="none"/>
                <w:rtl w:val="0"/>
                <w:lang w:val="zh-CN" w:eastAsia="en-US" w:bidi="ar-SA"/>
              </w:rPr>
              <w:t>GB/T 50393-2017、GB/T</w:t>
            </w:r>
            <w:r>
              <w:rPr>
                <w:rFonts w:hint="eastAsia" w:ascii="宋体" w:hAnsi="宋体" w:eastAsia="宋体" w:cs="宋体"/>
                <w:b w:val="0"/>
                <w:bCs w:val="0"/>
                <w:color w:val="auto"/>
                <w:kern w:val="2"/>
                <w:sz w:val="24"/>
                <w:szCs w:val="24"/>
                <w:highlight w:val="none"/>
                <w:rtl w:val="0"/>
                <w:lang w:val="en-US" w:eastAsia="zh-CN" w:bidi="ar-SA"/>
              </w:rPr>
              <w:t xml:space="preserve"> 5213-2019、</w:t>
            </w:r>
            <w:r>
              <w:rPr>
                <w:rFonts w:hint="eastAsia" w:ascii="宋体" w:hAnsi="宋体" w:eastAsia="宋体" w:cs="宋体"/>
                <w:b w:val="0"/>
                <w:bCs w:val="0"/>
                <w:color w:val="auto"/>
                <w:kern w:val="2"/>
                <w:sz w:val="24"/>
                <w:szCs w:val="24"/>
                <w:highlight w:val="none"/>
                <w:rtl w:val="0"/>
                <w:lang w:val="zh-CN" w:eastAsia="en-US" w:bidi="ar-SA"/>
              </w:rPr>
              <w:t>GB/T</w:t>
            </w:r>
            <w:r>
              <w:rPr>
                <w:rFonts w:hint="eastAsia" w:ascii="宋体" w:hAnsi="宋体" w:eastAsia="宋体" w:cs="宋体"/>
                <w:b w:val="0"/>
                <w:bCs w:val="0"/>
                <w:color w:val="auto"/>
                <w:kern w:val="2"/>
                <w:sz w:val="24"/>
                <w:szCs w:val="24"/>
                <w:highlight w:val="none"/>
                <w:rtl w:val="0"/>
                <w:lang w:val="en-US" w:eastAsia="zh-CN" w:bidi="ar-SA"/>
              </w:rPr>
              <w:t xml:space="preserve"> 4336-2016、</w:t>
            </w:r>
            <w:r>
              <w:rPr>
                <w:rFonts w:hint="eastAsia" w:ascii="宋体" w:hAnsi="宋体" w:eastAsia="宋体" w:cs="宋体"/>
                <w:b w:val="0"/>
                <w:bCs w:val="0"/>
                <w:color w:val="auto"/>
                <w:kern w:val="2"/>
                <w:sz w:val="24"/>
                <w:szCs w:val="24"/>
                <w:highlight w:val="none"/>
                <w:rtl w:val="0"/>
                <w:lang w:val="zh-CN" w:eastAsia="en-US" w:bidi="ar-SA"/>
              </w:rPr>
              <w:t>GB</w:t>
            </w:r>
            <w:r>
              <w:rPr>
                <w:rFonts w:hint="eastAsia" w:ascii="宋体" w:hAnsi="宋体" w:eastAsia="宋体" w:cs="宋体"/>
                <w:b w:val="0"/>
                <w:bCs w:val="0"/>
                <w:color w:val="auto"/>
                <w:kern w:val="2"/>
                <w:sz w:val="24"/>
                <w:szCs w:val="24"/>
                <w:highlight w:val="none"/>
                <w:rtl w:val="0"/>
                <w:lang w:val="en-US" w:eastAsia="zh-CN" w:bidi="ar-SA"/>
              </w:rPr>
              <w:t xml:space="preserve">/T </w:t>
            </w:r>
            <w:r>
              <w:rPr>
                <w:rFonts w:hint="eastAsia" w:ascii="宋体" w:hAnsi="宋体" w:eastAsia="宋体" w:cs="宋体"/>
                <w:b w:val="0"/>
                <w:bCs w:val="0"/>
                <w:color w:val="auto"/>
                <w:kern w:val="2"/>
                <w:sz w:val="24"/>
                <w:szCs w:val="24"/>
                <w:highlight w:val="none"/>
                <w:rtl w:val="0"/>
                <w:lang w:val="zh-CN" w:eastAsia="en-US" w:bidi="ar-SA"/>
              </w:rPr>
              <w:t>228.1-2021、GB/T</w:t>
            </w:r>
            <w:r>
              <w:rPr>
                <w:rFonts w:hint="eastAsia" w:ascii="宋体" w:hAnsi="宋体" w:eastAsia="宋体" w:cs="宋体"/>
                <w:b w:val="0"/>
                <w:bCs w:val="0"/>
                <w:color w:val="auto"/>
                <w:kern w:val="2"/>
                <w:sz w:val="24"/>
                <w:szCs w:val="24"/>
                <w:highlight w:val="none"/>
                <w:rtl w:val="0"/>
                <w:lang w:val="en-US" w:eastAsia="zh-CN" w:bidi="ar-SA"/>
              </w:rPr>
              <w:t xml:space="preserve"> 1741-2020等</w:t>
            </w:r>
            <w:r>
              <w:rPr>
                <w:rFonts w:hint="eastAsia" w:ascii="宋体" w:hAnsi="宋体" w:eastAsia="宋体" w:cs="宋体"/>
                <w:b w:val="0"/>
                <w:bCs w:val="0"/>
                <w:color w:val="auto"/>
                <w:kern w:val="2"/>
                <w:sz w:val="24"/>
                <w:szCs w:val="24"/>
                <w:highlight w:val="none"/>
                <w:rtl w:val="0"/>
                <w:lang w:val="zh-CN" w:eastAsia="en-US" w:bidi="ar-SA"/>
              </w:rPr>
              <w:t>标准。</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sz w:val="24"/>
                <w:szCs w:val="24"/>
                <w:highlight w:val="none"/>
              </w:rPr>
              <w:t>2.</w:t>
            </w:r>
            <w:r>
              <w:rPr>
                <w:rFonts w:hint="eastAsia" w:ascii="宋体" w:hAnsi="宋体" w:eastAsia="宋体" w:cs="宋体"/>
                <w:b w:val="0"/>
                <w:bCs w:val="0"/>
                <w:color w:val="auto"/>
                <w:sz w:val="24"/>
                <w:szCs w:val="24"/>
                <w:highlight w:val="none"/>
                <w:lang w:val="en-US" w:eastAsia="zh-CN"/>
              </w:rPr>
              <w:t xml:space="preserve">8） </w:t>
            </w:r>
            <w:r>
              <w:rPr>
                <w:rFonts w:hint="eastAsia" w:ascii="宋体" w:hAnsi="宋体" w:eastAsia="宋体" w:cs="宋体"/>
                <w:b w:val="0"/>
                <w:bCs w:val="0"/>
                <w:color w:val="auto"/>
                <w:sz w:val="24"/>
                <w:szCs w:val="24"/>
                <w:highlight w:val="none"/>
              </w:rPr>
              <w:t>门板</w:t>
            </w:r>
            <w:r>
              <w:rPr>
                <w:rFonts w:hint="eastAsia" w:ascii="宋体" w:hAnsi="宋体" w:eastAsia="宋体" w:cs="宋体"/>
                <w:b w:val="0"/>
                <w:bCs w:val="0"/>
                <w:color w:val="auto"/>
                <w:sz w:val="24"/>
                <w:szCs w:val="24"/>
                <w:highlight w:val="none"/>
                <w:lang w:eastAsia="zh-CN"/>
              </w:rPr>
              <w:t>、门框</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zh-CN" w:eastAsia="zh-CN"/>
              </w:rPr>
              <w:t>采用</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lang w:val="zh-CN" w:eastAsia="zh-CN"/>
              </w:rPr>
              <w:t>mm厚冷轧钢板；</w:t>
            </w:r>
            <w:r>
              <w:rPr>
                <w:rFonts w:hint="eastAsia" w:ascii="宋体" w:hAnsi="宋体" w:eastAsia="宋体" w:cs="宋体"/>
                <w:b w:val="0"/>
                <w:bCs w:val="0"/>
                <w:color w:val="auto"/>
                <w:kern w:val="0"/>
                <w:sz w:val="24"/>
                <w:szCs w:val="24"/>
                <w:highlight w:val="none"/>
              </w:rPr>
              <w:t>缝隙均匀，锁定紧密，开启灵活。门上装有</w:t>
            </w:r>
            <w:r>
              <w:rPr>
                <w:rFonts w:hint="eastAsia" w:hAnsi="宋体" w:cs="宋体"/>
                <w:b w:val="0"/>
                <w:bCs w:val="0"/>
                <w:color w:val="auto"/>
                <w:kern w:val="0"/>
                <w:sz w:val="24"/>
                <w:szCs w:val="24"/>
                <w:highlight w:val="none"/>
                <w:lang w:eastAsia="zh-CN"/>
              </w:rPr>
              <w:t>密集柜</w:t>
            </w:r>
            <w:r>
              <w:rPr>
                <w:rFonts w:hint="eastAsia" w:ascii="宋体" w:hAnsi="宋体" w:eastAsia="宋体" w:cs="宋体"/>
                <w:b w:val="0"/>
                <w:bCs w:val="0"/>
                <w:color w:val="auto"/>
                <w:kern w:val="0"/>
                <w:sz w:val="24"/>
                <w:szCs w:val="24"/>
                <w:highlight w:val="none"/>
              </w:rPr>
              <w:t>专用锁具（闪电锁）。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门面锁具质量要求满足：①钥匙插拔应灵活，无卡滞现象；钥匙插入锁芯旋转灵活，锁开、关无卡阻现象；②钥匙拔出静拉力不大于2N，钥匙开启扭矩不大于0.65N</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m；③各铆接件在承受≥200N静压力后应能正常使用，弹子锁、叶片锁使用寿命不应少于≥10000次。检测依据符合：QB/T1621-2015标准。</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2.9）</w:t>
            </w:r>
            <w:r>
              <w:rPr>
                <w:rFonts w:hint="eastAsia" w:ascii="宋体" w:hAnsi="宋体" w:eastAsia="宋体" w:cs="宋体"/>
                <w:b w:val="0"/>
                <w:bCs w:val="0"/>
                <w:color w:val="auto"/>
                <w:sz w:val="24"/>
                <w:szCs w:val="24"/>
                <w:highlight w:val="none"/>
                <w:lang w:eastAsia="zh-CN"/>
              </w:rPr>
              <w:t>底盘：</w:t>
            </w:r>
            <w:r>
              <w:rPr>
                <w:rFonts w:hint="eastAsia" w:ascii="宋体" w:hAnsi="宋体" w:eastAsia="宋体" w:cs="宋体"/>
                <w:color w:val="auto"/>
                <w:kern w:val="0"/>
                <w:sz w:val="24"/>
                <w:szCs w:val="24"/>
                <w:highlight w:val="none"/>
              </w:rPr>
              <w:t>采用</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kern w:val="0"/>
                <w:sz w:val="24"/>
                <w:szCs w:val="24"/>
                <w:highlight w:val="none"/>
              </w:rPr>
              <w:t>mm厚</w:t>
            </w:r>
            <w:r>
              <w:rPr>
                <w:rFonts w:hint="eastAsia" w:ascii="宋体" w:hAnsi="宋体" w:eastAsia="宋体" w:cs="宋体"/>
                <w:color w:val="auto"/>
                <w:kern w:val="0"/>
                <w:sz w:val="24"/>
                <w:szCs w:val="24"/>
                <w:highlight w:val="none"/>
                <w:lang w:val="en-US" w:eastAsia="zh-CN"/>
              </w:rPr>
              <w:t>热</w:t>
            </w:r>
            <w:r>
              <w:rPr>
                <w:rFonts w:hint="eastAsia" w:ascii="宋体" w:hAnsi="宋体" w:eastAsia="宋体" w:cs="宋体"/>
                <w:color w:val="auto"/>
                <w:kern w:val="0"/>
                <w:sz w:val="24"/>
                <w:szCs w:val="24"/>
                <w:highlight w:val="none"/>
              </w:rPr>
              <w:t>轧钢板，</w:t>
            </w:r>
            <w:r>
              <w:rPr>
                <w:rFonts w:hint="eastAsia" w:ascii="宋体" w:hAnsi="宋体" w:eastAsia="宋体" w:cs="宋体"/>
                <w:b w:val="0"/>
                <w:bCs w:val="0"/>
                <w:color w:val="auto"/>
                <w:kern w:val="0"/>
                <w:sz w:val="24"/>
                <w:szCs w:val="24"/>
                <w:highlight w:val="none"/>
              </w:rPr>
              <w:t>底盘为分段组合式，</w:t>
            </w:r>
            <w:r>
              <w:rPr>
                <w:rFonts w:hint="eastAsia" w:ascii="宋体" w:hAnsi="宋体" w:eastAsia="宋体" w:cs="宋体"/>
                <w:b w:val="0"/>
                <w:bCs w:val="0"/>
                <w:color w:val="auto"/>
                <w:kern w:val="0"/>
                <w:sz w:val="24"/>
                <w:szCs w:val="24"/>
                <w:highlight w:val="none"/>
                <w:lang w:val="en-US" w:eastAsia="zh-CN"/>
              </w:rPr>
              <w:t>成型</w:t>
            </w:r>
            <w:r>
              <w:rPr>
                <w:rFonts w:hint="eastAsia" w:ascii="宋体" w:hAnsi="宋体" w:cs="宋体"/>
                <w:color w:val="auto"/>
                <w:kern w:val="0"/>
                <w:sz w:val="24"/>
                <w:highlight w:val="none"/>
              </w:rPr>
              <w:t>高</w:t>
            </w:r>
            <w:r>
              <w:rPr>
                <w:rFonts w:hint="eastAsia" w:ascii="宋体" w:hAnsi="宋体" w:cs="宋体"/>
                <w:color w:val="auto"/>
                <w:kern w:val="0"/>
                <w:sz w:val="24"/>
                <w:highlight w:val="none"/>
                <w:lang w:val="en-US" w:eastAsia="zh-CN"/>
              </w:rPr>
              <w:t>度≥</w:t>
            </w:r>
            <w:r>
              <w:rPr>
                <w:rFonts w:hint="eastAsia" w:ascii="宋体" w:hAnsi="宋体" w:cs="宋体"/>
                <w:color w:val="auto"/>
                <w:kern w:val="0"/>
                <w:sz w:val="24"/>
                <w:highlight w:val="none"/>
              </w:rPr>
              <w:t>1</w:t>
            </w:r>
            <w:r>
              <w:rPr>
                <w:rFonts w:hint="eastAsia" w:ascii="宋体" w:hAnsi="宋体" w:eastAsia="宋体" w:cs="宋体"/>
                <w:b w:val="0"/>
                <w:bCs w:val="0"/>
                <w:color w:val="auto"/>
                <w:sz w:val="24"/>
                <w:szCs w:val="24"/>
                <w:highlight w:val="none"/>
                <w:lang w:val="en-US" w:eastAsia="zh-CN"/>
              </w:rPr>
              <w:t>20mm，上弯边不小于54mm，下弯边不小于24mm。底盘及架体长期荷重存满资料不变形。底盘与立柱连接采用M10×20螺栓，底盘装配后的直线平行度≤0.5mm/m，全长≤1mm。</w:t>
            </w:r>
          </w:p>
          <w:p>
            <w:pPr>
              <w:pStyle w:val="14"/>
              <w:spacing w:line="360" w:lineRule="auto"/>
              <w:ind w:left="0" w:leftChars="0" w:firstLine="480" w:firstLineChars="200"/>
              <w:jc w:val="left"/>
              <w:rPr>
                <w:rFonts w:hint="eastAsia" w:asciiTheme="minorEastAsia" w:hAnsiTheme="minorEastAsia" w:eastAsiaTheme="minorEastAsia" w:cstheme="minorEastAsia"/>
                <w:color w:val="auto"/>
                <w:sz w:val="24"/>
                <w:szCs w:val="24"/>
                <w:highlight w:val="none"/>
                <w:lang w:val="en-US" w:eastAsia="zh-CN"/>
              </w:rPr>
            </w:pPr>
            <w:r>
              <w:rPr>
                <w:rFonts w:hint="eastAsia" w:ascii="宋体" w:hAnsi="宋体" w:eastAsia="宋体" w:cs="宋体"/>
                <w:b w:val="0"/>
                <w:bCs w:val="0"/>
                <w:color w:val="auto"/>
                <w:kern w:val="2"/>
                <w:sz w:val="24"/>
                <w:szCs w:val="24"/>
                <w:highlight w:val="none"/>
                <w:rtl w:val="0"/>
                <w:lang w:val="en-US" w:eastAsia="zh-CN" w:bidi="ar-SA"/>
              </w:rPr>
              <w:t>质量要求满足</w:t>
            </w:r>
            <w:r>
              <w:rPr>
                <w:rFonts w:hint="eastAsia" w:ascii="宋体" w:hAnsi="宋体" w:eastAsia="宋体" w:cs="宋体"/>
                <w:b w:val="0"/>
                <w:bCs w:val="0"/>
                <w:color w:val="auto"/>
                <w:kern w:val="2"/>
                <w:sz w:val="24"/>
                <w:szCs w:val="24"/>
                <w:highlight w:val="none"/>
                <w:rtl w:val="0"/>
                <w:lang w:val="zh-CN" w:eastAsia="en-US" w:bidi="ar-SA"/>
              </w:rPr>
              <w:t>：①</w:t>
            </w:r>
            <w:r>
              <w:rPr>
                <w:rFonts w:hint="eastAsia" w:ascii="宋体" w:hAnsi="宋体" w:eastAsia="宋体" w:cs="宋体"/>
                <w:b w:val="0"/>
                <w:bCs w:val="0"/>
                <w:color w:val="auto"/>
                <w:kern w:val="2"/>
                <w:sz w:val="24"/>
                <w:szCs w:val="24"/>
                <w:highlight w:val="none"/>
                <w:rtl w:val="0"/>
                <w:lang w:val="en-US" w:eastAsia="zh-CN" w:bidi="ar-SA"/>
              </w:rPr>
              <w:t>表面质量：钢板和钢带断面不应有目视可见分层。钢板和钢带表面不应有结疤、裂纹、折叠、夹杂、气泡和氧化铁皮压入等对使用有害的缺陷；②中性盐雾试验</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kern w:val="2"/>
                <w:sz w:val="24"/>
                <w:szCs w:val="24"/>
                <w:highlight w:val="none"/>
                <w:rtl w:val="0"/>
                <w:lang w:val="en-US" w:eastAsia="zh-CN" w:bidi="ar-SA"/>
              </w:rPr>
              <w:t>48h、乙酸盐雾试验</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kern w:val="2"/>
                <w:sz w:val="24"/>
                <w:szCs w:val="24"/>
                <w:highlight w:val="none"/>
                <w:rtl w:val="0"/>
                <w:lang w:val="en-US" w:eastAsia="zh-CN" w:bidi="ar-SA"/>
              </w:rPr>
              <w:t>48h:金属表面涂（镀）层耐腐蚀等级均≥9级，金属表面涂（镀）层对基体的保护等级</w:t>
            </w:r>
            <w:r>
              <w:rPr>
                <w:rFonts w:hint="eastAsia" w:ascii="宋体" w:hAnsi="宋体" w:eastAsia="宋体" w:cs="宋体"/>
                <w:i w:val="0"/>
                <w:iCs w:val="0"/>
                <w:color w:val="auto"/>
                <w:kern w:val="0"/>
                <w:sz w:val="24"/>
                <w:szCs w:val="24"/>
                <w:highlight w:val="none"/>
                <w:u w:val="none"/>
                <w:rtl w:val="0"/>
                <w:lang w:val="en-US" w:eastAsia="zh-CN" w:bidi="ar"/>
              </w:rPr>
              <w:t>均</w:t>
            </w:r>
            <w:r>
              <w:rPr>
                <w:rFonts w:hint="eastAsia" w:ascii="宋体" w:hAnsi="宋体" w:eastAsia="宋体" w:cs="宋体"/>
                <w:b w:val="0"/>
                <w:bCs w:val="0"/>
                <w:color w:val="auto"/>
                <w:kern w:val="2"/>
                <w:sz w:val="24"/>
                <w:szCs w:val="24"/>
                <w:highlight w:val="none"/>
                <w:rtl w:val="0"/>
                <w:lang w:val="en-US" w:eastAsia="zh-CN" w:bidi="ar-SA"/>
              </w:rPr>
              <w:t>≥9级；③铜加速乙酸盐雾试验</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kern w:val="2"/>
                <w:sz w:val="24"/>
                <w:szCs w:val="24"/>
                <w:highlight w:val="none"/>
                <w:rtl w:val="0"/>
                <w:lang w:val="en-US" w:eastAsia="zh-CN" w:bidi="ar-SA"/>
              </w:rPr>
              <w:t>48h：外观评级≥9级，保护评级≥9级；④</w:t>
            </w:r>
            <w:r>
              <w:rPr>
                <w:rFonts w:hint="eastAsia" w:ascii="宋体" w:hAnsi="宋体" w:eastAsia="宋体" w:cs="宋体"/>
                <w:i w:val="0"/>
                <w:iCs w:val="0"/>
                <w:color w:val="auto"/>
                <w:kern w:val="0"/>
                <w:sz w:val="24"/>
                <w:szCs w:val="24"/>
                <w:highlight w:val="none"/>
                <w:u w:val="none"/>
                <w:lang w:val="en-US" w:eastAsia="zh-CN" w:bidi="ar"/>
              </w:rPr>
              <w:t>环境属性-产品有害物质：家具涂层可迁移元素的铅、镉、铬、汞、锑、钡、砷、硒检验结果均为未检出（≤0.03mg/kg）；</w:t>
            </w:r>
            <w:r>
              <w:rPr>
                <w:rFonts w:hint="eastAsia" w:ascii="宋体" w:hAnsi="宋体" w:eastAsia="宋体" w:cs="宋体"/>
                <w:i w:val="0"/>
                <w:iCs w:val="0"/>
                <w:color w:val="auto"/>
                <w:kern w:val="0"/>
                <w:sz w:val="24"/>
                <w:szCs w:val="24"/>
                <w:highlight w:val="none"/>
                <w:u w:val="none"/>
                <w:rtl w:val="0"/>
                <w:lang w:val="en-US" w:eastAsia="zh-CN" w:bidi="ar"/>
              </w:rPr>
              <w:t>⑤理化性能-产品表面理化性能-金属喷漆(</w:t>
            </w:r>
            <w:r>
              <w:rPr>
                <w:rFonts w:hint="eastAsia" w:ascii="宋体" w:hAnsi="宋体" w:eastAsia="宋体" w:cs="宋体"/>
                <w:b w:val="0"/>
                <w:bCs w:val="0"/>
                <w:color w:val="auto"/>
                <w:kern w:val="2"/>
                <w:sz w:val="24"/>
                <w:szCs w:val="24"/>
                <w:highlight w:val="none"/>
                <w:rtl w:val="0"/>
                <w:lang w:val="en-US" w:eastAsia="zh-CN" w:bidi="ar-SA"/>
              </w:rPr>
              <w:t>塑)涂层：耐盐浴检测，划道两侧3mm外，应无鼓泡、锈蚀、剥落和起皱等现象；⑥化学成分：C</w:t>
            </w:r>
            <w:r>
              <w:rPr>
                <w:rFonts w:hint="eastAsia" w:ascii="宋体" w:hAnsi="宋体" w:eastAsia="宋体" w:cs="宋体"/>
                <w:b w:val="0"/>
                <w:bCs w:val="0"/>
                <w:color w:val="auto"/>
                <w:kern w:val="2"/>
                <w:sz w:val="24"/>
                <w:szCs w:val="24"/>
                <w:highlight w:val="none"/>
                <w:rtl w:val="0"/>
                <w:lang w:val="zh-CN" w:eastAsia="en-US" w:bidi="ar-SA"/>
              </w:rPr>
              <w:t>≤</w:t>
            </w:r>
            <w:r>
              <w:rPr>
                <w:rFonts w:hint="eastAsia" w:ascii="宋体" w:hAnsi="宋体" w:eastAsia="宋体" w:cs="宋体"/>
                <w:b w:val="0"/>
                <w:bCs w:val="0"/>
                <w:color w:val="auto"/>
                <w:kern w:val="2"/>
                <w:sz w:val="24"/>
                <w:szCs w:val="24"/>
                <w:highlight w:val="none"/>
                <w:rtl w:val="0"/>
                <w:lang w:val="en-US" w:eastAsia="zh-CN" w:bidi="ar-SA"/>
              </w:rPr>
              <w:t>0.22%、Mn</w:t>
            </w:r>
            <w:r>
              <w:rPr>
                <w:rFonts w:hint="eastAsia" w:ascii="宋体" w:hAnsi="宋体" w:eastAsia="宋体" w:cs="宋体"/>
                <w:b w:val="0"/>
                <w:bCs w:val="0"/>
                <w:color w:val="auto"/>
                <w:kern w:val="2"/>
                <w:sz w:val="24"/>
                <w:szCs w:val="24"/>
                <w:highlight w:val="none"/>
                <w:rtl w:val="0"/>
                <w:lang w:val="zh-CN" w:eastAsia="en-US" w:bidi="ar-SA"/>
              </w:rPr>
              <w:t>≤</w:t>
            </w:r>
            <w:r>
              <w:rPr>
                <w:rFonts w:hint="eastAsia" w:ascii="宋体" w:hAnsi="宋体" w:eastAsia="宋体" w:cs="宋体"/>
                <w:b w:val="0"/>
                <w:bCs w:val="0"/>
                <w:color w:val="auto"/>
                <w:kern w:val="2"/>
                <w:sz w:val="24"/>
                <w:szCs w:val="24"/>
                <w:highlight w:val="none"/>
                <w:rtl w:val="0"/>
                <w:lang w:val="en-US" w:eastAsia="zh-CN" w:bidi="ar-SA"/>
              </w:rPr>
              <w:t>1.4%、P</w:t>
            </w:r>
            <w:r>
              <w:rPr>
                <w:rFonts w:hint="eastAsia" w:ascii="宋体" w:hAnsi="宋体" w:eastAsia="宋体" w:cs="宋体"/>
                <w:b w:val="0"/>
                <w:bCs w:val="0"/>
                <w:color w:val="auto"/>
                <w:kern w:val="2"/>
                <w:sz w:val="24"/>
                <w:szCs w:val="24"/>
                <w:highlight w:val="none"/>
                <w:rtl w:val="0"/>
                <w:lang w:val="zh-CN" w:eastAsia="en-US" w:bidi="ar-SA"/>
              </w:rPr>
              <w:t>≤</w:t>
            </w:r>
            <w:r>
              <w:rPr>
                <w:rFonts w:hint="eastAsia" w:ascii="宋体" w:hAnsi="宋体" w:eastAsia="宋体" w:cs="宋体"/>
                <w:b w:val="0"/>
                <w:bCs w:val="0"/>
                <w:color w:val="auto"/>
                <w:kern w:val="2"/>
                <w:sz w:val="24"/>
                <w:szCs w:val="24"/>
                <w:highlight w:val="none"/>
                <w:rtl w:val="0"/>
                <w:lang w:val="en-US" w:eastAsia="zh-CN" w:bidi="ar-SA"/>
              </w:rPr>
              <w:t>0.045%、S</w:t>
            </w:r>
            <w:r>
              <w:rPr>
                <w:rFonts w:hint="eastAsia" w:ascii="宋体" w:hAnsi="宋体" w:eastAsia="宋体" w:cs="宋体"/>
                <w:b w:val="0"/>
                <w:bCs w:val="0"/>
                <w:color w:val="auto"/>
                <w:kern w:val="2"/>
                <w:sz w:val="24"/>
                <w:szCs w:val="24"/>
                <w:highlight w:val="none"/>
                <w:rtl w:val="0"/>
                <w:lang w:val="zh-CN" w:eastAsia="en-US" w:bidi="ar-SA"/>
              </w:rPr>
              <w:t>≤</w:t>
            </w:r>
            <w:r>
              <w:rPr>
                <w:rFonts w:hint="eastAsia" w:ascii="宋体" w:hAnsi="宋体" w:eastAsia="宋体" w:cs="宋体"/>
                <w:b w:val="0"/>
                <w:bCs w:val="0"/>
                <w:color w:val="auto"/>
                <w:kern w:val="2"/>
                <w:sz w:val="24"/>
                <w:szCs w:val="24"/>
                <w:highlight w:val="none"/>
                <w:rtl w:val="0"/>
                <w:lang w:val="en-US" w:eastAsia="zh-CN" w:bidi="ar-SA"/>
              </w:rPr>
              <w:t>0.045%、Si</w:t>
            </w:r>
            <w:r>
              <w:rPr>
                <w:rFonts w:hint="eastAsia" w:ascii="宋体" w:hAnsi="宋体" w:eastAsia="宋体" w:cs="宋体"/>
                <w:b w:val="0"/>
                <w:bCs w:val="0"/>
                <w:color w:val="auto"/>
                <w:kern w:val="2"/>
                <w:sz w:val="24"/>
                <w:szCs w:val="24"/>
                <w:highlight w:val="none"/>
                <w:rtl w:val="0"/>
                <w:lang w:val="zh-CN" w:eastAsia="en-US" w:bidi="ar-SA"/>
              </w:rPr>
              <w:t>≤</w:t>
            </w:r>
            <w:r>
              <w:rPr>
                <w:rFonts w:hint="eastAsia" w:ascii="宋体" w:hAnsi="宋体" w:eastAsia="宋体" w:cs="宋体"/>
                <w:b w:val="0"/>
                <w:bCs w:val="0"/>
                <w:color w:val="auto"/>
                <w:kern w:val="2"/>
                <w:sz w:val="24"/>
                <w:szCs w:val="24"/>
                <w:highlight w:val="none"/>
                <w:rtl w:val="0"/>
                <w:lang w:val="en-US" w:eastAsia="zh-CN" w:bidi="ar-SA"/>
              </w:rPr>
              <w:t>0.35%；⑦力学性能：抗拉强度370-500MPa，断后伸长率</w:t>
            </w:r>
            <w:r>
              <w:rPr>
                <w:rFonts w:hint="eastAsia" w:ascii="宋体" w:hAnsi="宋体" w:eastAsia="宋体" w:cs="宋体"/>
                <w:b w:val="0"/>
                <w:bCs w:val="0"/>
                <w:color w:val="auto"/>
                <w:kern w:val="2"/>
                <w:sz w:val="24"/>
                <w:szCs w:val="24"/>
                <w:highlight w:val="none"/>
                <w:rtl w:val="0"/>
                <w:lang w:val="zh-CN" w:eastAsia="en-US" w:bidi="ar-SA"/>
              </w:rPr>
              <w:t>≥</w:t>
            </w:r>
            <w:r>
              <w:rPr>
                <w:rFonts w:hint="eastAsia" w:ascii="宋体" w:hAnsi="宋体" w:eastAsia="宋体" w:cs="宋体"/>
                <w:b w:val="0"/>
                <w:bCs w:val="0"/>
                <w:color w:val="auto"/>
                <w:kern w:val="2"/>
                <w:sz w:val="24"/>
                <w:szCs w:val="24"/>
                <w:highlight w:val="none"/>
                <w:rtl w:val="0"/>
                <w:lang w:val="en-US" w:eastAsia="zh-CN" w:bidi="ar-SA"/>
              </w:rPr>
              <w:t>26%；</w:t>
            </w:r>
            <w:r>
              <w:rPr>
                <w:rFonts w:hint="eastAsia" w:ascii="微软雅黑" w:hAnsi="微软雅黑" w:eastAsia="微软雅黑" w:cs="微软雅黑"/>
                <w:b w:val="0"/>
                <w:bCs w:val="0"/>
                <w:color w:val="auto"/>
                <w:kern w:val="2"/>
                <w:sz w:val="24"/>
                <w:szCs w:val="24"/>
                <w:highlight w:val="none"/>
                <w:rtl w:val="0"/>
                <w:lang w:val="en-US" w:eastAsia="zh-CN" w:bidi="ar-SA"/>
              </w:rPr>
              <w:t>⑧</w:t>
            </w:r>
            <w:r>
              <w:rPr>
                <w:rFonts w:hint="eastAsia" w:ascii="宋体" w:hAnsi="宋体" w:eastAsia="宋体" w:cs="宋体"/>
                <w:b w:val="0"/>
                <w:bCs w:val="0"/>
                <w:color w:val="auto"/>
                <w:kern w:val="2"/>
                <w:sz w:val="24"/>
                <w:szCs w:val="24"/>
                <w:highlight w:val="none"/>
                <w:rtl w:val="0"/>
                <w:lang w:val="zh-CN" w:eastAsia="en-US" w:bidi="ar-SA"/>
              </w:rPr>
              <w:t>耐盐雾性</w:t>
            </w:r>
            <w:r>
              <w:rPr>
                <w:rFonts w:hint="eastAsia" w:ascii="宋体" w:hAnsi="宋体" w:eastAsia="宋体" w:cs="宋体"/>
                <w:b w:val="0"/>
                <w:bCs w:val="0"/>
                <w:color w:val="auto"/>
                <w:kern w:val="2"/>
                <w:sz w:val="24"/>
                <w:szCs w:val="24"/>
                <w:highlight w:val="none"/>
                <w:rtl w:val="0"/>
                <w:lang w:val="en-US" w:eastAsia="zh-CN" w:bidi="ar-SA"/>
              </w:rPr>
              <w:t>试验</w:t>
            </w:r>
            <w:r>
              <w:rPr>
                <w:rFonts w:hint="eastAsia" w:ascii="宋体" w:hAnsi="宋体" w:eastAsia="宋体" w:cs="宋体"/>
                <w:b w:val="0"/>
                <w:bCs w:val="0"/>
                <w:color w:val="auto"/>
                <w:kern w:val="2"/>
                <w:sz w:val="24"/>
                <w:szCs w:val="24"/>
                <w:highlight w:val="none"/>
                <w:rtl w:val="0"/>
                <w:lang w:val="zh-CN" w:eastAsia="zh-CN" w:bidi="ar-SA"/>
              </w:rPr>
              <w:t>（</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kern w:val="2"/>
                <w:sz w:val="24"/>
                <w:szCs w:val="24"/>
                <w:highlight w:val="none"/>
                <w:rtl w:val="0"/>
                <w:lang w:val="zh-CN" w:eastAsia="en-US" w:bidi="ar-SA"/>
              </w:rPr>
              <w:t>480h</w:t>
            </w:r>
            <w:r>
              <w:rPr>
                <w:rFonts w:hint="eastAsia" w:ascii="宋体" w:hAnsi="宋体" w:eastAsia="宋体" w:cs="宋体"/>
                <w:b w:val="0"/>
                <w:bCs w:val="0"/>
                <w:color w:val="auto"/>
                <w:kern w:val="2"/>
                <w:sz w:val="24"/>
                <w:szCs w:val="24"/>
                <w:highlight w:val="none"/>
                <w:rtl w:val="0"/>
                <w:lang w:val="zh-CN" w:eastAsia="zh-CN" w:bidi="ar-SA"/>
              </w:rPr>
              <w:t>）：</w:t>
            </w:r>
            <w:r>
              <w:rPr>
                <w:rFonts w:hint="eastAsia" w:ascii="宋体" w:hAnsi="宋体" w:eastAsia="宋体" w:cs="宋体"/>
                <w:b w:val="0"/>
                <w:bCs w:val="0"/>
                <w:color w:val="auto"/>
                <w:kern w:val="2"/>
                <w:sz w:val="24"/>
                <w:szCs w:val="24"/>
                <w:highlight w:val="none"/>
                <w:rtl w:val="0"/>
                <w:lang w:val="en-US" w:eastAsia="zh-CN" w:bidi="ar-SA"/>
              </w:rPr>
              <w:t>≥</w:t>
            </w:r>
            <w:r>
              <w:rPr>
                <w:rFonts w:hint="eastAsia" w:ascii="宋体" w:hAnsi="宋体" w:eastAsia="宋体" w:cs="宋体"/>
                <w:b w:val="0"/>
                <w:bCs w:val="0"/>
                <w:color w:val="auto"/>
                <w:kern w:val="2"/>
                <w:sz w:val="24"/>
                <w:szCs w:val="24"/>
                <w:highlight w:val="none"/>
                <w:rtl w:val="0"/>
                <w:lang w:val="zh-CN" w:eastAsia="en-US" w:bidi="ar-SA"/>
              </w:rPr>
              <w:t>1</w:t>
            </w:r>
            <w:r>
              <w:rPr>
                <w:rFonts w:hint="eastAsia" w:ascii="宋体" w:hAnsi="宋体" w:eastAsia="宋体" w:cs="宋体"/>
                <w:b w:val="0"/>
                <w:bCs w:val="0"/>
                <w:color w:val="auto"/>
                <w:kern w:val="2"/>
                <w:sz w:val="24"/>
                <w:szCs w:val="24"/>
                <w:highlight w:val="none"/>
                <w:rtl w:val="0"/>
                <w:lang w:val="en-US" w:eastAsia="zh-CN" w:bidi="ar-SA"/>
              </w:rPr>
              <w:t>级；</w:t>
            </w:r>
            <w:r>
              <w:rPr>
                <w:rFonts w:hint="eastAsia" w:ascii="微软雅黑" w:hAnsi="微软雅黑" w:eastAsia="微软雅黑" w:cs="微软雅黑"/>
                <w:b w:val="0"/>
                <w:bCs w:val="0"/>
                <w:color w:val="auto"/>
                <w:kern w:val="2"/>
                <w:sz w:val="24"/>
                <w:szCs w:val="24"/>
                <w:highlight w:val="none"/>
                <w:rtl w:val="0"/>
                <w:lang w:val="en-US" w:eastAsia="zh-CN" w:bidi="ar-SA"/>
              </w:rPr>
              <w:t>⑨</w:t>
            </w:r>
            <w:r>
              <w:rPr>
                <w:rFonts w:hint="eastAsia" w:ascii="宋体" w:hAnsi="宋体" w:eastAsia="宋体" w:cs="宋体"/>
                <w:b w:val="0"/>
                <w:bCs w:val="0"/>
                <w:color w:val="auto"/>
                <w:kern w:val="2"/>
                <w:sz w:val="24"/>
                <w:szCs w:val="24"/>
                <w:highlight w:val="none"/>
                <w:rtl w:val="0"/>
                <w:lang w:val="en-US" w:eastAsia="en-US" w:bidi="ar-SA"/>
              </w:rPr>
              <w:t>耐</w:t>
            </w:r>
            <w:r>
              <w:rPr>
                <w:rFonts w:hint="eastAsia" w:ascii="宋体" w:hAnsi="宋体" w:eastAsia="宋体" w:cs="宋体"/>
                <w:b w:val="0"/>
                <w:bCs w:val="0"/>
                <w:color w:val="auto"/>
                <w:kern w:val="2"/>
                <w:sz w:val="24"/>
                <w:szCs w:val="24"/>
                <w:highlight w:val="none"/>
                <w:rtl w:val="0"/>
                <w:lang w:val="en-US" w:eastAsia="zh-CN" w:bidi="ar-SA"/>
              </w:rPr>
              <w:t>人工气候</w:t>
            </w:r>
            <w:r>
              <w:rPr>
                <w:rFonts w:hint="eastAsia" w:ascii="宋体" w:hAnsi="宋体" w:eastAsia="宋体" w:cs="宋体"/>
                <w:b w:val="0"/>
                <w:bCs w:val="0"/>
                <w:color w:val="auto"/>
                <w:kern w:val="2"/>
                <w:sz w:val="24"/>
                <w:szCs w:val="24"/>
                <w:highlight w:val="none"/>
                <w:rtl w:val="0"/>
                <w:lang w:val="en-US" w:eastAsia="en-US" w:bidi="ar-SA"/>
              </w:rPr>
              <w:t>老化</w:t>
            </w:r>
            <w:r>
              <w:rPr>
                <w:rFonts w:hint="eastAsia" w:ascii="宋体" w:hAnsi="宋体" w:eastAsia="宋体" w:cs="宋体"/>
                <w:b w:val="0"/>
                <w:bCs w:val="0"/>
                <w:color w:val="auto"/>
                <w:kern w:val="2"/>
                <w:sz w:val="24"/>
                <w:szCs w:val="24"/>
                <w:highlight w:val="none"/>
                <w:rtl w:val="0"/>
                <w:lang w:val="en-US" w:eastAsia="zh-CN" w:bidi="ar-SA"/>
              </w:rPr>
              <w:t>（</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i w:val="0"/>
                <w:iCs w:val="0"/>
                <w:color w:val="auto"/>
                <w:kern w:val="0"/>
                <w:sz w:val="24"/>
                <w:szCs w:val="24"/>
                <w:highlight w:val="none"/>
                <w:u w:val="none"/>
                <w:rtl w:val="0"/>
                <w:lang w:val="en-US" w:eastAsia="zh-CN" w:bidi="ar"/>
              </w:rPr>
              <w:t>60</w:t>
            </w:r>
            <w:r>
              <w:rPr>
                <w:rFonts w:hint="eastAsia" w:ascii="宋体" w:hAnsi="宋体" w:eastAsia="宋体" w:cs="宋体"/>
                <w:i w:val="0"/>
                <w:iCs w:val="0"/>
                <w:color w:val="auto"/>
                <w:kern w:val="0"/>
                <w:sz w:val="24"/>
                <w:szCs w:val="24"/>
                <w:highlight w:val="none"/>
                <w:u w:val="none"/>
                <w:rtl w:val="0"/>
                <w:lang w:val="en-US" w:eastAsia="en-US" w:bidi="ar"/>
              </w:rPr>
              <w:t>0h</w:t>
            </w:r>
            <w:r>
              <w:rPr>
                <w:rFonts w:hint="eastAsia" w:ascii="宋体" w:hAnsi="宋体" w:eastAsia="宋体" w:cs="宋体"/>
                <w:i w:val="0"/>
                <w:iCs w:val="0"/>
                <w:color w:val="auto"/>
                <w:kern w:val="0"/>
                <w:sz w:val="24"/>
                <w:szCs w:val="24"/>
                <w:highlight w:val="none"/>
                <w:u w:val="none"/>
                <w:rtl w:val="0"/>
                <w:lang w:val="en-US" w:eastAsia="zh-CN" w:bidi="ar"/>
              </w:rPr>
              <w:t>）：</w:t>
            </w:r>
            <w:r>
              <w:rPr>
                <w:rFonts w:hint="eastAsia" w:ascii="宋体" w:hAnsi="宋体" w:eastAsia="宋体" w:cs="宋体"/>
                <w:i w:val="0"/>
                <w:iCs w:val="0"/>
                <w:color w:val="auto"/>
                <w:kern w:val="0"/>
                <w:sz w:val="24"/>
                <w:szCs w:val="24"/>
                <w:highlight w:val="none"/>
                <w:u w:val="none"/>
                <w:rtl w:val="0"/>
                <w:lang w:val="en-US" w:eastAsia="en-US" w:bidi="ar"/>
              </w:rPr>
              <w:t>色差≤</w:t>
            </w:r>
            <w:r>
              <w:rPr>
                <w:rFonts w:hint="eastAsia" w:ascii="宋体" w:hAnsi="宋体" w:eastAsia="宋体" w:cs="宋体"/>
                <w:i w:val="0"/>
                <w:iCs w:val="0"/>
                <w:color w:val="auto"/>
                <w:kern w:val="0"/>
                <w:sz w:val="24"/>
                <w:szCs w:val="24"/>
                <w:highlight w:val="none"/>
                <w:u w:val="none"/>
                <w:rtl w:val="0"/>
                <w:lang w:val="en-US" w:eastAsia="zh-CN" w:bidi="ar"/>
              </w:rPr>
              <w:t>1</w:t>
            </w:r>
            <w:r>
              <w:rPr>
                <w:rFonts w:hint="eastAsia" w:ascii="宋体" w:hAnsi="宋体" w:eastAsia="宋体" w:cs="宋体"/>
                <w:i w:val="0"/>
                <w:iCs w:val="0"/>
                <w:color w:val="auto"/>
                <w:kern w:val="0"/>
                <w:sz w:val="24"/>
                <w:szCs w:val="24"/>
                <w:highlight w:val="none"/>
                <w:u w:val="none"/>
                <w:rtl w:val="0"/>
                <w:lang w:val="en-US" w:eastAsia="en-US" w:bidi="ar"/>
              </w:rPr>
              <w:t>.0</w:t>
            </w:r>
            <w:r>
              <w:rPr>
                <w:rFonts w:hint="eastAsia" w:ascii="宋体" w:hAnsi="宋体" w:eastAsia="宋体" w:cs="宋体"/>
                <w:i w:val="0"/>
                <w:iCs w:val="0"/>
                <w:color w:val="auto"/>
                <w:kern w:val="0"/>
                <w:sz w:val="24"/>
                <w:szCs w:val="24"/>
                <w:highlight w:val="none"/>
                <w:u w:val="none"/>
                <w:rtl w:val="0"/>
                <w:lang w:val="en-US" w:eastAsia="zh-CN" w:bidi="ar"/>
              </w:rPr>
              <w:t>、</w:t>
            </w:r>
            <w:r>
              <w:rPr>
                <w:rFonts w:hint="eastAsia" w:ascii="宋体" w:hAnsi="宋体" w:eastAsia="宋体" w:cs="宋体"/>
                <w:i w:val="0"/>
                <w:iCs w:val="0"/>
                <w:color w:val="auto"/>
                <w:kern w:val="0"/>
                <w:sz w:val="24"/>
                <w:szCs w:val="24"/>
                <w:highlight w:val="none"/>
                <w:u w:val="none"/>
                <w:rtl w:val="0"/>
                <w:lang w:val="en-US" w:eastAsia="en-US" w:bidi="ar"/>
              </w:rPr>
              <w:t>失光等级不次于2</w:t>
            </w:r>
            <w:r>
              <w:rPr>
                <w:rFonts w:hint="eastAsia" w:ascii="宋体" w:hAnsi="宋体" w:eastAsia="宋体" w:cs="宋体"/>
                <w:i w:val="0"/>
                <w:iCs w:val="0"/>
                <w:color w:val="auto"/>
                <w:kern w:val="0"/>
                <w:sz w:val="24"/>
                <w:szCs w:val="24"/>
                <w:highlight w:val="none"/>
                <w:u w:val="none"/>
                <w:rtl w:val="0"/>
                <w:lang w:val="en-US" w:eastAsia="zh-CN" w:bidi="ar"/>
              </w:rPr>
              <w:t>级、</w:t>
            </w:r>
            <w:r>
              <w:rPr>
                <w:rFonts w:hint="eastAsia" w:ascii="宋体" w:hAnsi="宋体" w:eastAsia="宋体" w:cs="宋体"/>
                <w:i w:val="0"/>
                <w:iCs w:val="0"/>
                <w:color w:val="auto"/>
                <w:kern w:val="0"/>
                <w:sz w:val="24"/>
                <w:szCs w:val="24"/>
                <w:highlight w:val="none"/>
                <w:u w:val="none"/>
                <w:rtl w:val="0"/>
                <w:lang w:val="en-US" w:eastAsia="en-US" w:bidi="ar"/>
              </w:rPr>
              <w:t>其他老化性能</w:t>
            </w:r>
            <w:r>
              <w:rPr>
                <w:rFonts w:hint="eastAsia" w:ascii="宋体" w:hAnsi="宋体" w:eastAsia="宋体" w:cs="宋体"/>
                <w:i w:val="0"/>
                <w:iCs w:val="0"/>
                <w:color w:val="auto"/>
                <w:kern w:val="0"/>
                <w:sz w:val="24"/>
                <w:szCs w:val="24"/>
                <w:highlight w:val="none"/>
                <w:u w:val="none"/>
                <w:rtl w:val="0"/>
                <w:lang w:val="en-US" w:eastAsia="zh-CN" w:bidi="ar"/>
              </w:rPr>
              <w:t>≥0级。</w:t>
            </w:r>
            <w:r>
              <w:rPr>
                <w:rFonts w:hint="eastAsia" w:ascii="宋体" w:hAnsi="宋体" w:eastAsia="宋体" w:cs="宋体"/>
                <w:i w:val="0"/>
                <w:iCs w:val="0"/>
                <w:color w:val="auto"/>
                <w:kern w:val="0"/>
                <w:sz w:val="24"/>
                <w:szCs w:val="24"/>
                <w:highlight w:val="none"/>
                <w:u w:val="none"/>
                <w:rtl w:val="0"/>
                <w:lang w:val="zh-CN" w:eastAsia="en-US" w:bidi="ar"/>
              </w:rPr>
              <w:t>检测</w:t>
            </w:r>
            <w:r>
              <w:rPr>
                <w:rFonts w:hint="eastAsia" w:ascii="宋体" w:hAnsi="宋体" w:eastAsia="宋体" w:cs="宋体"/>
                <w:i w:val="0"/>
                <w:iCs w:val="0"/>
                <w:color w:val="auto"/>
                <w:kern w:val="0"/>
                <w:sz w:val="24"/>
                <w:szCs w:val="24"/>
                <w:highlight w:val="none"/>
                <w:u w:val="none"/>
                <w:rtl w:val="0"/>
                <w:lang w:val="en-US" w:eastAsia="zh-CN" w:bidi="ar"/>
              </w:rPr>
              <w:t>依据</w:t>
            </w:r>
            <w:r>
              <w:rPr>
                <w:rFonts w:hint="eastAsia" w:ascii="宋体" w:hAnsi="宋体" w:eastAsia="宋体" w:cs="宋体"/>
                <w:i w:val="0"/>
                <w:iCs w:val="0"/>
                <w:color w:val="auto"/>
                <w:kern w:val="0"/>
                <w:sz w:val="24"/>
                <w:szCs w:val="24"/>
                <w:highlight w:val="none"/>
                <w:u w:val="none"/>
                <w:rtl w:val="0"/>
                <w:lang w:val="zh-CN" w:eastAsia="en-US" w:bidi="ar"/>
              </w:rPr>
              <w:t>符合：</w:t>
            </w:r>
            <w:r>
              <w:rPr>
                <w:rFonts w:hint="eastAsia" w:ascii="宋体" w:hAnsi="宋体" w:eastAsia="宋体" w:cs="宋体"/>
                <w:i w:val="0"/>
                <w:iCs w:val="0"/>
                <w:color w:val="auto"/>
                <w:kern w:val="0"/>
                <w:sz w:val="24"/>
                <w:szCs w:val="24"/>
                <w:highlight w:val="none"/>
                <w:u w:val="none"/>
                <w:rtl w:val="0"/>
                <w:lang w:val="en-US" w:eastAsia="zh-CN" w:bidi="ar"/>
              </w:rPr>
              <w:t>QB/T3832-1999、QB/T3826-1999、QB/T3827-1999、GB/T10125-2021、GB/T3274-2017、YB/T4516-2016</w:t>
            </w:r>
            <w:r>
              <w:rPr>
                <w:rFonts w:hint="eastAsia" w:ascii="宋体" w:hAnsi="宋体" w:eastAsia="宋体" w:cs="宋体"/>
                <w:i w:val="0"/>
                <w:iCs w:val="0"/>
                <w:color w:val="auto"/>
                <w:kern w:val="0"/>
                <w:sz w:val="24"/>
                <w:szCs w:val="24"/>
                <w:highlight w:val="none"/>
                <w:u w:val="none"/>
                <w:lang w:val="en-US" w:eastAsia="zh-CN" w:bidi="ar"/>
              </w:rPr>
              <w:t>、GB/T3325-2024</w:t>
            </w:r>
            <w:r>
              <w:rPr>
                <w:rFonts w:hint="eastAsia" w:ascii="宋体" w:hAnsi="宋体" w:eastAsia="宋体" w:cs="宋体"/>
                <w:i w:val="0"/>
                <w:iCs w:val="0"/>
                <w:color w:val="auto"/>
                <w:kern w:val="0"/>
                <w:sz w:val="24"/>
                <w:szCs w:val="24"/>
                <w:highlight w:val="none"/>
                <w:u w:val="none"/>
                <w:rtl w:val="0"/>
                <w:lang w:val="en-US" w:eastAsia="zh-CN" w:bidi="ar"/>
              </w:rPr>
              <w:t>等标准。</w:t>
            </w:r>
          </w:p>
        </w:tc>
      </w:tr>
      <w:tr>
        <w:tblPrEx>
          <w:tblCellMar>
            <w:top w:w="0" w:type="dxa"/>
            <w:left w:w="108" w:type="dxa"/>
            <w:bottom w:w="0" w:type="dxa"/>
            <w:right w:w="108" w:type="dxa"/>
          </w:tblCellMar>
        </w:tblPrEx>
        <w:trPr>
          <w:trHeight w:val="90" w:hRule="atLeast"/>
          <w:jc w:val="center"/>
        </w:trPr>
        <w:tc>
          <w:tcPr>
            <w:tcW w:w="395"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w:t>
            </w:r>
          </w:p>
        </w:tc>
        <w:tc>
          <w:tcPr>
            <w:tcW w:w="4604" w:type="pct"/>
            <w:tcBorders>
              <w:top w:val="nil"/>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 传动机构</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底盘传动：底盘架构成移动基础和承载体，其他部件均安装在其上，均采用机械原理装配确保底盘不变形，传动机构采用中间驱动两边主动轮/被动轮。传动轴通过轴承座与轴承支架支撑在底盘框架上，成为动力的核心传输轴，其轴线与轨道平行，主动轮/被动轮用键槽加顶丝安装固定于传动轴上，实现轴与轮之间动力向轨道的传递。主动链轮用弹性销固定在中部传动轴上，被动链轮用弹性销固定在两边传动轴上，链条绕装在主动链轮、被动链轮上，形成闭合环路。确保强度和平顺过渡，阻力微小、动作流畅，没有滞涩或卡顿。</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2）摇手传动：</w:t>
            </w:r>
            <w:r>
              <w:rPr>
                <w:rFonts w:hint="eastAsia" w:ascii="宋体" w:hAnsi="宋体" w:eastAsia="宋体" w:cs="宋体"/>
                <w:b w:val="0"/>
                <w:bCs w:val="0"/>
                <w:color w:val="auto"/>
                <w:sz w:val="24"/>
                <w:szCs w:val="24"/>
                <w:highlight w:val="none"/>
              </w:rPr>
              <w:t>自动折叠摇把：手柄可以自动缓慢折叠，可避免通道障碍，摇动任何一列均不会带动其他手柄转动，自动</w:t>
            </w:r>
            <w:r>
              <w:rPr>
                <w:rFonts w:hint="eastAsia" w:ascii="宋体" w:hAnsi="宋体" w:eastAsia="宋体" w:cs="宋体"/>
                <w:b w:val="0"/>
                <w:bCs w:val="0"/>
                <w:color w:val="auto"/>
                <w:sz w:val="24"/>
                <w:szCs w:val="24"/>
                <w:highlight w:val="none"/>
                <w:lang w:eastAsia="zh-CN"/>
              </w:rPr>
              <w:t>挂挡</w:t>
            </w:r>
            <w:r>
              <w:rPr>
                <w:rFonts w:hint="eastAsia" w:ascii="宋体" w:hAnsi="宋体" w:eastAsia="宋体" w:cs="宋体"/>
                <w:b w:val="0"/>
                <w:bCs w:val="0"/>
                <w:color w:val="auto"/>
                <w:sz w:val="24"/>
                <w:szCs w:val="24"/>
                <w:highlight w:val="none"/>
              </w:rPr>
              <w:t>，可单列或多列一起移动。</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3）传动部件</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①摇手柄：手柄可折叠，摇动轻便。</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②传动轴：采用φ20, 45#冷拉实心圆钢。</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②连接管：采用优质无缝钢管。</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 w:val="0"/>
                <w:bCs w:val="0"/>
                <w:color w:val="auto"/>
                <w:kern w:val="0"/>
                <w:sz w:val="24"/>
                <w:szCs w:val="24"/>
                <w:highlight w:val="none"/>
                <w:lang w:bidi="ar"/>
              </w:rPr>
            </w:pPr>
            <w:r>
              <w:rPr>
                <w:rFonts w:hint="eastAsia" w:ascii="宋体" w:hAnsi="宋体" w:eastAsia="宋体" w:cs="宋体"/>
                <w:b w:val="0"/>
                <w:bCs w:val="0"/>
                <w:color w:val="auto"/>
                <w:kern w:val="0"/>
                <w:sz w:val="24"/>
                <w:szCs w:val="24"/>
                <w:highlight w:val="none"/>
                <w:lang w:bidi="ar"/>
              </w:rPr>
              <w:t>③轴承：表面粗糙度≤0.6μm；洛氏硬度≥23 HRC。</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 w:val="0"/>
                <w:bCs w:val="0"/>
                <w:color w:val="auto"/>
                <w:kern w:val="0"/>
                <w:sz w:val="24"/>
                <w:szCs w:val="24"/>
                <w:highlight w:val="none"/>
                <w:lang w:bidi="ar"/>
              </w:rPr>
            </w:pPr>
            <w:r>
              <w:rPr>
                <w:rFonts w:hint="eastAsia" w:ascii="宋体" w:hAnsi="宋体" w:eastAsia="宋体" w:cs="宋体"/>
                <w:b w:val="0"/>
                <w:bCs w:val="0"/>
                <w:color w:val="auto"/>
                <w:kern w:val="0"/>
                <w:sz w:val="24"/>
                <w:szCs w:val="24"/>
                <w:highlight w:val="none"/>
                <w:lang w:bidi="ar"/>
              </w:rPr>
              <w:t>④链条：采用φ8.5，节距 12．7摩托车滚子链条。</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宋体" w:hAnsi="宋体" w:eastAsia="宋体" w:cs="宋体"/>
                <w:b w:val="0"/>
                <w:bCs w:val="0"/>
                <w:color w:val="auto"/>
                <w:sz w:val="24"/>
                <w:szCs w:val="24"/>
                <w:highlight w:val="none"/>
              </w:rPr>
              <w:t>⑤传动板：双向超越离合器结构，链条传动，摇把可自由挂档脱落，摇动轻便。</w:t>
            </w:r>
          </w:p>
        </w:tc>
      </w:tr>
      <w:tr>
        <w:tblPrEx>
          <w:tblCellMar>
            <w:top w:w="0" w:type="dxa"/>
            <w:left w:w="108" w:type="dxa"/>
            <w:bottom w:w="0" w:type="dxa"/>
            <w:right w:w="108" w:type="dxa"/>
          </w:tblCellMar>
        </w:tblPrEx>
        <w:trPr>
          <w:trHeight w:val="1293" w:hRule="atLeast"/>
          <w:jc w:val="center"/>
        </w:trPr>
        <w:tc>
          <w:tcPr>
            <w:tcW w:w="395"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4</w:t>
            </w:r>
          </w:p>
        </w:tc>
        <w:tc>
          <w:tcPr>
            <w:tcW w:w="4604" w:type="pct"/>
            <w:tcBorders>
              <w:top w:val="nil"/>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 防倒钩：采用≥3.</w:t>
            </w:r>
            <w:r>
              <w:rPr>
                <w:rFonts w:hint="eastAsia"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mm厚热轧钢板冲压成型，该装置确保</w:t>
            </w:r>
            <w:r>
              <w:rPr>
                <w:rFonts w:hint="eastAsia" w:hAnsi="宋体" w:cs="宋体"/>
                <w:b w:val="0"/>
                <w:bCs w:val="0"/>
                <w:color w:val="auto"/>
                <w:sz w:val="24"/>
                <w:szCs w:val="24"/>
                <w:highlight w:val="none"/>
                <w:lang w:val="en-US" w:eastAsia="zh-CN"/>
              </w:rPr>
              <w:t>密集柜</w:t>
            </w:r>
            <w:r>
              <w:rPr>
                <w:rFonts w:hint="eastAsia" w:ascii="宋体" w:hAnsi="宋体" w:eastAsia="宋体" w:cs="宋体"/>
                <w:b w:val="0"/>
                <w:bCs w:val="0"/>
                <w:color w:val="auto"/>
                <w:sz w:val="24"/>
                <w:szCs w:val="24"/>
                <w:highlight w:val="none"/>
                <w:lang w:val="en-US" w:eastAsia="zh-CN"/>
              </w:rPr>
              <w:t>在</w:t>
            </w:r>
            <w:r>
              <w:rPr>
                <w:rFonts w:hint="eastAsia" w:hAnsi="宋体" w:cs="宋体"/>
                <w:b w:val="0"/>
                <w:bCs w:val="0"/>
                <w:color w:val="auto"/>
                <w:sz w:val="24"/>
                <w:szCs w:val="24"/>
                <w:highlight w:val="none"/>
                <w:lang w:val="en-US" w:eastAsia="zh-CN"/>
              </w:rPr>
              <w:t>密集柜</w:t>
            </w:r>
            <w:r>
              <w:rPr>
                <w:rFonts w:hint="eastAsia" w:ascii="宋体" w:hAnsi="宋体" w:eastAsia="宋体" w:cs="宋体"/>
                <w:b w:val="0"/>
                <w:bCs w:val="0"/>
                <w:color w:val="auto"/>
                <w:sz w:val="24"/>
                <w:szCs w:val="24"/>
                <w:highlight w:val="none"/>
                <w:lang w:val="en-US" w:eastAsia="zh-CN"/>
              </w:rPr>
              <w:t>运动过程中或静止状态下都能起到良好的防倾倒的作用，从而确保人员、设备及财产安全。</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质量要求满足：</w:t>
            </w:r>
            <w:r>
              <w:rPr>
                <w:rFonts w:hint="eastAsia" w:ascii="宋体" w:hAnsi="宋体" w:eastAsia="宋体" w:cs="宋体"/>
                <w:i w:val="0"/>
                <w:iCs w:val="0"/>
                <w:caps w:val="0"/>
                <w:color w:val="auto"/>
                <w:spacing w:val="0"/>
                <w:sz w:val="24"/>
                <w:szCs w:val="24"/>
                <w:highlight w:val="none"/>
                <w:shd w:val="clear" w:fill="FFFFFF"/>
              </w:rPr>
              <w:t xml:space="preserve">① </w:t>
            </w:r>
            <w:r>
              <w:rPr>
                <w:rFonts w:hint="eastAsia" w:ascii="宋体" w:hAnsi="宋体" w:eastAsia="宋体" w:cs="宋体"/>
                <w:i w:val="0"/>
                <w:iCs w:val="0"/>
                <w:caps w:val="0"/>
                <w:color w:val="auto"/>
                <w:spacing w:val="0"/>
                <w:sz w:val="24"/>
                <w:szCs w:val="24"/>
                <w:highlight w:val="none"/>
                <w:shd w:val="clear" w:fill="FFFFFF"/>
                <w:lang w:val="en-US" w:eastAsia="zh-CN"/>
              </w:rPr>
              <w:t>漆膜厚度</w:t>
            </w:r>
            <w:r>
              <w:rPr>
                <w:rFonts w:hint="eastAsia" w:ascii="宋体" w:hAnsi="宋体" w:eastAsia="宋体" w:cs="宋体"/>
                <w:b w:val="0"/>
                <w:bCs w:val="0"/>
                <w:color w:val="auto"/>
                <w:kern w:val="2"/>
                <w:sz w:val="24"/>
                <w:szCs w:val="24"/>
                <w:highlight w:val="none"/>
                <w:rtl w:val="0"/>
                <w:lang w:val="zh-CN" w:eastAsia="en-US" w:bidi="ar-SA"/>
              </w:rPr>
              <w:t>：≥60μm；</w:t>
            </w:r>
            <w:r>
              <w:rPr>
                <w:rFonts w:hint="eastAsia" w:ascii="宋体" w:hAnsi="宋体" w:eastAsia="宋体" w:cs="宋体"/>
                <w:i w:val="0"/>
                <w:iCs w:val="0"/>
                <w:caps w:val="0"/>
                <w:color w:val="auto"/>
                <w:spacing w:val="0"/>
                <w:sz w:val="24"/>
                <w:szCs w:val="24"/>
                <w:highlight w:val="none"/>
                <w:shd w:val="clear" w:fill="FFFFFF"/>
              </w:rPr>
              <w:t>②</w:t>
            </w:r>
            <w:r>
              <w:rPr>
                <w:rFonts w:hint="eastAsia" w:ascii="宋体" w:hAnsi="宋体" w:eastAsia="宋体" w:cs="宋体"/>
                <w:b w:val="0"/>
                <w:bCs w:val="0"/>
                <w:color w:val="auto"/>
                <w:kern w:val="2"/>
                <w:sz w:val="24"/>
                <w:szCs w:val="24"/>
                <w:highlight w:val="none"/>
                <w:rtl w:val="0"/>
                <w:lang w:val="zh-CN" w:eastAsia="en-US" w:bidi="ar-SA"/>
              </w:rPr>
              <w:t>循环加速腐蚀试验：经循环加速腐蚀试验</w:t>
            </w:r>
            <w:r>
              <w:rPr>
                <w:rFonts w:hint="eastAsia" w:ascii="宋体" w:hAnsi="宋体" w:eastAsia="宋体" w:cs="宋体"/>
                <w:b w:val="0"/>
                <w:bCs w:val="0"/>
                <w:color w:val="auto"/>
                <w:kern w:val="2"/>
                <w:sz w:val="24"/>
                <w:szCs w:val="24"/>
                <w:highlight w:val="none"/>
                <w:rtl w:val="0"/>
                <w:lang w:val="en-US" w:eastAsia="zh-CN" w:bidi="ar-SA"/>
              </w:rPr>
              <w:t>不少于</w:t>
            </w:r>
            <w:r>
              <w:rPr>
                <w:rFonts w:hint="eastAsia" w:ascii="宋体" w:hAnsi="宋体" w:eastAsia="宋体" w:cs="宋体"/>
                <w:b w:val="0"/>
                <w:bCs w:val="0"/>
                <w:color w:val="auto"/>
                <w:kern w:val="2"/>
                <w:sz w:val="24"/>
                <w:szCs w:val="24"/>
                <w:highlight w:val="none"/>
                <w:rtl w:val="0"/>
                <w:lang w:val="zh-CN" w:eastAsia="en-US" w:bidi="ar-SA"/>
              </w:rPr>
              <w:t>60个循环，外观评级Ra≥</w:t>
            </w:r>
            <w:r>
              <w:rPr>
                <w:rFonts w:hint="eastAsia" w:ascii="宋体" w:hAnsi="宋体" w:eastAsia="宋体" w:cs="宋体"/>
                <w:b w:val="0"/>
                <w:bCs w:val="0"/>
                <w:color w:val="auto"/>
                <w:kern w:val="2"/>
                <w:sz w:val="24"/>
                <w:szCs w:val="24"/>
                <w:highlight w:val="none"/>
                <w:rtl w:val="0"/>
                <w:lang w:val="en-US" w:eastAsia="zh-CN" w:bidi="ar-SA"/>
              </w:rPr>
              <w:t>9</w:t>
            </w:r>
            <w:r>
              <w:rPr>
                <w:rFonts w:hint="eastAsia" w:ascii="宋体" w:hAnsi="宋体" w:eastAsia="宋体" w:cs="宋体"/>
                <w:b w:val="0"/>
                <w:bCs w:val="0"/>
                <w:color w:val="auto"/>
                <w:kern w:val="2"/>
                <w:sz w:val="24"/>
                <w:szCs w:val="24"/>
                <w:highlight w:val="none"/>
                <w:rtl w:val="0"/>
                <w:lang w:val="zh-CN" w:eastAsia="en-US" w:bidi="ar-SA"/>
              </w:rPr>
              <w:t>级，保护评级Rp≥</w:t>
            </w:r>
            <w:r>
              <w:rPr>
                <w:rFonts w:hint="eastAsia" w:ascii="宋体" w:hAnsi="宋体" w:eastAsia="宋体" w:cs="宋体"/>
                <w:b w:val="0"/>
                <w:bCs w:val="0"/>
                <w:color w:val="auto"/>
                <w:kern w:val="2"/>
                <w:sz w:val="24"/>
                <w:szCs w:val="24"/>
                <w:highlight w:val="none"/>
                <w:rtl w:val="0"/>
                <w:lang w:val="en-US" w:eastAsia="zh-CN" w:bidi="ar-SA"/>
              </w:rPr>
              <w:t>9</w:t>
            </w:r>
            <w:r>
              <w:rPr>
                <w:rFonts w:hint="eastAsia" w:ascii="宋体" w:hAnsi="宋体" w:eastAsia="宋体" w:cs="宋体"/>
                <w:b w:val="0"/>
                <w:bCs w:val="0"/>
                <w:color w:val="auto"/>
                <w:kern w:val="2"/>
                <w:sz w:val="24"/>
                <w:szCs w:val="24"/>
                <w:highlight w:val="none"/>
                <w:rtl w:val="0"/>
                <w:lang w:val="zh-CN" w:eastAsia="en-US" w:bidi="ar-SA"/>
              </w:rPr>
              <w:t>级；</w:t>
            </w:r>
            <w:r>
              <w:rPr>
                <w:rFonts w:hint="eastAsia" w:ascii="宋体" w:hAnsi="宋体" w:eastAsia="宋体" w:cs="宋体"/>
                <w:i w:val="0"/>
                <w:iCs w:val="0"/>
                <w:caps w:val="0"/>
                <w:color w:val="auto"/>
                <w:spacing w:val="0"/>
                <w:sz w:val="24"/>
                <w:szCs w:val="24"/>
                <w:highlight w:val="none"/>
                <w:shd w:val="clear" w:fill="FFFFFF"/>
              </w:rPr>
              <w:t xml:space="preserve">③ </w:t>
            </w:r>
            <w:r>
              <w:rPr>
                <w:rFonts w:hint="eastAsia" w:ascii="宋体" w:hAnsi="宋体" w:eastAsia="宋体" w:cs="宋体"/>
                <w:b w:val="0"/>
                <w:bCs w:val="0"/>
                <w:color w:val="auto"/>
                <w:kern w:val="2"/>
                <w:sz w:val="24"/>
                <w:szCs w:val="24"/>
                <w:highlight w:val="none"/>
                <w:rtl w:val="0"/>
                <w:lang w:val="zh-CN" w:eastAsia="en-US" w:bidi="ar-SA"/>
              </w:rPr>
              <w:t>漏点：涂层无漏点；</w:t>
            </w:r>
            <w:r>
              <w:rPr>
                <w:rFonts w:hint="eastAsia" w:ascii="宋体" w:hAnsi="宋体" w:eastAsia="宋体" w:cs="宋体"/>
                <w:i w:val="0"/>
                <w:iCs w:val="0"/>
                <w:caps w:val="0"/>
                <w:color w:val="auto"/>
                <w:spacing w:val="0"/>
                <w:sz w:val="24"/>
                <w:szCs w:val="24"/>
                <w:highlight w:val="none"/>
                <w:shd w:val="clear" w:fill="FFFFFF"/>
              </w:rPr>
              <w:t xml:space="preserve"> ④ </w:t>
            </w:r>
            <w:r>
              <w:rPr>
                <w:rFonts w:hint="eastAsia" w:ascii="宋体" w:hAnsi="宋体" w:eastAsia="宋体" w:cs="宋体"/>
                <w:b w:val="0"/>
                <w:bCs w:val="0"/>
                <w:color w:val="auto"/>
                <w:kern w:val="2"/>
                <w:sz w:val="24"/>
                <w:szCs w:val="24"/>
                <w:highlight w:val="none"/>
                <w:rtl w:val="0"/>
                <w:lang w:val="zh-CN" w:eastAsia="en-US" w:bidi="ar-SA"/>
              </w:rPr>
              <w:t>化学成分：C≤0.</w:t>
            </w:r>
            <w:r>
              <w:rPr>
                <w:rFonts w:hint="eastAsia" w:ascii="宋体" w:hAnsi="宋体" w:eastAsia="宋体" w:cs="宋体"/>
                <w:b w:val="0"/>
                <w:bCs w:val="0"/>
                <w:color w:val="auto"/>
                <w:kern w:val="2"/>
                <w:sz w:val="24"/>
                <w:szCs w:val="24"/>
                <w:highlight w:val="none"/>
                <w:rtl w:val="0"/>
                <w:lang w:val="en-US" w:eastAsia="zh-CN" w:bidi="ar-SA"/>
              </w:rPr>
              <w:t>20%</w:t>
            </w:r>
            <w:r>
              <w:rPr>
                <w:rFonts w:hint="eastAsia" w:ascii="宋体" w:hAnsi="宋体" w:eastAsia="宋体" w:cs="宋体"/>
                <w:b w:val="0"/>
                <w:bCs w:val="0"/>
                <w:color w:val="auto"/>
                <w:kern w:val="2"/>
                <w:sz w:val="24"/>
                <w:szCs w:val="24"/>
                <w:highlight w:val="none"/>
                <w:rtl w:val="0"/>
                <w:lang w:val="zh-CN" w:eastAsia="en-US" w:bidi="ar-SA"/>
              </w:rPr>
              <w:t>、Mn≤</w:t>
            </w:r>
            <w:r>
              <w:rPr>
                <w:rFonts w:hint="eastAsia" w:ascii="宋体" w:hAnsi="宋体" w:eastAsia="宋体" w:cs="宋体"/>
                <w:b w:val="0"/>
                <w:bCs w:val="0"/>
                <w:color w:val="auto"/>
                <w:kern w:val="2"/>
                <w:sz w:val="24"/>
                <w:szCs w:val="24"/>
                <w:highlight w:val="none"/>
                <w:rtl w:val="0"/>
                <w:lang w:val="en-US" w:eastAsia="zh-CN" w:bidi="ar-SA"/>
              </w:rPr>
              <w:t>1.40%</w:t>
            </w:r>
            <w:r>
              <w:rPr>
                <w:rFonts w:hint="eastAsia" w:ascii="宋体" w:hAnsi="宋体" w:eastAsia="宋体" w:cs="宋体"/>
                <w:b w:val="0"/>
                <w:bCs w:val="0"/>
                <w:color w:val="auto"/>
                <w:kern w:val="2"/>
                <w:sz w:val="24"/>
                <w:szCs w:val="24"/>
                <w:highlight w:val="none"/>
                <w:rtl w:val="0"/>
                <w:lang w:val="zh-CN" w:eastAsia="en-US" w:bidi="ar-SA"/>
              </w:rPr>
              <w:t>、P≤</w:t>
            </w:r>
            <w:r>
              <w:rPr>
                <w:rFonts w:hint="eastAsia" w:ascii="宋体" w:hAnsi="宋体" w:eastAsia="宋体" w:cs="宋体"/>
                <w:b w:val="0"/>
                <w:bCs w:val="0"/>
                <w:color w:val="auto"/>
                <w:kern w:val="2"/>
                <w:sz w:val="24"/>
                <w:szCs w:val="24"/>
                <w:highlight w:val="none"/>
                <w:rtl w:val="0"/>
                <w:lang w:val="en-US" w:eastAsia="zh-CN" w:bidi="ar-SA"/>
              </w:rPr>
              <w:t>0.045%</w:t>
            </w:r>
            <w:r>
              <w:rPr>
                <w:rFonts w:hint="eastAsia" w:ascii="宋体" w:hAnsi="宋体" w:eastAsia="宋体" w:cs="宋体"/>
                <w:b w:val="0"/>
                <w:bCs w:val="0"/>
                <w:color w:val="auto"/>
                <w:kern w:val="2"/>
                <w:sz w:val="24"/>
                <w:szCs w:val="24"/>
                <w:highlight w:val="none"/>
                <w:rtl w:val="0"/>
                <w:lang w:val="zh-CN" w:eastAsia="en-US" w:bidi="ar-SA"/>
              </w:rPr>
              <w:t>、S≤0.0</w:t>
            </w:r>
            <w:r>
              <w:rPr>
                <w:rFonts w:hint="eastAsia" w:ascii="宋体" w:hAnsi="宋体" w:eastAsia="宋体" w:cs="宋体"/>
                <w:b w:val="0"/>
                <w:bCs w:val="0"/>
                <w:color w:val="auto"/>
                <w:kern w:val="2"/>
                <w:sz w:val="24"/>
                <w:szCs w:val="24"/>
                <w:highlight w:val="none"/>
                <w:rtl w:val="0"/>
                <w:lang w:val="en-US" w:eastAsia="zh-CN" w:bidi="ar-SA"/>
              </w:rPr>
              <w:t>45%、Si≤0.35%；</w:t>
            </w:r>
            <w:r>
              <w:rPr>
                <w:rFonts w:hint="eastAsia" w:ascii="宋体" w:hAnsi="宋体" w:eastAsia="宋体" w:cs="宋体"/>
                <w:i w:val="0"/>
                <w:iCs w:val="0"/>
                <w:caps w:val="0"/>
                <w:color w:val="auto"/>
                <w:spacing w:val="0"/>
                <w:sz w:val="24"/>
                <w:szCs w:val="24"/>
                <w:highlight w:val="none"/>
                <w:shd w:val="clear" w:fill="FFFFFF"/>
              </w:rPr>
              <w:t>⑤</w:t>
            </w:r>
            <w:r>
              <w:rPr>
                <w:rFonts w:hint="eastAsia" w:ascii="宋体" w:hAnsi="宋体" w:eastAsia="宋体" w:cs="宋体"/>
                <w:b w:val="0"/>
                <w:bCs w:val="0"/>
                <w:color w:val="auto"/>
                <w:kern w:val="2"/>
                <w:sz w:val="24"/>
                <w:szCs w:val="24"/>
                <w:highlight w:val="none"/>
                <w:rtl w:val="0"/>
                <w:lang w:val="zh-CN" w:eastAsia="en-US" w:bidi="ar-SA"/>
              </w:rPr>
              <w:t>力学性能：抗拉强度</w:t>
            </w:r>
            <w:r>
              <w:rPr>
                <w:rFonts w:hint="eastAsia" w:ascii="宋体" w:hAnsi="宋体" w:eastAsia="宋体" w:cs="宋体"/>
                <w:b w:val="0"/>
                <w:bCs w:val="0"/>
                <w:color w:val="auto"/>
                <w:kern w:val="2"/>
                <w:sz w:val="24"/>
                <w:szCs w:val="24"/>
                <w:highlight w:val="none"/>
                <w:rtl w:val="0"/>
                <w:lang w:val="en-US" w:eastAsia="zh-CN" w:bidi="ar-SA"/>
              </w:rPr>
              <w:t>370-500N/mm</w:t>
            </w:r>
            <w:r>
              <w:rPr>
                <w:rFonts w:hint="eastAsia" w:ascii="宋体" w:hAnsi="宋体" w:eastAsia="宋体" w:cs="宋体"/>
                <w:b w:val="0"/>
                <w:bCs w:val="0"/>
                <w:color w:val="auto"/>
                <w:kern w:val="2"/>
                <w:sz w:val="24"/>
                <w:szCs w:val="24"/>
                <w:highlight w:val="none"/>
                <w:vertAlign w:val="superscript"/>
                <w:rtl w:val="0"/>
                <w:lang w:val="en-US" w:eastAsia="zh-CN" w:bidi="ar-SA"/>
              </w:rPr>
              <w:t>2</w:t>
            </w:r>
            <w:r>
              <w:rPr>
                <w:rFonts w:hint="eastAsia" w:ascii="宋体" w:hAnsi="宋体" w:eastAsia="宋体" w:cs="宋体"/>
                <w:b w:val="0"/>
                <w:bCs w:val="0"/>
                <w:color w:val="auto"/>
                <w:kern w:val="2"/>
                <w:sz w:val="24"/>
                <w:szCs w:val="24"/>
                <w:highlight w:val="none"/>
                <w:rtl w:val="0"/>
                <w:lang w:val="zh-CN" w:eastAsia="en-US" w:bidi="ar-SA"/>
              </w:rPr>
              <w:t>，</w:t>
            </w:r>
            <w:r>
              <w:rPr>
                <w:rFonts w:hint="eastAsia" w:ascii="宋体" w:hAnsi="宋体" w:eastAsia="宋体" w:cs="宋体"/>
                <w:b w:val="0"/>
                <w:bCs w:val="0"/>
                <w:color w:val="auto"/>
                <w:kern w:val="2"/>
                <w:sz w:val="24"/>
                <w:szCs w:val="24"/>
                <w:highlight w:val="none"/>
                <w:rtl w:val="0"/>
                <w:lang w:val="en-US" w:eastAsia="zh-CN" w:bidi="ar-SA"/>
              </w:rPr>
              <w:t>屈服强度≥235N/mm</w:t>
            </w:r>
            <w:r>
              <w:rPr>
                <w:rFonts w:hint="eastAsia" w:ascii="宋体" w:hAnsi="宋体" w:eastAsia="宋体" w:cs="宋体"/>
                <w:b w:val="0"/>
                <w:bCs w:val="0"/>
                <w:color w:val="auto"/>
                <w:kern w:val="2"/>
                <w:sz w:val="24"/>
                <w:szCs w:val="24"/>
                <w:highlight w:val="none"/>
                <w:vertAlign w:val="superscript"/>
                <w:rtl w:val="0"/>
                <w:lang w:val="en-US" w:eastAsia="zh-CN" w:bidi="ar-SA"/>
              </w:rPr>
              <w:t>2</w:t>
            </w:r>
            <w:r>
              <w:rPr>
                <w:rFonts w:hint="eastAsia" w:ascii="宋体" w:hAnsi="宋体" w:eastAsia="宋体" w:cs="宋体"/>
                <w:b w:val="0"/>
                <w:bCs w:val="0"/>
                <w:color w:val="auto"/>
                <w:kern w:val="2"/>
                <w:sz w:val="24"/>
                <w:szCs w:val="24"/>
                <w:highlight w:val="none"/>
                <w:rtl w:val="0"/>
                <w:lang w:val="zh-CN" w:eastAsia="en-US" w:bidi="ar-SA"/>
              </w:rPr>
              <w:t>，断后伸长率≥</w:t>
            </w:r>
            <w:r>
              <w:rPr>
                <w:rFonts w:hint="eastAsia" w:ascii="宋体" w:hAnsi="宋体" w:eastAsia="宋体" w:cs="宋体"/>
                <w:b w:val="0"/>
                <w:bCs w:val="0"/>
                <w:color w:val="auto"/>
                <w:kern w:val="2"/>
                <w:sz w:val="24"/>
                <w:szCs w:val="24"/>
                <w:highlight w:val="none"/>
                <w:rtl w:val="0"/>
                <w:lang w:val="en-US" w:eastAsia="zh-CN" w:bidi="ar-SA"/>
              </w:rPr>
              <w:t>26</w:t>
            </w:r>
            <w:r>
              <w:rPr>
                <w:rFonts w:hint="eastAsia" w:ascii="宋体" w:hAnsi="宋体" w:eastAsia="宋体" w:cs="宋体"/>
                <w:b w:val="0"/>
                <w:bCs w:val="0"/>
                <w:color w:val="auto"/>
                <w:kern w:val="2"/>
                <w:sz w:val="24"/>
                <w:szCs w:val="24"/>
                <w:highlight w:val="none"/>
                <w:rtl w:val="0"/>
                <w:lang w:val="zh-CN" w:eastAsia="en-US" w:bidi="ar-SA"/>
              </w:rPr>
              <w:t>%；</w:t>
            </w:r>
            <w:r>
              <w:rPr>
                <w:rFonts w:hint="eastAsia" w:ascii="宋体" w:hAnsi="宋体" w:eastAsia="宋体" w:cs="宋体"/>
                <w:i w:val="0"/>
                <w:iCs w:val="0"/>
                <w:caps w:val="0"/>
                <w:color w:val="auto"/>
                <w:spacing w:val="0"/>
                <w:sz w:val="24"/>
                <w:szCs w:val="24"/>
                <w:highlight w:val="none"/>
                <w:shd w:val="clear" w:fill="FFFFFF"/>
              </w:rPr>
              <w:t>⑥</w:t>
            </w:r>
            <w:r>
              <w:rPr>
                <w:rFonts w:hint="eastAsia" w:ascii="宋体" w:hAnsi="宋体" w:eastAsia="宋体" w:cs="宋体"/>
                <w:b w:val="0"/>
                <w:bCs w:val="0"/>
                <w:color w:val="auto"/>
                <w:kern w:val="2"/>
                <w:sz w:val="24"/>
                <w:szCs w:val="24"/>
                <w:highlight w:val="none"/>
                <w:rtl w:val="0"/>
                <w:lang w:val="zh-CN" w:eastAsia="en-US" w:bidi="ar-SA"/>
              </w:rPr>
              <w:t>耐霉菌性：（黑曲霉）为0级。检测依据符合：GB/T</w:t>
            </w:r>
            <w:r>
              <w:rPr>
                <w:rFonts w:hint="eastAsia" w:ascii="宋体" w:hAnsi="宋体" w:eastAsia="宋体" w:cs="宋体"/>
                <w:b w:val="0"/>
                <w:bCs w:val="0"/>
                <w:color w:val="auto"/>
                <w:kern w:val="2"/>
                <w:sz w:val="24"/>
                <w:szCs w:val="24"/>
                <w:highlight w:val="none"/>
                <w:rtl w:val="0"/>
                <w:lang w:val="en-US" w:eastAsia="zh-CN" w:bidi="ar-SA"/>
              </w:rPr>
              <w:t xml:space="preserve"> 709-2019、</w:t>
            </w:r>
            <w:r>
              <w:rPr>
                <w:rFonts w:hint="eastAsia" w:ascii="宋体" w:hAnsi="宋体" w:eastAsia="宋体" w:cs="宋体"/>
                <w:b w:val="0"/>
                <w:bCs w:val="0"/>
                <w:color w:val="auto"/>
                <w:kern w:val="2"/>
                <w:sz w:val="24"/>
                <w:szCs w:val="24"/>
                <w:highlight w:val="none"/>
                <w:rtl w:val="0"/>
                <w:lang w:val="zh-CN" w:eastAsia="en-US" w:bidi="ar-SA"/>
              </w:rPr>
              <w:t>GB/T</w:t>
            </w:r>
            <w:r>
              <w:rPr>
                <w:rFonts w:hint="eastAsia" w:ascii="宋体" w:hAnsi="宋体" w:eastAsia="宋体" w:cs="宋体"/>
                <w:b w:val="0"/>
                <w:bCs w:val="0"/>
                <w:color w:val="auto"/>
                <w:kern w:val="2"/>
                <w:sz w:val="24"/>
                <w:szCs w:val="24"/>
                <w:highlight w:val="none"/>
                <w:rtl w:val="0"/>
                <w:lang w:val="en-US" w:eastAsia="zh-CN" w:bidi="ar-SA"/>
              </w:rPr>
              <w:t xml:space="preserve"> </w:t>
            </w:r>
            <w:r>
              <w:rPr>
                <w:rFonts w:hint="eastAsia" w:ascii="宋体" w:hAnsi="宋体" w:eastAsia="宋体" w:cs="宋体"/>
                <w:b w:val="0"/>
                <w:bCs w:val="0"/>
                <w:color w:val="auto"/>
                <w:kern w:val="2"/>
                <w:sz w:val="24"/>
                <w:szCs w:val="24"/>
                <w:highlight w:val="none"/>
                <w:rtl w:val="0"/>
                <w:lang w:val="zh-CN" w:eastAsia="en-US" w:bidi="ar-SA"/>
              </w:rPr>
              <w:t>4893.5-2013、GB/T</w:t>
            </w:r>
            <w:r>
              <w:rPr>
                <w:rFonts w:hint="eastAsia" w:ascii="宋体" w:hAnsi="宋体" w:eastAsia="宋体" w:cs="宋体"/>
                <w:b w:val="0"/>
                <w:bCs w:val="0"/>
                <w:color w:val="auto"/>
                <w:kern w:val="2"/>
                <w:sz w:val="24"/>
                <w:szCs w:val="24"/>
                <w:highlight w:val="none"/>
                <w:rtl w:val="0"/>
                <w:lang w:val="en-US" w:eastAsia="zh-CN" w:bidi="ar-SA"/>
              </w:rPr>
              <w:t xml:space="preserve"> </w:t>
            </w:r>
            <w:r>
              <w:rPr>
                <w:rFonts w:hint="eastAsia" w:ascii="宋体" w:hAnsi="宋体" w:eastAsia="宋体" w:cs="宋体"/>
                <w:b w:val="0"/>
                <w:bCs w:val="0"/>
                <w:color w:val="auto"/>
                <w:kern w:val="2"/>
                <w:sz w:val="24"/>
                <w:szCs w:val="24"/>
                <w:highlight w:val="none"/>
                <w:rtl w:val="0"/>
                <w:lang w:val="zh-CN" w:eastAsia="en-US" w:bidi="ar-SA"/>
              </w:rPr>
              <w:t>24195-2009、GB/T</w:t>
            </w:r>
            <w:r>
              <w:rPr>
                <w:rFonts w:hint="eastAsia" w:ascii="宋体" w:hAnsi="宋体" w:eastAsia="宋体" w:cs="宋体"/>
                <w:b w:val="0"/>
                <w:bCs w:val="0"/>
                <w:color w:val="auto"/>
                <w:kern w:val="2"/>
                <w:sz w:val="24"/>
                <w:szCs w:val="24"/>
                <w:highlight w:val="none"/>
                <w:rtl w:val="0"/>
                <w:lang w:val="en-US" w:eastAsia="zh-CN" w:bidi="ar-SA"/>
              </w:rPr>
              <w:t xml:space="preserve"> 6461-2002、</w:t>
            </w:r>
            <w:r>
              <w:rPr>
                <w:rFonts w:hint="eastAsia" w:ascii="宋体" w:hAnsi="宋体" w:eastAsia="宋体" w:cs="宋体"/>
                <w:b w:val="0"/>
                <w:bCs w:val="0"/>
                <w:color w:val="auto"/>
                <w:kern w:val="2"/>
                <w:sz w:val="24"/>
                <w:szCs w:val="24"/>
                <w:highlight w:val="none"/>
                <w:rtl w:val="0"/>
                <w:lang w:val="zh-CN" w:eastAsia="en-US" w:bidi="ar-SA"/>
              </w:rPr>
              <w:t>GB/T 50393-2017、GB/T</w:t>
            </w:r>
            <w:r>
              <w:rPr>
                <w:rFonts w:hint="eastAsia" w:ascii="宋体" w:hAnsi="宋体" w:eastAsia="宋体" w:cs="宋体"/>
                <w:b w:val="0"/>
                <w:bCs w:val="0"/>
                <w:color w:val="auto"/>
                <w:kern w:val="2"/>
                <w:sz w:val="24"/>
                <w:szCs w:val="24"/>
                <w:highlight w:val="none"/>
                <w:rtl w:val="0"/>
                <w:lang w:val="en-US" w:eastAsia="zh-CN" w:bidi="ar-SA"/>
              </w:rPr>
              <w:t xml:space="preserve"> 700-2006、</w:t>
            </w:r>
            <w:r>
              <w:rPr>
                <w:rFonts w:hint="eastAsia" w:ascii="宋体" w:hAnsi="宋体" w:eastAsia="宋体" w:cs="宋体"/>
                <w:b w:val="0"/>
                <w:bCs w:val="0"/>
                <w:color w:val="auto"/>
                <w:kern w:val="2"/>
                <w:sz w:val="24"/>
                <w:szCs w:val="24"/>
                <w:highlight w:val="none"/>
                <w:rtl w:val="0"/>
                <w:lang w:val="zh-CN" w:eastAsia="en-US" w:bidi="ar-SA"/>
              </w:rPr>
              <w:t>GB/T</w:t>
            </w:r>
            <w:r>
              <w:rPr>
                <w:rFonts w:hint="eastAsia" w:ascii="宋体" w:hAnsi="宋体" w:eastAsia="宋体" w:cs="宋体"/>
                <w:b w:val="0"/>
                <w:bCs w:val="0"/>
                <w:color w:val="auto"/>
                <w:kern w:val="2"/>
                <w:sz w:val="24"/>
                <w:szCs w:val="24"/>
                <w:highlight w:val="none"/>
                <w:rtl w:val="0"/>
                <w:lang w:val="en-US" w:eastAsia="zh-CN" w:bidi="ar-SA"/>
              </w:rPr>
              <w:t xml:space="preserve"> 4336-2016、</w:t>
            </w:r>
            <w:r>
              <w:rPr>
                <w:rFonts w:hint="eastAsia" w:ascii="宋体" w:hAnsi="宋体" w:eastAsia="宋体" w:cs="宋体"/>
                <w:b w:val="0"/>
                <w:bCs w:val="0"/>
                <w:color w:val="auto"/>
                <w:kern w:val="2"/>
                <w:sz w:val="24"/>
                <w:szCs w:val="24"/>
                <w:highlight w:val="none"/>
                <w:rtl w:val="0"/>
                <w:lang w:val="zh-CN" w:eastAsia="en-US" w:bidi="ar-SA"/>
              </w:rPr>
              <w:t>GB</w:t>
            </w:r>
            <w:r>
              <w:rPr>
                <w:rFonts w:hint="eastAsia" w:ascii="宋体" w:hAnsi="宋体" w:eastAsia="宋体" w:cs="宋体"/>
                <w:b w:val="0"/>
                <w:bCs w:val="0"/>
                <w:color w:val="auto"/>
                <w:kern w:val="2"/>
                <w:sz w:val="24"/>
                <w:szCs w:val="24"/>
                <w:highlight w:val="none"/>
                <w:rtl w:val="0"/>
                <w:lang w:val="en-US" w:eastAsia="zh-CN" w:bidi="ar-SA"/>
              </w:rPr>
              <w:t xml:space="preserve">/T </w:t>
            </w:r>
            <w:r>
              <w:rPr>
                <w:rFonts w:hint="eastAsia" w:ascii="宋体" w:hAnsi="宋体" w:eastAsia="宋体" w:cs="宋体"/>
                <w:b w:val="0"/>
                <w:bCs w:val="0"/>
                <w:color w:val="auto"/>
                <w:kern w:val="2"/>
                <w:sz w:val="24"/>
                <w:szCs w:val="24"/>
                <w:highlight w:val="none"/>
                <w:rtl w:val="0"/>
                <w:lang w:val="zh-CN" w:eastAsia="en-US" w:bidi="ar-SA"/>
              </w:rPr>
              <w:t>228.1-2021、GB/T</w:t>
            </w:r>
            <w:r>
              <w:rPr>
                <w:rFonts w:hint="eastAsia" w:ascii="宋体" w:hAnsi="宋体" w:eastAsia="宋体" w:cs="宋体"/>
                <w:b w:val="0"/>
                <w:bCs w:val="0"/>
                <w:color w:val="auto"/>
                <w:kern w:val="2"/>
                <w:sz w:val="24"/>
                <w:szCs w:val="24"/>
                <w:highlight w:val="none"/>
                <w:rtl w:val="0"/>
                <w:lang w:val="en-US" w:eastAsia="zh-CN" w:bidi="ar-SA"/>
              </w:rPr>
              <w:t xml:space="preserve"> 1741-2020等</w:t>
            </w:r>
            <w:r>
              <w:rPr>
                <w:rFonts w:hint="eastAsia" w:ascii="宋体" w:hAnsi="宋体" w:eastAsia="宋体" w:cs="宋体"/>
                <w:b w:val="0"/>
                <w:bCs w:val="0"/>
                <w:color w:val="auto"/>
                <w:kern w:val="2"/>
                <w:sz w:val="24"/>
                <w:szCs w:val="24"/>
                <w:highlight w:val="none"/>
                <w:rtl w:val="0"/>
                <w:lang w:val="zh-CN" w:eastAsia="en-US" w:bidi="ar-SA"/>
              </w:rPr>
              <w:t>标准。</w:t>
            </w:r>
          </w:p>
        </w:tc>
      </w:tr>
      <w:tr>
        <w:tblPrEx>
          <w:tblCellMar>
            <w:top w:w="0" w:type="dxa"/>
            <w:left w:w="108" w:type="dxa"/>
            <w:bottom w:w="0" w:type="dxa"/>
            <w:right w:w="108" w:type="dxa"/>
          </w:tblCellMar>
        </w:tblPrEx>
        <w:trPr>
          <w:trHeight w:val="1293" w:hRule="atLeast"/>
          <w:jc w:val="center"/>
        </w:trPr>
        <w:tc>
          <w:tcPr>
            <w:tcW w:w="395"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5</w:t>
            </w:r>
          </w:p>
        </w:tc>
        <w:tc>
          <w:tcPr>
            <w:tcW w:w="4604" w:type="pct"/>
            <w:tcBorders>
              <w:top w:val="nil"/>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 制动锁闭密封装置</w:t>
            </w:r>
          </w:p>
          <w:p>
            <w:pPr>
              <w:widowControl/>
              <w:jc w:val="left"/>
              <w:rPr>
                <w:rFonts w:hint="eastAsia" w:asciiTheme="minorEastAsia" w:hAnsiTheme="minorEastAsia" w:eastAsiaTheme="minorEastAsia" w:cstheme="minorEastAsia"/>
                <w:color w:val="auto"/>
                <w:sz w:val="24"/>
                <w:szCs w:val="24"/>
                <w:highlight w:val="none"/>
                <w:lang w:eastAsia="zh-CN"/>
              </w:rPr>
            </w:pPr>
            <w:r>
              <w:rPr>
                <w:rFonts w:hint="eastAsia" w:ascii="宋体" w:hAnsi="宋体" w:eastAsia="宋体" w:cs="宋体"/>
                <w:b w:val="0"/>
                <w:bCs w:val="0"/>
                <w:color w:val="auto"/>
                <w:sz w:val="24"/>
                <w:szCs w:val="24"/>
                <w:highlight w:val="none"/>
              </w:rPr>
              <w:t>边列和中间移动列分别装有总锁和制动装置，可锁闭形成一个封闭的整体；各列移开后可单独制动，确保人员安全；底部设有防鼠、防倒装置，列与列之间应有密封磁条；整个架体具有良好的防尘、防鼠、防潮、防盗和保密功能。</w:t>
            </w:r>
          </w:p>
        </w:tc>
      </w:tr>
      <w:tr>
        <w:tblPrEx>
          <w:tblCellMar>
            <w:top w:w="0" w:type="dxa"/>
            <w:left w:w="108" w:type="dxa"/>
            <w:bottom w:w="0" w:type="dxa"/>
            <w:right w:w="108" w:type="dxa"/>
          </w:tblCellMar>
        </w:tblPrEx>
        <w:trPr>
          <w:trHeight w:val="1293" w:hRule="atLeast"/>
          <w:jc w:val="center"/>
        </w:trPr>
        <w:tc>
          <w:tcPr>
            <w:tcW w:w="395"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6</w:t>
            </w:r>
          </w:p>
        </w:tc>
        <w:tc>
          <w:tcPr>
            <w:tcW w:w="4604" w:type="pct"/>
            <w:tcBorders>
              <w:top w:val="nil"/>
              <w:left w:val="nil"/>
              <w:bottom w:val="single" w:color="000000" w:sz="8" w:space="0"/>
              <w:right w:val="single" w:color="000000" w:sz="8" w:space="0"/>
            </w:tcBorders>
            <w:shd w:val="clear" w:color="auto" w:fill="auto"/>
            <w:vAlign w:val="center"/>
          </w:tcPr>
          <w:p>
            <w:pPr>
              <w:widowControl/>
              <w:jc w:val="lef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表面处理</w:t>
            </w:r>
            <w:r>
              <w:rPr>
                <w:rFonts w:hint="eastAsia" w:asciiTheme="minorEastAsia" w:hAnsiTheme="minorEastAsia" w:eastAsiaTheme="minorEastAsia" w:cstheme="minorEastAsia"/>
                <w:color w:val="auto"/>
                <w:sz w:val="24"/>
                <w:szCs w:val="24"/>
                <w:highlight w:val="none"/>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钢制部件应经</w:t>
            </w:r>
            <w:r>
              <w:rPr>
                <w:rFonts w:hint="eastAsia" w:ascii="宋体" w:hAnsi="宋体" w:eastAsia="宋体" w:cs="宋体"/>
                <w:b w:val="0"/>
                <w:bCs w:val="0"/>
                <w:color w:val="auto"/>
                <w:sz w:val="24"/>
                <w:szCs w:val="24"/>
                <w:highlight w:val="none"/>
                <w:lang w:val="en-US" w:eastAsia="zh-CN"/>
              </w:rPr>
              <w:t>水洗</w:t>
            </w:r>
            <w:r>
              <w:rPr>
                <w:rFonts w:hint="eastAsia" w:ascii="宋体" w:hAnsi="宋体" w:eastAsia="宋体" w:cs="宋体"/>
                <w:b w:val="0"/>
                <w:bCs w:val="0"/>
                <w:color w:val="auto"/>
                <w:sz w:val="24"/>
                <w:szCs w:val="24"/>
                <w:highlight w:val="none"/>
              </w:rPr>
              <w:t>、脱脂、去油、漂洗、</w:t>
            </w:r>
            <w:r>
              <w:rPr>
                <w:rFonts w:hint="eastAsia" w:ascii="宋体" w:hAnsi="宋体" w:eastAsia="宋体" w:cs="宋体"/>
                <w:b w:val="0"/>
                <w:bCs w:val="0"/>
                <w:color w:val="auto"/>
                <w:sz w:val="24"/>
                <w:szCs w:val="24"/>
                <w:highlight w:val="none"/>
                <w:lang w:val="en-US" w:eastAsia="zh-CN"/>
              </w:rPr>
              <w:t>陶</w:t>
            </w:r>
            <w:r>
              <w:rPr>
                <w:rFonts w:hint="eastAsia" w:ascii="宋体" w:hAnsi="宋体" w:eastAsia="宋体" w:cs="宋体"/>
                <w:b w:val="0"/>
                <w:bCs w:val="0"/>
                <w:color w:val="auto"/>
                <w:sz w:val="24"/>
                <w:szCs w:val="24"/>
                <w:highlight w:val="none"/>
              </w:rPr>
              <w:t>化</w:t>
            </w:r>
            <w:r>
              <w:rPr>
                <w:rFonts w:hint="eastAsia" w:ascii="宋体" w:hAnsi="宋体" w:eastAsia="宋体" w:cs="宋体"/>
                <w:b w:val="0"/>
                <w:bCs w:val="0"/>
                <w:color w:val="auto"/>
                <w:sz w:val="24"/>
                <w:szCs w:val="24"/>
                <w:highlight w:val="none"/>
                <w:lang w:val="en-US" w:eastAsia="zh-CN"/>
              </w:rPr>
              <w:t>等工序</w:t>
            </w:r>
            <w:r>
              <w:rPr>
                <w:rFonts w:hint="eastAsia" w:ascii="宋体" w:hAnsi="宋体" w:eastAsia="宋体" w:cs="宋体"/>
                <w:b w:val="0"/>
                <w:bCs w:val="0"/>
                <w:color w:val="auto"/>
                <w:sz w:val="24"/>
                <w:szCs w:val="24"/>
                <w:highlight w:val="none"/>
              </w:rPr>
              <w:t>后</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再</w:t>
            </w:r>
            <w:r>
              <w:rPr>
                <w:rFonts w:hint="eastAsia" w:ascii="宋体" w:hAnsi="宋体" w:eastAsia="宋体" w:cs="宋体"/>
                <w:b w:val="0"/>
                <w:bCs w:val="0"/>
                <w:color w:val="auto"/>
                <w:sz w:val="24"/>
                <w:szCs w:val="24"/>
                <w:highlight w:val="none"/>
              </w:rPr>
              <w:t>采用环氧树酯静电粉沫喷涂，高温流平、固化。</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涂层表面平整光滑，色泽均匀一致，无流挂、起粒、皱皮、露底、剥落、伤痕等外观缺陷。</w:t>
            </w:r>
          </w:p>
          <w:p>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color w:val="auto"/>
                <w:sz w:val="24"/>
                <w:szCs w:val="24"/>
                <w:highlight w:val="none"/>
              </w:rPr>
              <w:t>喷涂用塑粉符合标准</w:t>
            </w:r>
            <w:r>
              <w:rPr>
                <w:rFonts w:hint="eastAsia" w:ascii="宋体" w:hAnsi="宋体" w:eastAsia="宋体" w:cs="宋体"/>
                <w:color w:val="auto"/>
                <w:sz w:val="24"/>
                <w:szCs w:val="24"/>
                <w:highlight w:val="none"/>
                <w:lang w:eastAsia="zh-CN"/>
              </w:rPr>
              <w:t>。</w:t>
            </w:r>
          </w:p>
          <w:p>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喷涂</w:t>
            </w:r>
            <w:r>
              <w:rPr>
                <w:rFonts w:hint="eastAsia" w:ascii="宋体" w:hAnsi="宋体" w:eastAsia="宋体" w:cs="宋体"/>
                <w:color w:val="auto"/>
                <w:sz w:val="24"/>
                <w:szCs w:val="24"/>
                <w:highlight w:val="none"/>
                <w:lang w:eastAsia="zh-CN"/>
              </w:rPr>
              <w:t>所采</w:t>
            </w:r>
            <w:r>
              <w:rPr>
                <w:rFonts w:hint="eastAsia" w:ascii="宋体" w:hAnsi="宋体" w:eastAsia="宋体" w:cs="宋体"/>
                <w:color w:val="auto"/>
                <w:sz w:val="24"/>
                <w:szCs w:val="24"/>
                <w:highlight w:val="none"/>
              </w:rPr>
              <w:t>用塑粉</w:t>
            </w:r>
            <w:r>
              <w:rPr>
                <w:rFonts w:hint="eastAsia" w:ascii="宋体" w:hAnsi="宋体" w:eastAsia="宋体" w:cs="宋体"/>
                <w:b w:val="0"/>
                <w:bCs w:val="0"/>
                <w:color w:val="auto"/>
                <w:sz w:val="24"/>
                <w:szCs w:val="24"/>
                <w:highlight w:val="none"/>
              </w:rPr>
              <w:t>质量</w:t>
            </w:r>
            <w:r>
              <w:rPr>
                <w:rFonts w:hint="eastAsia" w:ascii="宋体" w:hAnsi="宋体" w:eastAsia="宋体" w:cs="宋体"/>
                <w:b w:val="0"/>
                <w:bCs w:val="0"/>
                <w:color w:val="auto"/>
                <w:sz w:val="24"/>
                <w:szCs w:val="24"/>
                <w:highlight w:val="none"/>
                <w:lang w:eastAsia="zh-CN"/>
              </w:rPr>
              <w:t>要求</w:t>
            </w:r>
            <w:r>
              <w:rPr>
                <w:rFonts w:hint="eastAsia" w:ascii="宋体" w:hAnsi="宋体" w:eastAsia="宋体" w:cs="宋体"/>
                <w:b w:val="0"/>
                <w:bCs w:val="0"/>
                <w:color w:val="auto"/>
                <w:sz w:val="24"/>
                <w:szCs w:val="24"/>
                <w:highlight w:val="none"/>
              </w:rPr>
              <w:t>满足：</w:t>
            </w:r>
            <w:r>
              <w:rPr>
                <w:rFonts w:hint="eastAsia" w:ascii="宋体" w:hAnsi="宋体" w:eastAsia="宋体" w:cs="宋体"/>
                <w:b w:val="0"/>
                <w:bCs/>
                <w:color w:val="auto"/>
                <w:sz w:val="24"/>
                <w:szCs w:val="24"/>
                <w:highlight w:val="none"/>
              </w:rPr>
              <w:t>①</w:t>
            </w:r>
            <w:r>
              <w:rPr>
                <w:rFonts w:hint="eastAsia" w:ascii="宋体" w:hAnsi="宋体" w:eastAsia="宋体" w:cs="宋体"/>
                <w:b w:val="0"/>
                <w:bCs w:val="0"/>
                <w:color w:val="auto"/>
                <w:sz w:val="24"/>
                <w:szCs w:val="24"/>
                <w:highlight w:val="none"/>
              </w:rPr>
              <w:t>涂膜外观：正常</w:t>
            </w:r>
            <w:r>
              <w:rPr>
                <w:rFonts w:hint="eastAsia" w:ascii="宋体" w:hAnsi="宋体" w:eastAsia="宋体" w:cs="宋体"/>
                <w:b w:val="0"/>
                <w:bCs/>
                <w:color w:val="auto"/>
                <w:sz w:val="24"/>
                <w:szCs w:val="24"/>
                <w:highlight w:val="none"/>
                <w:lang w:eastAsia="zh-CN"/>
              </w:rPr>
              <w:t>②</w:t>
            </w:r>
            <w:r>
              <w:rPr>
                <w:rFonts w:hint="eastAsia" w:ascii="宋体" w:hAnsi="宋体" w:eastAsia="宋体" w:cs="宋体"/>
                <w:b w:val="0"/>
                <w:bCs w:val="0"/>
                <w:color w:val="auto"/>
                <w:sz w:val="24"/>
                <w:szCs w:val="24"/>
                <w:highlight w:val="none"/>
              </w:rPr>
              <w:t>附着力：≤1级；</w:t>
            </w:r>
            <w:r>
              <w:rPr>
                <w:rFonts w:hint="eastAsia" w:ascii="宋体" w:hAnsi="宋体" w:eastAsia="宋体" w:cs="宋体"/>
                <w:b w:val="0"/>
                <w:bCs/>
                <w:color w:val="auto"/>
                <w:sz w:val="24"/>
                <w:szCs w:val="24"/>
                <w:highlight w:val="none"/>
                <w:lang w:val="en-US" w:eastAsia="zh-CN"/>
              </w:rPr>
              <w:t>③</w:t>
            </w:r>
            <w:r>
              <w:rPr>
                <w:rFonts w:hint="eastAsia" w:ascii="宋体" w:hAnsi="宋体" w:eastAsia="宋体" w:cs="宋体"/>
                <w:b w:val="0"/>
                <w:bCs w:val="0"/>
                <w:color w:val="auto"/>
                <w:sz w:val="24"/>
                <w:szCs w:val="24"/>
                <w:highlight w:val="none"/>
              </w:rPr>
              <w:t>铅笔硬度：≥</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H；</w:t>
            </w:r>
            <w:r>
              <w:rPr>
                <w:rFonts w:hint="eastAsia" w:ascii="宋体" w:hAnsi="宋体" w:eastAsia="宋体" w:cs="宋体"/>
                <w:b w:val="0"/>
                <w:bCs/>
                <w:color w:val="auto"/>
                <w:sz w:val="24"/>
                <w:szCs w:val="24"/>
                <w:highlight w:val="none"/>
                <w:lang w:val="en-US" w:eastAsia="zh-CN"/>
              </w:rPr>
              <w:t>④</w:t>
            </w:r>
            <w:r>
              <w:rPr>
                <w:rFonts w:hint="eastAsia" w:ascii="宋体" w:hAnsi="宋体" w:eastAsia="宋体" w:cs="宋体"/>
                <w:b w:val="0"/>
                <w:bCs w:val="0"/>
                <w:color w:val="auto"/>
                <w:sz w:val="24"/>
                <w:szCs w:val="24"/>
                <w:highlight w:val="none"/>
              </w:rPr>
              <w:t>耐冲击性(正向冲击）：通过；</w:t>
            </w:r>
            <w:r>
              <w:rPr>
                <w:rFonts w:hint="eastAsia" w:ascii="宋体" w:hAnsi="宋体" w:eastAsia="宋体" w:cs="宋体"/>
                <w:b w:val="0"/>
                <w:bCs/>
                <w:color w:val="auto"/>
                <w:sz w:val="24"/>
                <w:szCs w:val="24"/>
                <w:highlight w:val="none"/>
                <w:lang w:val="en-US" w:eastAsia="zh-CN"/>
              </w:rPr>
              <w:t>⑤</w:t>
            </w:r>
            <w:r>
              <w:rPr>
                <w:rFonts w:hint="eastAsia" w:ascii="宋体" w:hAnsi="宋体" w:eastAsia="宋体" w:cs="宋体"/>
                <w:b w:val="0"/>
                <w:bCs w:val="0"/>
                <w:color w:val="auto"/>
                <w:sz w:val="24"/>
                <w:szCs w:val="24"/>
                <w:highlight w:val="none"/>
              </w:rPr>
              <w:t>杯突试验：≥4mm；</w:t>
            </w:r>
            <w:r>
              <w:rPr>
                <w:rFonts w:hint="eastAsia" w:ascii="宋体" w:hAnsi="宋体" w:eastAsia="宋体" w:cs="宋体"/>
                <w:b w:val="0"/>
                <w:bCs/>
                <w:color w:val="auto"/>
                <w:sz w:val="24"/>
                <w:szCs w:val="24"/>
                <w:highlight w:val="none"/>
                <w:lang w:val="en-US" w:eastAsia="zh-CN"/>
              </w:rPr>
              <w:t>⑥</w:t>
            </w:r>
            <w:r>
              <w:rPr>
                <w:rFonts w:hint="eastAsia" w:ascii="宋体" w:hAnsi="宋体" w:eastAsia="宋体" w:cs="宋体"/>
                <w:b w:val="0"/>
                <w:bCs w:val="0"/>
                <w:color w:val="auto"/>
                <w:sz w:val="24"/>
                <w:szCs w:val="24"/>
                <w:highlight w:val="none"/>
              </w:rPr>
              <w:t>弯曲试验：≤4mm，涂层无破裂或从底材上剥落；</w:t>
            </w:r>
            <w:r>
              <w:rPr>
                <w:rFonts w:hint="eastAsia" w:ascii="宋体" w:hAnsi="宋体" w:eastAsia="宋体" w:cs="宋体"/>
                <w:b w:val="0"/>
                <w:bCs/>
                <w:color w:val="auto"/>
                <w:sz w:val="24"/>
                <w:szCs w:val="24"/>
                <w:highlight w:val="none"/>
                <w:lang w:val="en-US" w:eastAsia="zh-CN"/>
              </w:rPr>
              <w:t>⑦</w:t>
            </w:r>
            <w:r>
              <w:rPr>
                <w:rFonts w:hint="eastAsia" w:ascii="宋体" w:hAnsi="宋体" w:eastAsia="宋体" w:cs="宋体"/>
                <w:b w:val="0"/>
                <w:bCs w:val="0"/>
                <w:color w:val="auto"/>
                <w:sz w:val="24"/>
                <w:szCs w:val="24"/>
                <w:highlight w:val="none"/>
              </w:rPr>
              <w:t>光泽：≥60</w:t>
            </w:r>
            <w:r>
              <w:rPr>
                <w:rFonts w:hint="eastAsia" w:ascii="宋体" w:hAnsi="宋体" w:eastAsia="宋体" w:cs="宋体"/>
                <w:b w:val="0"/>
                <w:bCs w:val="0"/>
                <w:color w:val="auto"/>
                <w:sz w:val="24"/>
                <w:szCs w:val="24"/>
                <w:highlight w:val="none"/>
                <w:lang w:val="en-US" w:eastAsia="zh-CN"/>
              </w:rPr>
              <w:t>GU</w:t>
            </w:r>
            <w:r>
              <w:rPr>
                <w:rFonts w:hint="eastAsia" w:ascii="宋体" w:hAnsi="宋体" w:eastAsia="宋体" w:cs="宋体"/>
                <w:b w:val="0"/>
                <w:bCs w:val="0"/>
                <w:color w:val="auto"/>
                <w:sz w:val="24"/>
                <w:szCs w:val="24"/>
                <w:highlight w:val="none"/>
              </w:rPr>
              <w:t>；</w:t>
            </w:r>
            <w:r>
              <w:rPr>
                <w:rFonts w:hint="eastAsia" w:ascii="宋体" w:hAnsi="宋体" w:eastAsia="宋体" w:cs="宋体"/>
                <w:b w:val="0"/>
                <w:bCs/>
                <w:color w:val="auto"/>
                <w:sz w:val="24"/>
                <w:szCs w:val="24"/>
                <w:highlight w:val="none"/>
              </w:rPr>
              <w:t>⑧</w:t>
            </w:r>
            <w:r>
              <w:rPr>
                <w:rFonts w:hint="eastAsia" w:ascii="宋体" w:hAnsi="宋体" w:eastAsia="宋体" w:cs="宋体"/>
                <w:b w:val="0"/>
                <w:bCs w:val="0"/>
                <w:color w:val="auto"/>
                <w:sz w:val="24"/>
                <w:szCs w:val="24"/>
                <w:highlight w:val="none"/>
              </w:rPr>
              <w:t>耐酸性（3%盐酸溶液）：</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240H无异常；耐碱性：室内用（5%氢氧化钠溶液）</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168H无异常；</w:t>
            </w:r>
            <w:r>
              <w:rPr>
                <w:rFonts w:hint="eastAsia" w:ascii="宋体" w:hAnsi="宋体" w:eastAsia="宋体" w:cs="宋体"/>
                <w:b w:val="0"/>
                <w:bCs/>
                <w:color w:val="auto"/>
                <w:sz w:val="24"/>
                <w:szCs w:val="24"/>
                <w:highlight w:val="none"/>
              </w:rPr>
              <w:t>⑨</w:t>
            </w:r>
            <w:r>
              <w:rPr>
                <w:rFonts w:hint="eastAsia" w:ascii="宋体" w:hAnsi="宋体" w:eastAsia="宋体" w:cs="宋体"/>
                <w:b w:val="0"/>
                <w:bCs w:val="0"/>
                <w:color w:val="auto"/>
                <w:sz w:val="24"/>
                <w:szCs w:val="24"/>
                <w:highlight w:val="none"/>
              </w:rPr>
              <w:t>耐盐雾</w:t>
            </w:r>
            <w:r>
              <w:rPr>
                <w:rFonts w:hint="eastAsia" w:ascii="宋体" w:hAnsi="宋体" w:eastAsia="宋体" w:cs="宋体"/>
                <w:color w:val="auto"/>
                <w:sz w:val="24"/>
                <w:szCs w:val="24"/>
                <w:highlight w:val="none"/>
                <w:lang w:eastAsia="zh-CN"/>
              </w:rPr>
              <w:t>性：中性盐雾划痕处单向腐蚀蔓延宽度≤2.0mm未划痕区无起泡、生锈、开裂、剥落等异常现象；⑩酸性盐雾划痕处单向腐蚀蔓延宽度≤4.0mm未划痕区无起泡、生锈、开裂、剥落等异常现象；⑪耐湿性：无异常；⑫耐人工气候老化性：（室外用B类）变色≤2级，⑬失光≤2级，无粉化起泡开裂剥落。检测</w:t>
            </w:r>
            <w:r>
              <w:rPr>
                <w:rFonts w:hint="eastAsia" w:ascii="宋体" w:hAnsi="宋体" w:eastAsia="宋体" w:cs="宋体"/>
                <w:color w:val="auto"/>
                <w:sz w:val="24"/>
                <w:szCs w:val="24"/>
                <w:highlight w:val="none"/>
                <w:lang w:val="en-US" w:eastAsia="zh-CN"/>
              </w:rPr>
              <w:t>依据</w:t>
            </w:r>
            <w:r>
              <w:rPr>
                <w:rFonts w:hint="eastAsia" w:ascii="宋体" w:hAnsi="宋体" w:eastAsia="宋体" w:cs="宋体"/>
                <w:color w:val="auto"/>
                <w:sz w:val="24"/>
                <w:szCs w:val="24"/>
                <w:highlight w:val="none"/>
                <w:lang w:eastAsia="zh-CN"/>
              </w:rPr>
              <w:t>符合：HG/T 2006-2022标准。</w:t>
            </w:r>
          </w:p>
        </w:tc>
      </w:tr>
    </w:tbl>
    <w:p>
      <w:pPr>
        <w:rPr>
          <w:rFonts w:hAnsi="宋体" w:cs="宋体"/>
          <w:b/>
          <w:color w:val="auto"/>
          <w:highlight w:val="none"/>
        </w:rPr>
      </w:pPr>
      <w:r>
        <w:rPr>
          <w:rFonts w:hint="eastAsia" w:hAnsi="宋体" w:cs="宋体"/>
          <w:b/>
          <w:color w:val="auto"/>
          <w:highlight w:val="none"/>
        </w:rPr>
        <w:t>投标</w:t>
      </w:r>
      <w:r>
        <w:rPr>
          <w:rFonts w:hint="eastAsia" w:hAnsi="宋体" w:cs="宋体"/>
          <w:b/>
          <w:color w:val="auto"/>
          <w:highlight w:val="none"/>
          <w:lang w:val="en-US" w:eastAsia="zh-CN"/>
        </w:rPr>
        <w:t>方</w:t>
      </w:r>
      <w:r>
        <w:rPr>
          <w:rFonts w:hint="eastAsia" w:hAnsi="宋体" w:cs="宋体"/>
          <w:b/>
          <w:color w:val="auto"/>
          <w:highlight w:val="none"/>
        </w:rPr>
        <w:t>提供投标设备的免费到货安装服务。</w:t>
      </w:r>
    </w:p>
    <w:p>
      <w:pPr>
        <w:pStyle w:val="2"/>
        <w:rPr>
          <w:rFonts w:hAnsi="宋体" w:cs="宋体"/>
          <w:color w:val="auto"/>
          <w:szCs w:val="24"/>
          <w:highlight w:val="none"/>
        </w:rPr>
      </w:pPr>
      <w:bookmarkStart w:id="17" w:name="_Toc30736"/>
      <w:bookmarkStart w:id="39" w:name="_GoBack"/>
      <w:bookmarkEnd w:id="39"/>
      <w:r>
        <w:rPr>
          <w:rFonts w:hint="eastAsia" w:hAnsi="宋体" w:cs="宋体"/>
          <w:color w:val="auto"/>
          <w:szCs w:val="24"/>
          <w:highlight w:val="none"/>
          <w:lang w:val="en-US" w:eastAsia="zh-CN"/>
        </w:rPr>
        <w:t>质量保证与售后服务</w:t>
      </w:r>
      <w:bookmarkEnd w:id="17"/>
    </w:p>
    <w:p>
      <w:pPr>
        <w:pStyle w:val="29"/>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1"/>
        <w:rPr>
          <w:rFonts w:hint="eastAsia" w:asciiTheme="minorEastAsia" w:hAnsiTheme="minorEastAsia" w:eastAsiaTheme="minorEastAsia" w:cstheme="minorEastAsia"/>
          <w:b/>
          <w:bCs/>
          <w:color w:val="auto"/>
          <w:sz w:val="24"/>
          <w:szCs w:val="24"/>
          <w:highlight w:val="none"/>
        </w:rPr>
      </w:pPr>
      <w:bookmarkStart w:id="18" w:name="_Toc19849"/>
      <w:bookmarkStart w:id="19" w:name="_Toc181735445"/>
      <w:r>
        <w:rPr>
          <w:rFonts w:hint="eastAsia" w:asciiTheme="minorEastAsia" w:hAnsiTheme="minorEastAsia" w:eastAsiaTheme="minorEastAsia" w:cstheme="minorEastAsia"/>
          <w:b/>
          <w:bCs/>
          <w:color w:val="auto"/>
          <w:sz w:val="24"/>
          <w:szCs w:val="24"/>
          <w:highlight w:val="none"/>
          <w:lang w:val="en-US" w:eastAsia="zh-CN"/>
        </w:rPr>
        <w:t>5.1</w:t>
      </w:r>
      <w:r>
        <w:rPr>
          <w:rFonts w:hint="eastAsia" w:asciiTheme="minorEastAsia" w:hAnsiTheme="minorEastAsia" w:eastAsiaTheme="minorEastAsia" w:cstheme="minorEastAsia"/>
          <w:b/>
          <w:bCs/>
          <w:color w:val="auto"/>
          <w:sz w:val="24"/>
          <w:szCs w:val="24"/>
          <w:highlight w:val="none"/>
        </w:rPr>
        <w:t>培训</w:t>
      </w:r>
      <w:bookmarkEnd w:id="18"/>
      <w:bookmarkEnd w:id="19"/>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为保证设备正常工作，投标方应负责培训招标方维护人员，使维护工作人员能完全熟悉并掌握设备软硬件维护技能，及时排除一般的设备故障。</w:t>
      </w:r>
      <w:r>
        <w:rPr>
          <w:rFonts w:hint="eastAsia" w:asciiTheme="minorEastAsia" w:hAnsiTheme="minorEastAsia" w:eastAsiaTheme="minorEastAsia" w:cstheme="minorEastAsia"/>
          <w:color w:val="auto"/>
          <w:sz w:val="24"/>
          <w:szCs w:val="24"/>
          <w:highlight w:val="none"/>
          <w:lang w:eastAsia="zh-CN"/>
        </w:rPr>
        <w:t>培训产生的一切费用由投标方负责。</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培训内容包括以下几个方面：</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1.为维护及安装工作所必须的相关文件的讲解；</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2.设备的安装和测试；</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3.设备的操作和维护；</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4.硬件、软件结构和原理。</w:t>
      </w:r>
    </w:p>
    <w:p>
      <w:pPr>
        <w:pStyle w:val="29"/>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1"/>
        <w:rPr>
          <w:rFonts w:hint="eastAsia" w:asciiTheme="minorEastAsia" w:hAnsiTheme="minorEastAsia" w:eastAsiaTheme="minorEastAsia" w:cstheme="minorEastAsia"/>
          <w:b/>
          <w:bCs/>
          <w:color w:val="auto"/>
          <w:sz w:val="24"/>
          <w:szCs w:val="24"/>
          <w:highlight w:val="none"/>
        </w:rPr>
      </w:pPr>
      <w:bookmarkStart w:id="20" w:name="_Toc31847"/>
      <w:bookmarkStart w:id="21" w:name="_Toc181735446"/>
      <w:r>
        <w:rPr>
          <w:rFonts w:hint="eastAsia" w:asciiTheme="minorEastAsia" w:hAnsiTheme="minorEastAsia" w:eastAsiaTheme="minorEastAsia" w:cstheme="minorEastAsia"/>
          <w:b/>
          <w:bCs/>
          <w:color w:val="auto"/>
          <w:sz w:val="24"/>
          <w:szCs w:val="24"/>
          <w:highlight w:val="none"/>
          <w:lang w:val="en-US" w:eastAsia="zh-CN"/>
        </w:rPr>
        <w:t>5.2</w:t>
      </w:r>
      <w:r>
        <w:rPr>
          <w:rFonts w:hint="eastAsia" w:asciiTheme="minorEastAsia" w:hAnsiTheme="minorEastAsia" w:eastAsiaTheme="minorEastAsia" w:cstheme="minorEastAsia"/>
          <w:b/>
          <w:bCs/>
          <w:color w:val="auto"/>
          <w:sz w:val="24"/>
          <w:szCs w:val="24"/>
          <w:highlight w:val="none"/>
        </w:rPr>
        <w:t>质量保证</w:t>
      </w:r>
      <w:bookmarkEnd w:id="20"/>
      <w:bookmarkEnd w:id="21"/>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1．投标方所提供的产品必须为原厂正品并能够提供原厂配套售后服务的服务质量承诺，质保期内设备原厂商承诺免费提供一切技术服务。</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.投标方提供的设备产品应能满足本技术规范书的要求，任何性能偏差均应得到甲方的认可。</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.投标方提供的所有设备产品都应具有质量保证书、合格证书、检查证书和投标方签字的测试报告，其中包括第三方的设备。</w:t>
      </w:r>
    </w:p>
    <w:p>
      <w:pPr>
        <w:pStyle w:val="29"/>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1"/>
        <w:rPr>
          <w:rFonts w:hint="eastAsia" w:asciiTheme="minorEastAsia" w:hAnsiTheme="minorEastAsia" w:eastAsiaTheme="minorEastAsia" w:cstheme="minorEastAsia"/>
          <w:b/>
          <w:bCs/>
          <w:color w:val="auto"/>
          <w:sz w:val="24"/>
          <w:szCs w:val="24"/>
          <w:highlight w:val="none"/>
        </w:rPr>
      </w:pPr>
      <w:bookmarkStart w:id="22" w:name="_Toc181735447"/>
      <w:bookmarkStart w:id="23" w:name="_Toc5309"/>
      <w:r>
        <w:rPr>
          <w:rFonts w:hint="eastAsia" w:asciiTheme="minorEastAsia" w:hAnsiTheme="minorEastAsia" w:eastAsiaTheme="minorEastAsia" w:cstheme="minorEastAsia"/>
          <w:b/>
          <w:bCs/>
          <w:color w:val="auto"/>
          <w:sz w:val="24"/>
          <w:szCs w:val="24"/>
          <w:highlight w:val="none"/>
          <w:lang w:val="en-US" w:eastAsia="zh-CN"/>
        </w:rPr>
        <w:t>5.3</w:t>
      </w:r>
      <w:r>
        <w:rPr>
          <w:rFonts w:hint="eastAsia" w:asciiTheme="minorEastAsia" w:hAnsiTheme="minorEastAsia" w:eastAsiaTheme="minorEastAsia" w:cstheme="minorEastAsia"/>
          <w:b/>
          <w:bCs/>
          <w:color w:val="auto"/>
          <w:sz w:val="24"/>
          <w:szCs w:val="24"/>
          <w:highlight w:val="none"/>
        </w:rPr>
        <w:t>质保期内售后服务</w:t>
      </w:r>
      <w:bookmarkEnd w:id="22"/>
      <w:bookmarkEnd w:id="23"/>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1.所有硬件、软件设备的质保期期限以招标采购文件和签订的正式合同中有关条款为准，技术规范书不再另行约定。</w:t>
      </w:r>
    </w:p>
    <w:p>
      <w:pPr>
        <w:pStyle w:val="29"/>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 xml:space="preserve"> 2.质保期内须提供7×24小时设备原厂保修服务。</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2.投标方应提出在正常条件下保证系统正常稳定运行的维护计划，包括系统维护、故障诊断、板件更换、故障处理等。</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质保期内，如果系统出现故障，投标方应提供服务，负责查找故障原因并将系统恢复到正常运行。在系统或设备本身发生故障的情况下，一切费用由投标方负担。系统维护的方式、费用、联系方法、响应时间、人员要求如下：</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(1)维护方式应为现场服务，紧急情况下可先电话热线技术支持；</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(2)质保期内所有维护费用均为免费；</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(3)质保期内免费提供软件升级版本及服务；</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(4)投标方在投标文件中应提供参与本项目售后服务的详细人员配备情况。</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4.投标方提供的售后服务还应包括：技术咨询及交流，根据招标方的需求，通过各种形式（如电子邮件、电话、座谈会、研讨会等）就系统运行遇到的问题和解决方法进行技术交流。</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5.投标方应最大限度地提供技术指导及技术支持范围和程度，包括可提供的系统支援设备的详情。在系统设备运行期间根据需要，投标方有责任派专业技术人员到现场指导维护工作。</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6.如果系统在一个特定部分发生重复性故障时，投标方应同意对这个部分重新计算质保期(软件和硬件同样适用)。如果重复故障使整个系统不能正常运行，整个系统的质保期应重新开始计算。</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7.若招标方根据运行经验指定投标方提供某种外购零部件，投标方应积极配合。</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8.在系统达到最终规模时，投标方应保证系统的功能和指标满足本技术规范书的要求，如不能满足要求，投标方应承担系统能力扩展带来的费用。</w:t>
      </w:r>
    </w:p>
    <w:p>
      <w:pPr>
        <w:pStyle w:val="29"/>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1"/>
        <w:rPr>
          <w:rFonts w:hint="eastAsia" w:asciiTheme="minorEastAsia" w:hAnsiTheme="minorEastAsia" w:eastAsiaTheme="minorEastAsia" w:cstheme="minorEastAsia"/>
          <w:b/>
          <w:bCs/>
          <w:color w:val="auto"/>
          <w:sz w:val="24"/>
          <w:szCs w:val="24"/>
          <w:highlight w:val="none"/>
        </w:rPr>
      </w:pPr>
      <w:bookmarkStart w:id="24" w:name="_Toc8033"/>
      <w:bookmarkStart w:id="25" w:name="_Toc181735448"/>
      <w:r>
        <w:rPr>
          <w:rFonts w:hint="eastAsia" w:asciiTheme="minorEastAsia" w:hAnsiTheme="minorEastAsia" w:eastAsiaTheme="minorEastAsia" w:cstheme="minorEastAsia"/>
          <w:b/>
          <w:bCs/>
          <w:color w:val="auto"/>
          <w:sz w:val="24"/>
          <w:szCs w:val="24"/>
          <w:highlight w:val="none"/>
          <w:lang w:val="en-US" w:eastAsia="zh-CN"/>
        </w:rPr>
        <w:t>5.4</w:t>
      </w:r>
      <w:r>
        <w:rPr>
          <w:rFonts w:hint="eastAsia" w:asciiTheme="minorEastAsia" w:hAnsiTheme="minorEastAsia" w:eastAsiaTheme="minorEastAsia" w:cstheme="minorEastAsia"/>
          <w:b/>
          <w:bCs/>
          <w:color w:val="auto"/>
          <w:sz w:val="24"/>
          <w:szCs w:val="24"/>
          <w:highlight w:val="none"/>
        </w:rPr>
        <w:t>质保期结束后的售后服务</w:t>
      </w:r>
      <w:bookmarkEnd w:id="24"/>
      <w:bookmarkEnd w:id="25"/>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1.质保期后，投标方仍应根据合同要求向招标方提供设备在寿命期内的技术支持、维护服务，并以合理优惠价格提供招标方需要的备品备件和由于原理性故障而导致的系统改进。</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2.对于招标方提出的软硬件件缺陷和错误，投标方不应以推出新版本解决为由，而推迟解决时间，应针对招标方提出的问题及时免费予以修正。如不能在原版本上解决问题，应免费提供软件版本的更新。</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3.质保期后至此设备系统生命终结，如招标方有新的功能要求，投标方应积极配合，以合理价格进行硬软件升级或改造。</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质保期结束后，投标方有责任以合理价格提供定期维护和修理。投标方应提出质保期后的维修维护内容(包括日常维护和预防性维护)的收费标准和服务方式及范围，供招标方参考，该费用不计入投标总价。投标方在投标文件中必须明确说明，招标方将予以评估。</w:t>
      </w:r>
    </w:p>
    <w:p>
      <w:pPr>
        <w:pStyle w:val="29"/>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质保期结束后，投标方不能因为设备停产等原因而拒绝提供备品备件，备件支持年限自质保期结束后不得少于7年。投标方有责任以合理价格提供招标方需要的备品备件，投标方应提出主要和易坏备品备件的收费标准，供招标方参考，其费用不计入投标总价。投标方在投标文件中必须明确说明，招标方将予以评估。</w:t>
      </w:r>
    </w:p>
    <w:p>
      <w:pPr>
        <w:rPr>
          <w:rFonts w:hint="eastAsia" w:hAnsi="宋体" w:cs="宋体"/>
          <w:b/>
          <w:color w:val="auto"/>
          <w:highlight w:val="none"/>
        </w:rPr>
      </w:pPr>
    </w:p>
    <w:p>
      <w:pPr>
        <w:rPr>
          <w:rFonts w:hAnsi="宋体" w:cs="宋体"/>
          <w:b/>
          <w:color w:val="auto"/>
          <w:highlight w:val="none"/>
        </w:rPr>
      </w:pPr>
    </w:p>
    <w:bookmarkEnd w:id="15"/>
    <w:p>
      <w:pPr>
        <w:pStyle w:val="2"/>
        <w:rPr>
          <w:rFonts w:hAnsi="宋体" w:cs="宋体"/>
          <w:color w:val="auto"/>
          <w:szCs w:val="24"/>
          <w:highlight w:val="none"/>
        </w:rPr>
      </w:pPr>
      <w:bookmarkStart w:id="26" w:name="_Toc6554"/>
      <w:bookmarkStart w:id="27" w:name="_Toc16760"/>
      <w:bookmarkStart w:id="28" w:name="_Toc3828842"/>
      <w:r>
        <w:rPr>
          <w:rFonts w:hint="eastAsia" w:hAnsi="宋体" w:cs="宋体"/>
          <w:color w:val="auto"/>
          <w:szCs w:val="24"/>
          <w:highlight w:val="none"/>
        </w:rPr>
        <w:t>其他要求</w:t>
      </w:r>
      <w:bookmarkEnd w:id="16"/>
      <w:bookmarkEnd w:id="26"/>
      <w:bookmarkEnd w:id="27"/>
      <w:bookmarkEnd w:id="28"/>
    </w:p>
    <w:p>
      <w:pPr>
        <w:pStyle w:val="3"/>
        <w:ind w:left="0" w:leftChars="0" w:firstLineChars="0"/>
        <w:rPr>
          <w:rFonts w:hAnsi="宋体" w:cs="宋体"/>
          <w:color w:val="auto"/>
          <w:szCs w:val="24"/>
          <w:highlight w:val="none"/>
        </w:rPr>
      </w:pPr>
      <w:r>
        <w:rPr>
          <w:rFonts w:hint="eastAsia" w:hAnsi="宋体" w:cs="宋体"/>
          <w:color w:val="auto"/>
          <w:szCs w:val="24"/>
          <w:highlight w:val="none"/>
        </w:rPr>
        <w:t>项目进度</w:t>
      </w:r>
    </w:p>
    <w:p>
      <w:pPr>
        <w:pStyle w:val="4"/>
        <w:rPr>
          <w:color w:val="auto"/>
          <w:highlight w:val="none"/>
        </w:rPr>
      </w:pPr>
      <w:r>
        <w:rPr>
          <w:rFonts w:hint="eastAsia" w:hAnsi="宋体" w:cs="宋体"/>
          <w:b w:val="0"/>
          <w:bCs/>
          <w:color w:val="auto"/>
          <w:highlight w:val="none"/>
        </w:rPr>
        <w:t>投标方必须响应并承诺下列要求：投标方应在建议书中根据招标方要求的服务、工作产品交付日期，提出详细的项目进度表及工作组织安排，合同签订时将在此基础上确定最终进度。投标方应明确对最短可行项目进度的承诺。</w:t>
      </w:r>
    </w:p>
    <w:p>
      <w:pPr>
        <w:rPr>
          <w:color w:val="auto"/>
          <w:highlight w:val="none"/>
        </w:rPr>
      </w:pPr>
    </w:p>
    <w:p>
      <w:pPr>
        <w:pStyle w:val="3"/>
        <w:ind w:left="0" w:leftChars="0" w:firstLineChars="0"/>
        <w:rPr>
          <w:rFonts w:hAnsi="宋体" w:cs="宋体"/>
          <w:color w:val="auto"/>
          <w:szCs w:val="24"/>
          <w:highlight w:val="none"/>
        </w:rPr>
      </w:pPr>
      <w:r>
        <w:rPr>
          <w:rFonts w:hint="eastAsia" w:hAnsi="宋体" w:cs="宋体"/>
          <w:color w:val="auto"/>
          <w:szCs w:val="24"/>
          <w:highlight w:val="none"/>
        </w:rPr>
        <w:t>项目联络</w:t>
      </w:r>
    </w:p>
    <w:p>
      <w:pPr>
        <w:pStyle w:val="5"/>
        <w:numPr>
          <w:ilvl w:val="0"/>
          <w:numId w:val="0"/>
        </w:numPr>
        <w:rPr>
          <w:rFonts w:hAnsi="宋体" w:cs="宋体"/>
          <w:color w:val="auto"/>
          <w:highlight w:val="none"/>
        </w:rPr>
      </w:pPr>
      <w:r>
        <w:rPr>
          <w:rFonts w:hint="eastAsia" w:hAnsi="宋体" w:cs="宋体"/>
          <w:color w:val="auto"/>
          <w:highlight w:val="none"/>
        </w:rPr>
        <w:t>5.2.1为审查和确认本项目的工作方案，便于合同按期执行，在系统建设过程中可根据需要召开联络会。</w:t>
      </w:r>
    </w:p>
    <w:p>
      <w:pPr>
        <w:pStyle w:val="5"/>
        <w:numPr>
          <w:ilvl w:val="0"/>
          <w:numId w:val="0"/>
        </w:numPr>
        <w:rPr>
          <w:rFonts w:hAnsi="宋体" w:cs="宋体"/>
          <w:color w:val="auto"/>
          <w:highlight w:val="none"/>
        </w:rPr>
      </w:pPr>
      <w:r>
        <w:rPr>
          <w:rFonts w:hint="eastAsia" w:hAnsi="宋体" w:cs="宋体"/>
          <w:color w:val="auto"/>
          <w:highlight w:val="none"/>
        </w:rPr>
        <w:t>5.2.2联络会的内容如下：</w:t>
      </w:r>
    </w:p>
    <w:p>
      <w:pPr>
        <w:numPr>
          <w:ilvl w:val="0"/>
          <w:numId w:val="5"/>
        </w:numPr>
        <w:tabs>
          <w:tab w:val="left" w:pos="900"/>
          <w:tab w:val="clear" w:pos="420"/>
        </w:tabs>
        <w:ind w:left="480" w:leftChars="200"/>
        <w:rPr>
          <w:rFonts w:hAnsi="宋体" w:cs="宋体"/>
          <w:color w:val="auto"/>
          <w:highlight w:val="none"/>
        </w:rPr>
      </w:pPr>
      <w:r>
        <w:rPr>
          <w:rFonts w:hint="eastAsia" w:hAnsi="宋体" w:cs="宋体"/>
          <w:color w:val="auto"/>
          <w:highlight w:val="none"/>
        </w:rPr>
        <w:t>确认服务、工作产品的性能是否满足规范书要求。</w:t>
      </w:r>
    </w:p>
    <w:p>
      <w:pPr>
        <w:numPr>
          <w:ilvl w:val="0"/>
          <w:numId w:val="5"/>
        </w:numPr>
        <w:tabs>
          <w:tab w:val="left" w:pos="900"/>
          <w:tab w:val="clear" w:pos="420"/>
        </w:tabs>
        <w:ind w:left="480" w:leftChars="200"/>
        <w:rPr>
          <w:rFonts w:hAnsi="宋体" w:cs="宋体"/>
          <w:color w:val="auto"/>
          <w:highlight w:val="none"/>
        </w:rPr>
      </w:pPr>
      <w:r>
        <w:rPr>
          <w:rFonts w:hint="eastAsia" w:hAnsi="宋体" w:cs="宋体"/>
          <w:color w:val="auto"/>
          <w:highlight w:val="none"/>
        </w:rPr>
        <w:t>确认服务、工作产品的实施方案。</w:t>
      </w:r>
    </w:p>
    <w:p>
      <w:pPr>
        <w:numPr>
          <w:ilvl w:val="0"/>
          <w:numId w:val="5"/>
        </w:numPr>
        <w:tabs>
          <w:tab w:val="left" w:pos="900"/>
          <w:tab w:val="clear" w:pos="420"/>
        </w:tabs>
        <w:ind w:left="480" w:leftChars="200"/>
        <w:rPr>
          <w:rFonts w:hAnsi="宋体" w:cs="宋体"/>
          <w:color w:val="auto"/>
          <w:highlight w:val="none"/>
        </w:rPr>
      </w:pPr>
      <w:r>
        <w:rPr>
          <w:rFonts w:hint="eastAsia" w:hAnsi="宋体" w:cs="宋体"/>
          <w:color w:val="auto"/>
          <w:highlight w:val="none"/>
        </w:rPr>
        <w:t>检查、确认投标方提供的技术文件和图纸。</w:t>
      </w:r>
    </w:p>
    <w:p>
      <w:pPr>
        <w:numPr>
          <w:ilvl w:val="0"/>
          <w:numId w:val="5"/>
        </w:numPr>
        <w:tabs>
          <w:tab w:val="left" w:pos="900"/>
          <w:tab w:val="clear" w:pos="420"/>
        </w:tabs>
        <w:ind w:left="480" w:leftChars="200"/>
        <w:rPr>
          <w:rFonts w:hAnsi="宋体" w:cs="宋体"/>
          <w:color w:val="auto"/>
          <w:highlight w:val="none"/>
        </w:rPr>
      </w:pPr>
      <w:r>
        <w:rPr>
          <w:rFonts w:hint="eastAsia" w:hAnsi="宋体" w:cs="宋体"/>
          <w:color w:val="auto"/>
          <w:highlight w:val="none"/>
        </w:rPr>
        <w:t>讨论、确定培训计划（包括课程安排、教材、进度）。</w:t>
      </w:r>
    </w:p>
    <w:p>
      <w:pPr>
        <w:numPr>
          <w:ilvl w:val="0"/>
          <w:numId w:val="5"/>
        </w:numPr>
        <w:tabs>
          <w:tab w:val="left" w:pos="900"/>
          <w:tab w:val="clear" w:pos="420"/>
        </w:tabs>
        <w:ind w:left="480" w:leftChars="200"/>
        <w:rPr>
          <w:rFonts w:hAnsi="宋体" w:cs="宋体"/>
          <w:color w:val="auto"/>
          <w:highlight w:val="none"/>
        </w:rPr>
      </w:pPr>
      <w:r>
        <w:rPr>
          <w:rFonts w:hint="eastAsia" w:hAnsi="宋体" w:cs="宋体"/>
          <w:color w:val="auto"/>
          <w:highlight w:val="none"/>
        </w:rPr>
        <w:t>其他有关事项。</w:t>
      </w:r>
    </w:p>
    <w:p>
      <w:pPr>
        <w:pStyle w:val="3"/>
        <w:ind w:left="0" w:leftChars="0" w:firstLineChars="0"/>
        <w:rPr>
          <w:rFonts w:hAnsi="宋体" w:cs="宋体"/>
          <w:color w:val="auto"/>
          <w:szCs w:val="24"/>
          <w:highlight w:val="none"/>
        </w:rPr>
      </w:pPr>
      <w:r>
        <w:rPr>
          <w:rFonts w:hint="eastAsia" w:hAnsi="宋体" w:cs="宋体"/>
          <w:color w:val="auto"/>
          <w:szCs w:val="24"/>
          <w:highlight w:val="none"/>
        </w:rPr>
        <w:t>评审与验收</w:t>
      </w:r>
    </w:p>
    <w:p>
      <w:pPr>
        <w:pStyle w:val="5"/>
        <w:numPr>
          <w:ilvl w:val="0"/>
          <w:numId w:val="0"/>
        </w:numPr>
        <w:rPr>
          <w:rFonts w:hAnsi="宋体" w:cs="宋体"/>
          <w:color w:val="auto"/>
          <w:highlight w:val="none"/>
        </w:rPr>
      </w:pPr>
      <w:r>
        <w:rPr>
          <w:rFonts w:hint="eastAsia" w:hAnsi="宋体" w:cs="宋体"/>
          <w:color w:val="auto"/>
          <w:highlight w:val="none"/>
        </w:rPr>
        <w:t>5.3.1投标方应负责在项目验收时将项目的全部有关技术文件、资料、测试、验收报告等文档汇集成册交付给招标方。</w:t>
      </w:r>
    </w:p>
    <w:p>
      <w:pPr>
        <w:pStyle w:val="5"/>
        <w:numPr>
          <w:ilvl w:val="0"/>
          <w:numId w:val="0"/>
        </w:numPr>
        <w:rPr>
          <w:rFonts w:hAnsi="宋体" w:cs="宋体"/>
          <w:color w:val="auto"/>
          <w:highlight w:val="none"/>
        </w:rPr>
      </w:pPr>
      <w:r>
        <w:rPr>
          <w:rFonts w:hint="eastAsia" w:hAnsi="宋体" w:cs="宋体"/>
          <w:color w:val="auto"/>
          <w:highlight w:val="none"/>
        </w:rPr>
        <w:t>5.3.2招标方可根据合同及招标书和招标方的有关规定进行修改和补充, 经双方确认后形成验收文件作为验收依据。验收评审合格后30日内，若无问题，经双方确认后，签署最终验收文件。</w:t>
      </w:r>
    </w:p>
    <w:p>
      <w:pPr>
        <w:pStyle w:val="5"/>
        <w:numPr>
          <w:ilvl w:val="0"/>
          <w:numId w:val="0"/>
        </w:numPr>
        <w:rPr>
          <w:rFonts w:hAnsi="宋体" w:cs="宋体"/>
          <w:color w:val="auto"/>
          <w:highlight w:val="none"/>
        </w:rPr>
      </w:pPr>
      <w:r>
        <w:rPr>
          <w:rFonts w:hint="eastAsia" w:hAnsi="宋体" w:cs="宋体"/>
          <w:color w:val="auto"/>
          <w:highlight w:val="none"/>
        </w:rPr>
        <w:t>5.3.4如果在签署最终验收文件后12周内，由于投标方的原因，该项目有一条或多条达不到规定的技术要求时，投标方应在附加的4周内采取有效措施，使该项目完全达到规定的技术要求，在此期间的一切费用由投标方承担，如在此期间内仍达不到规定的技术性能要求时，将按合同中相应商务条款执行。</w:t>
      </w:r>
    </w:p>
    <w:p>
      <w:pPr>
        <w:pStyle w:val="3"/>
        <w:ind w:left="0" w:leftChars="0" w:firstLineChars="0"/>
        <w:rPr>
          <w:rFonts w:hAnsi="宋体" w:cs="宋体"/>
          <w:color w:val="auto"/>
          <w:szCs w:val="24"/>
          <w:highlight w:val="none"/>
        </w:rPr>
      </w:pPr>
      <w:r>
        <w:rPr>
          <w:rFonts w:hint="eastAsia" w:hAnsi="宋体" w:cs="宋体"/>
          <w:color w:val="auto"/>
          <w:szCs w:val="24"/>
          <w:highlight w:val="none"/>
        </w:rPr>
        <w:t>技术资料和文件</w:t>
      </w:r>
    </w:p>
    <w:p>
      <w:pPr>
        <w:pStyle w:val="5"/>
        <w:numPr>
          <w:ilvl w:val="0"/>
          <w:numId w:val="0"/>
        </w:numPr>
        <w:rPr>
          <w:rFonts w:hAnsi="宋体" w:cs="宋体"/>
          <w:color w:val="auto"/>
          <w:highlight w:val="none"/>
        </w:rPr>
      </w:pPr>
      <w:r>
        <w:rPr>
          <w:rFonts w:hint="eastAsia" w:hAnsi="宋体" w:cs="宋体"/>
          <w:color w:val="auto"/>
          <w:highlight w:val="none"/>
        </w:rPr>
        <w:t>5.4.1投标方提供的文件和资料应能满足招标方进行维护和进一步完善的需要。</w:t>
      </w:r>
    </w:p>
    <w:p>
      <w:pPr>
        <w:pStyle w:val="5"/>
        <w:numPr>
          <w:ilvl w:val="0"/>
          <w:numId w:val="0"/>
        </w:numPr>
        <w:rPr>
          <w:rFonts w:hint="eastAsia" w:hAnsi="宋体" w:cs="宋体"/>
          <w:color w:val="auto"/>
          <w:highlight w:val="none"/>
        </w:rPr>
      </w:pPr>
      <w:r>
        <w:rPr>
          <w:rFonts w:hint="eastAsia" w:hAnsi="宋体" w:cs="宋体"/>
          <w:color w:val="auto"/>
          <w:highlight w:val="none"/>
        </w:rPr>
        <w:t>5.4.2提供的图纸应符合标准规格。</w:t>
      </w:r>
    </w:p>
    <w:p>
      <w:pPr>
        <w:pStyle w:val="5"/>
        <w:numPr>
          <w:ilvl w:val="0"/>
          <w:numId w:val="0"/>
        </w:numPr>
        <w:rPr>
          <w:rFonts w:hint="eastAsia" w:hAnsi="宋体" w:cs="宋体"/>
          <w:color w:val="auto"/>
          <w:highlight w:val="none"/>
        </w:rPr>
      </w:pPr>
    </w:p>
    <w:p>
      <w:pPr>
        <w:pStyle w:val="2"/>
        <w:rPr>
          <w:rFonts w:hAnsi="宋体" w:cs="宋体"/>
          <w:color w:val="auto"/>
          <w:szCs w:val="24"/>
          <w:highlight w:val="none"/>
        </w:rPr>
      </w:pPr>
      <w:bookmarkStart w:id="29" w:name="_Toc93490630"/>
      <w:bookmarkStart w:id="30" w:name="_Toc351129176"/>
      <w:bookmarkStart w:id="31" w:name="_Toc3828843"/>
      <w:bookmarkStart w:id="32" w:name="_Toc167003829"/>
      <w:bookmarkStart w:id="33" w:name="_Toc137397828"/>
      <w:bookmarkStart w:id="34" w:name="_Toc31136"/>
      <w:bookmarkStart w:id="35" w:name="_Toc93490801"/>
      <w:bookmarkStart w:id="36" w:name="_Toc398114162"/>
      <w:bookmarkStart w:id="37" w:name="_Toc2459"/>
      <w:bookmarkStart w:id="38" w:name="_Toc93490580"/>
      <w:r>
        <w:rPr>
          <w:rFonts w:hint="eastAsia" w:hAnsi="宋体" w:cs="宋体"/>
          <w:color w:val="auto"/>
          <w:szCs w:val="24"/>
          <w:highlight w:val="none"/>
        </w:rPr>
        <w:t>附件</w:t>
      </w:r>
      <w:bookmarkEnd w:id="29"/>
      <w:bookmarkEnd w:id="30"/>
      <w:bookmarkEnd w:id="31"/>
      <w:bookmarkEnd w:id="32"/>
      <w:bookmarkEnd w:id="33"/>
      <w:bookmarkEnd w:id="34"/>
      <w:bookmarkEnd w:id="35"/>
      <w:bookmarkEnd w:id="36"/>
      <w:bookmarkEnd w:id="37"/>
      <w:bookmarkEnd w:id="38"/>
    </w:p>
    <w:p>
      <w:pPr>
        <w:pStyle w:val="3"/>
        <w:ind w:left="0" w:leftChars="0" w:firstLineChars="0"/>
        <w:rPr>
          <w:rFonts w:hAnsi="宋体" w:cs="宋体"/>
          <w:color w:val="auto"/>
          <w:szCs w:val="24"/>
          <w:highlight w:val="none"/>
        </w:rPr>
      </w:pPr>
      <w:r>
        <w:rPr>
          <w:rFonts w:hint="eastAsia" w:hAnsi="宋体" w:cs="宋体"/>
          <w:color w:val="auto"/>
          <w:szCs w:val="24"/>
          <w:highlight w:val="none"/>
        </w:rPr>
        <w:t>差异表</w:t>
      </w:r>
    </w:p>
    <w:tbl>
      <w:tblPr>
        <w:tblStyle w:val="15"/>
        <w:tblW w:w="8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020"/>
        <w:gridCol w:w="2835"/>
        <w:gridCol w:w="1605"/>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vMerge w:val="restart"/>
            <w:tcBorders>
              <w:top w:val="single" w:color="auto" w:sz="4" w:space="0"/>
              <w:left w:val="single" w:color="auto" w:sz="4" w:space="0"/>
              <w:bottom w:val="single" w:color="auto" w:sz="4" w:space="0"/>
              <w:right w:val="single" w:color="auto" w:sz="4" w:space="0"/>
            </w:tcBorders>
            <w:vAlign w:val="center"/>
          </w:tcPr>
          <w:p>
            <w:pPr>
              <w:rPr>
                <w:rFonts w:hAnsi="宋体" w:cs="宋体"/>
                <w:color w:val="auto"/>
                <w:highlight w:val="none"/>
              </w:rPr>
            </w:pPr>
            <w:r>
              <w:rPr>
                <w:rFonts w:hint="eastAsia" w:hAnsi="宋体" w:cs="宋体"/>
                <w:color w:val="auto"/>
                <w:highlight w:val="none"/>
              </w:rPr>
              <w:t>序号</w:t>
            </w:r>
          </w:p>
        </w:tc>
        <w:tc>
          <w:tcPr>
            <w:tcW w:w="3855" w:type="dxa"/>
            <w:gridSpan w:val="2"/>
            <w:tcBorders>
              <w:top w:val="single" w:color="auto" w:sz="4" w:space="0"/>
              <w:left w:val="single" w:color="auto" w:sz="4" w:space="0"/>
              <w:bottom w:val="single" w:color="auto" w:sz="4" w:space="0"/>
              <w:right w:val="single" w:color="auto" w:sz="4" w:space="0"/>
            </w:tcBorders>
            <w:vAlign w:val="center"/>
          </w:tcPr>
          <w:p>
            <w:pPr>
              <w:rPr>
                <w:rFonts w:hAnsi="宋体" w:cs="宋体"/>
                <w:color w:val="auto"/>
                <w:highlight w:val="none"/>
              </w:rPr>
            </w:pPr>
            <w:r>
              <w:rPr>
                <w:rFonts w:hint="eastAsia" w:hAnsi="宋体" w:cs="宋体"/>
                <w:color w:val="auto"/>
                <w:highlight w:val="none"/>
              </w:rPr>
              <w:t>招标文件</w:t>
            </w:r>
          </w:p>
        </w:tc>
        <w:tc>
          <w:tcPr>
            <w:tcW w:w="4299" w:type="dxa"/>
            <w:gridSpan w:val="2"/>
            <w:tcBorders>
              <w:top w:val="single" w:color="auto" w:sz="4" w:space="0"/>
              <w:left w:val="single" w:color="auto" w:sz="4" w:space="0"/>
              <w:bottom w:val="single" w:color="auto" w:sz="4" w:space="0"/>
              <w:right w:val="single" w:color="auto" w:sz="4" w:space="0"/>
            </w:tcBorders>
            <w:vAlign w:val="center"/>
          </w:tcPr>
          <w:p>
            <w:pPr>
              <w:rPr>
                <w:rFonts w:hAnsi="宋体" w:cs="宋体"/>
                <w:color w:val="auto"/>
                <w:highlight w:val="none"/>
              </w:rPr>
            </w:pPr>
            <w:r>
              <w:rPr>
                <w:rFonts w:hint="eastAsia" w:hAnsi="宋体" w:cs="宋体"/>
                <w:color w:val="auto"/>
                <w:highlight w:val="none"/>
              </w:rPr>
              <w:t>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pPr>
              <w:rPr>
                <w:rFonts w:hAnsi="宋体" w:cs="宋体"/>
                <w:color w:val="auto"/>
                <w:highlight w:val="none"/>
              </w:rPr>
            </w:pPr>
          </w:p>
        </w:tc>
        <w:tc>
          <w:tcPr>
            <w:tcW w:w="1020" w:type="dxa"/>
            <w:tcBorders>
              <w:top w:val="single" w:color="auto" w:sz="4" w:space="0"/>
              <w:left w:val="single" w:color="auto" w:sz="4" w:space="0"/>
              <w:bottom w:val="single" w:color="auto" w:sz="4" w:space="0"/>
              <w:right w:val="single" w:color="auto" w:sz="4" w:space="0"/>
            </w:tcBorders>
            <w:vAlign w:val="center"/>
          </w:tcPr>
          <w:p>
            <w:pPr>
              <w:rPr>
                <w:rFonts w:hAnsi="宋体" w:cs="宋体"/>
                <w:color w:val="auto"/>
                <w:highlight w:val="none"/>
              </w:rPr>
            </w:pPr>
            <w:r>
              <w:rPr>
                <w:rFonts w:hint="eastAsia" w:hAnsi="宋体" w:cs="宋体"/>
                <w:color w:val="auto"/>
                <w:highlight w:val="none"/>
              </w:rPr>
              <w:t>条目</w:t>
            </w:r>
          </w:p>
        </w:tc>
        <w:tc>
          <w:tcPr>
            <w:tcW w:w="2835" w:type="dxa"/>
            <w:tcBorders>
              <w:top w:val="single" w:color="auto" w:sz="4" w:space="0"/>
              <w:left w:val="single" w:color="auto" w:sz="4" w:space="0"/>
              <w:bottom w:val="single" w:color="auto" w:sz="4" w:space="0"/>
              <w:right w:val="single" w:color="auto" w:sz="4" w:space="0"/>
            </w:tcBorders>
            <w:vAlign w:val="center"/>
          </w:tcPr>
          <w:p>
            <w:pPr>
              <w:rPr>
                <w:rFonts w:hAnsi="宋体" w:cs="宋体"/>
                <w:color w:val="auto"/>
                <w:highlight w:val="none"/>
              </w:rPr>
            </w:pPr>
            <w:r>
              <w:rPr>
                <w:rFonts w:hint="eastAsia" w:hAnsi="宋体" w:cs="宋体"/>
                <w:color w:val="auto"/>
                <w:highlight w:val="none"/>
              </w:rPr>
              <w:t>简要内容</w:t>
            </w:r>
          </w:p>
        </w:tc>
        <w:tc>
          <w:tcPr>
            <w:tcW w:w="1605" w:type="dxa"/>
            <w:tcBorders>
              <w:top w:val="single" w:color="auto" w:sz="4" w:space="0"/>
              <w:left w:val="single" w:color="auto" w:sz="4" w:space="0"/>
              <w:bottom w:val="single" w:color="auto" w:sz="4" w:space="0"/>
              <w:right w:val="single" w:color="auto" w:sz="4" w:space="0"/>
            </w:tcBorders>
            <w:vAlign w:val="center"/>
          </w:tcPr>
          <w:p>
            <w:pPr>
              <w:rPr>
                <w:rFonts w:hAnsi="宋体" w:cs="宋体"/>
                <w:color w:val="auto"/>
                <w:highlight w:val="none"/>
              </w:rPr>
            </w:pPr>
            <w:r>
              <w:rPr>
                <w:rFonts w:hint="eastAsia" w:hAnsi="宋体" w:cs="宋体"/>
                <w:color w:val="auto"/>
                <w:highlight w:val="none"/>
              </w:rPr>
              <w:t>条目</w:t>
            </w:r>
          </w:p>
        </w:tc>
        <w:tc>
          <w:tcPr>
            <w:tcW w:w="2694" w:type="dxa"/>
            <w:tcBorders>
              <w:top w:val="single" w:color="auto" w:sz="4" w:space="0"/>
              <w:left w:val="single" w:color="auto" w:sz="4" w:space="0"/>
              <w:bottom w:val="single" w:color="auto" w:sz="4" w:space="0"/>
              <w:right w:val="single" w:color="auto" w:sz="4" w:space="0"/>
            </w:tcBorders>
            <w:vAlign w:val="center"/>
          </w:tcPr>
          <w:p>
            <w:pPr>
              <w:rPr>
                <w:rFonts w:hAnsi="宋体" w:cs="宋体"/>
                <w:color w:val="auto"/>
                <w:highlight w:val="none"/>
              </w:rPr>
            </w:pPr>
            <w:r>
              <w:rPr>
                <w:rFonts w:hint="eastAsia" w:hAnsi="宋体" w:cs="宋体"/>
                <w:color w:val="auto"/>
                <w:highlight w:val="none"/>
              </w:rPr>
              <w:t>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tcBorders>
              <w:top w:val="single" w:color="auto" w:sz="4" w:space="0"/>
              <w:left w:val="single" w:color="auto" w:sz="4" w:space="0"/>
              <w:bottom w:val="single" w:color="auto" w:sz="4" w:space="0"/>
              <w:right w:val="single" w:color="auto" w:sz="4" w:space="0"/>
            </w:tcBorders>
          </w:tcPr>
          <w:p>
            <w:pPr>
              <w:rPr>
                <w:rFonts w:hAnsi="宋体" w:cs="宋体"/>
                <w:color w:val="auto"/>
                <w:highlight w:val="none"/>
              </w:rPr>
            </w:pPr>
          </w:p>
        </w:tc>
        <w:tc>
          <w:tcPr>
            <w:tcW w:w="1020" w:type="dxa"/>
            <w:tcBorders>
              <w:top w:val="single" w:color="auto" w:sz="4" w:space="0"/>
              <w:left w:val="single" w:color="auto" w:sz="4" w:space="0"/>
              <w:bottom w:val="single" w:color="auto" w:sz="4" w:space="0"/>
              <w:right w:val="single" w:color="auto" w:sz="4" w:space="0"/>
            </w:tcBorders>
          </w:tcPr>
          <w:p>
            <w:pPr>
              <w:rPr>
                <w:rFonts w:hAnsi="宋体" w:cs="宋体"/>
                <w:color w:val="auto"/>
                <w:highlight w:val="none"/>
              </w:rPr>
            </w:pPr>
          </w:p>
        </w:tc>
        <w:tc>
          <w:tcPr>
            <w:tcW w:w="2835" w:type="dxa"/>
            <w:tcBorders>
              <w:top w:val="single" w:color="auto" w:sz="4" w:space="0"/>
              <w:left w:val="single" w:color="auto" w:sz="4" w:space="0"/>
              <w:bottom w:val="single" w:color="auto" w:sz="4" w:space="0"/>
              <w:right w:val="single" w:color="auto" w:sz="4" w:space="0"/>
            </w:tcBorders>
          </w:tcPr>
          <w:p>
            <w:pPr>
              <w:rPr>
                <w:rFonts w:hAnsi="宋体" w:cs="宋体"/>
                <w:color w:val="auto"/>
                <w:highlight w:val="none"/>
              </w:rPr>
            </w:pPr>
          </w:p>
        </w:tc>
        <w:tc>
          <w:tcPr>
            <w:tcW w:w="1605" w:type="dxa"/>
            <w:tcBorders>
              <w:top w:val="single" w:color="auto" w:sz="4" w:space="0"/>
              <w:left w:val="single" w:color="auto" w:sz="4" w:space="0"/>
              <w:bottom w:val="single" w:color="auto" w:sz="4" w:space="0"/>
              <w:right w:val="single" w:color="auto" w:sz="4" w:space="0"/>
            </w:tcBorders>
          </w:tcPr>
          <w:p>
            <w:pPr>
              <w:rPr>
                <w:rFonts w:hAnsi="宋体" w:cs="宋体"/>
                <w:color w:val="auto"/>
                <w:highlight w:val="none"/>
              </w:rPr>
            </w:pPr>
          </w:p>
        </w:tc>
        <w:tc>
          <w:tcPr>
            <w:tcW w:w="2694" w:type="dxa"/>
            <w:tcBorders>
              <w:top w:val="single" w:color="auto" w:sz="4" w:space="0"/>
              <w:left w:val="single" w:color="auto" w:sz="4" w:space="0"/>
              <w:bottom w:val="single" w:color="auto" w:sz="4" w:space="0"/>
              <w:right w:val="single" w:color="auto" w:sz="4" w:space="0"/>
            </w:tcBorders>
          </w:tcPr>
          <w:p>
            <w:pPr>
              <w:rPr>
                <w:rFonts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tcBorders>
              <w:top w:val="single" w:color="auto" w:sz="4" w:space="0"/>
              <w:left w:val="single" w:color="auto" w:sz="4" w:space="0"/>
              <w:bottom w:val="single" w:color="auto" w:sz="4" w:space="0"/>
              <w:right w:val="single" w:color="auto" w:sz="4" w:space="0"/>
            </w:tcBorders>
          </w:tcPr>
          <w:p>
            <w:pPr>
              <w:rPr>
                <w:rFonts w:hAnsi="宋体" w:cs="宋体"/>
                <w:color w:val="auto"/>
                <w:highlight w:val="none"/>
              </w:rPr>
            </w:pPr>
          </w:p>
        </w:tc>
        <w:tc>
          <w:tcPr>
            <w:tcW w:w="1020" w:type="dxa"/>
            <w:tcBorders>
              <w:top w:val="single" w:color="auto" w:sz="4" w:space="0"/>
              <w:left w:val="single" w:color="auto" w:sz="4" w:space="0"/>
              <w:bottom w:val="single" w:color="auto" w:sz="4" w:space="0"/>
              <w:right w:val="single" w:color="auto" w:sz="4" w:space="0"/>
            </w:tcBorders>
          </w:tcPr>
          <w:p>
            <w:pPr>
              <w:rPr>
                <w:rFonts w:hAnsi="宋体" w:cs="宋体"/>
                <w:color w:val="auto"/>
                <w:highlight w:val="none"/>
              </w:rPr>
            </w:pPr>
          </w:p>
        </w:tc>
        <w:tc>
          <w:tcPr>
            <w:tcW w:w="2835" w:type="dxa"/>
            <w:tcBorders>
              <w:top w:val="single" w:color="auto" w:sz="4" w:space="0"/>
              <w:left w:val="single" w:color="auto" w:sz="4" w:space="0"/>
              <w:bottom w:val="single" w:color="auto" w:sz="4" w:space="0"/>
              <w:right w:val="single" w:color="auto" w:sz="4" w:space="0"/>
            </w:tcBorders>
          </w:tcPr>
          <w:p>
            <w:pPr>
              <w:rPr>
                <w:rFonts w:hAnsi="宋体" w:cs="宋体"/>
                <w:color w:val="auto"/>
                <w:highlight w:val="none"/>
              </w:rPr>
            </w:pPr>
          </w:p>
        </w:tc>
        <w:tc>
          <w:tcPr>
            <w:tcW w:w="1605" w:type="dxa"/>
            <w:tcBorders>
              <w:top w:val="single" w:color="auto" w:sz="4" w:space="0"/>
              <w:left w:val="single" w:color="auto" w:sz="4" w:space="0"/>
              <w:bottom w:val="single" w:color="auto" w:sz="4" w:space="0"/>
              <w:right w:val="single" w:color="auto" w:sz="4" w:space="0"/>
            </w:tcBorders>
          </w:tcPr>
          <w:p>
            <w:pPr>
              <w:rPr>
                <w:rFonts w:hAnsi="宋体" w:cs="宋体"/>
                <w:color w:val="auto"/>
                <w:highlight w:val="none"/>
              </w:rPr>
            </w:pPr>
          </w:p>
        </w:tc>
        <w:tc>
          <w:tcPr>
            <w:tcW w:w="2694" w:type="dxa"/>
            <w:tcBorders>
              <w:top w:val="single" w:color="auto" w:sz="4" w:space="0"/>
              <w:left w:val="single" w:color="auto" w:sz="4" w:space="0"/>
              <w:bottom w:val="single" w:color="auto" w:sz="4" w:space="0"/>
              <w:right w:val="single" w:color="auto" w:sz="4" w:space="0"/>
            </w:tcBorders>
          </w:tcPr>
          <w:p>
            <w:pPr>
              <w:rPr>
                <w:rFonts w:hAnsi="宋体" w:cs="宋体"/>
                <w:color w:val="auto"/>
                <w:highlight w:val="none"/>
              </w:rPr>
            </w:pPr>
          </w:p>
        </w:tc>
      </w:tr>
    </w:tbl>
    <w:p>
      <w:pPr>
        <w:rPr>
          <w:color w:val="auto"/>
          <w:highlight w:val="none"/>
        </w:rPr>
      </w:pPr>
    </w:p>
    <w:sectPr>
      <w:headerReference r:id="rId8" w:type="default"/>
      <w:footerReference r:id="rId9" w:type="default"/>
      <w:pgSz w:w="11906" w:h="16838"/>
      <w:pgMar w:top="1440" w:right="1797" w:bottom="1440" w:left="1797" w:header="851" w:footer="992"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GmCS9MAAAAFAQAADwAAAAAA&#10;AAABACAAAAAiAAAAZHJzL2Rvd25yZXYueG1sUEsBAhQAFAAAAAgAh07iQGJDhwTfAQAAvAMAAA4A&#10;AAAAAAAAAQAgAAAAIgEAAGRycy9lMm9Eb2MueG1sUEsFBgAAAAAGAAYAWQEAAHMFAAAAAA==&#10;">
              <v:fill on="f" focussize="0,0"/>
              <v:stroke on="f" weight="1.2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pPr>
    <w:r>
      <w:fldChar w:fldCharType="begin"/>
    </w:r>
    <w:r>
      <w:instrText xml:space="preserve">PAGE  </w:instrText>
    </w:r>
    <w:r>
      <w:fldChar w:fldCharType="end"/>
    </w:r>
  </w:p>
  <w:p>
    <w:pP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
                            <w:fldChar w:fldCharType="begin"/>
                          </w:r>
                          <w:r>
                            <w:instrText xml:space="preserve">PAGE  </w:instrText>
                          </w:r>
                          <w:r>
                            <w:fldChar w:fldCharType="separate"/>
                          </w:r>
                          <w:r>
                            <w:t>9</w:t>
                          </w:r>
                          <w: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GmCS9MAAAAFAQAADwAAAAAA&#10;AAABACAAAAAiAAAAZHJzL2Rvd25yZXYueG1sUEsBAhQAFAAAAAgAh07iQINw4sXfAQAAvAMAAA4A&#10;AAAAAAAAAQAgAAAAIgEAAGRycy9lMm9Eb2MueG1sUEsFBgAAAAAGAAYAWQEAAHMFAAAAAA==&#10;">
              <v:fill on="f" focussize="0,0"/>
              <v:stroke on="f" weight="1.25pt"/>
              <v:imagedata o:title=""/>
              <o:lock v:ext="edit" aspectratio="f"/>
              <v:textbox inset="0mm,0mm,0mm,0mm" style="mso-fit-shape-to-text:t;">
                <w:txbxContent>
                  <w:p>
                    <w:r>
                      <w:fldChar w:fldCharType="begin"/>
                    </w:r>
                    <w:r>
                      <w:instrText xml:space="preserve">PAGE  </w:instrText>
                    </w:r>
                    <w:r>
                      <w:fldChar w:fldCharType="separate"/>
                    </w:r>
                    <w:r>
                      <w:t>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r>
      <w:drawing>
        <wp:inline distT="0" distB="0" distL="114300" distR="114300">
          <wp:extent cx="1554480" cy="273685"/>
          <wp:effectExtent l="0" t="0" r="7620" b="12065"/>
          <wp:docPr id="3" name="Picture 1" descr="tt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tttt"/>
                  <pic:cNvPicPr>
                    <a:picLocks noChangeAspect="1"/>
                  </pic:cNvPicPr>
                </pic:nvPicPr>
                <pic:blipFill>
                  <a:blip r:embed="rId1"/>
                  <a:stretch>
                    <a:fillRect/>
                  </a:stretch>
                </pic:blipFill>
                <pic:spPr>
                  <a:xfrm>
                    <a:off x="0" y="0"/>
                    <a:ext cx="1554480" cy="2736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upperRoman"/>
      <w:pStyle w:val="6"/>
      <w:lvlText w:val="%1."/>
      <w:lvlJc w:val="left"/>
      <w:pPr>
        <w:ind w:left="720" w:hanging="720"/>
      </w:pPr>
    </w:lvl>
    <w:lvl w:ilvl="1" w:tentative="0">
      <w:start w:val="1"/>
      <w:numFmt w:val="upperLetter"/>
      <w:lvlText w:val="%2."/>
      <w:lvlJc w:val="left"/>
      <w:pPr>
        <w:ind w:left="1440" w:hanging="720"/>
      </w:pPr>
    </w:lvl>
    <w:lvl w:ilvl="2" w:tentative="0">
      <w:start w:val="1"/>
      <w:numFmt w:val="decimal"/>
      <w:lvlText w:val="%3."/>
      <w:lvlJc w:val="left"/>
      <w:pPr>
        <w:ind w:left="2160" w:hanging="720"/>
      </w:pPr>
    </w:lvl>
    <w:lvl w:ilvl="3" w:tentative="0">
      <w:start w:val="1"/>
      <w:numFmt w:val="lowerLetter"/>
      <w:lvlText w:val="%4)"/>
      <w:lvlJc w:val="left"/>
      <w:pPr>
        <w:ind w:left="2880" w:hanging="720"/>
      </w:pPr>
    </w:lvl>
    <w:lvl w:ilvl="4" w:tentative="0">
      <w:start w:val="1"/>
      <w:numFmt w:val="decimal"/>
      <w:lvlText w:val="(%5)"/>
      <w:lvlJc w:val="left"/>
      <w:pPr>
        <w:ind w:left="3600" w:hanging="720"/>
      </w:pPr>
    </w:lvl>
    <w:lvl w:ilvl="5" w:tentative="0">
      <w:start w:val="1"/>
      <w:numFmt w:val="lowerLetter"/>
      <w:lvlText w:val="(%6)"/>
      <w:lvlJc w:val="left"/>
      <w:pPr>
        <w:ind w:left="4320" w:hanging="720"/>
      </w:pPr>
    </w:lvl>
    <w:lvl w:ilvl="6" w:tentative="0">
      <w:start w:val="1"/>
      <w:numFmt w:val="lowerRoman"/>
      <w:lvlText w:val="(%7)"/>
      <w:lvlJc w:val="left"/>
      <w:pPr>
        <w:ind w:left="5040" w:hanging="720"/>
      </w:pPr>
    </w:lvl>
    <w:lvl w:ilvl="7" w:tentative="0">
      <w:start w:val="1"/>
      <w:numFmt w:val="lowerLetter"/>
      <w:lvlText w:val="(%8)"/>
      <w:lvlJc w:val="left"/>
      <w:pPr>
        <w:ind w:left="5760" w:hanging="720"/>
      </w:pPr>
    </w:lvl>
    <w:lvl w:ilvl="8" w:tentative="0">
      <w:start w:val="1"/>
      <w:numFmt w:val="lowerRoman"/>
      <w:lvlText w:val="(%9)"/>
      <w:lvlJc w:val="left"/>
      <w:pPr>
        <w:ind w:left="6480" w:hanging="720"/>
      </w:pPr>
    </w:lvl>
  </w:abstractNum>
  <w:abstractNum w:abstractNumId="1">
    <w:nsid w:val="0595501A"/>
    <w:multiLevelType w:val="multilevel"/>
    <w:tmpl w:val="0595501A"/>
    <w:lvl w:ilvl="0" w:tentative="0">
      <w:start w:val="1"/>
      <w:numFmt w:val="decimal"/>
      <w:pStyle w:val="2"/>
      <w:suff w:val="space"/>
      <w:lvlText w:val="%1."/>
      <w:lvlJc w:val="left"/>
      <w:pPr>
        <w:ind w:left="0" w:firstLine="0"/>
      </w:pPr>
      <w:rPr>
        <w:rFonts w:hint="eastAsia"/>
      </w:rPr>
    </w:lvl>
    <w:lvl w:ilvl="1" w:tentative="0">
      <w:start w:val="1"/>
      <w:numFmt w:val="decimal"/>
      <w:pStyle w:val="3"/>
      <w:isLgl/>
      <w:suff w:val="space"/>
      <w:lvlText w:val="%1.%2"/>
      <w:lvlJc w:val="left"/>
      <w:pPr>
        <w:ind w:left="0" w:firstLine="0"/>
      </w:pPr>
      <w:rPr>
        <w:rFonts w:hint="eastAsia"/>
      </w:rPr>
    </w:lvl>
    <w:lvl w:ilvl="2" w:tentative="0">
      <w:start w:val="1"/>
      <w:numFmt w:val="decimal"/>
      <w:pStyle w:val="5"/>
      <w:isLgl/>
      <w:suff w:val="space"/>
      <w:lvlText w:val="%1.%2.%3"/>
      <w:lvlJc w:val="left"/>
      <w:pPr>
        <w:ind w:left="0" w:firstLine="0"/>
      </w:pPr>
      <w:rPr>
        <w:rFonts w:hint="eastAsia"/>
        <w:b w:val="0"/>
        <w:i w:val="0"/>
      </w:rPr>
    </w:lvl>
    <w:lvl w:ilvl="3" w:tentative="0">
      <w:start w:val="1"/>
      <w:numFmt w:val="decimal"/>
      <w:isLgl/>
      <w:suff w:val="space"/>
      <w:lvlText w:val="%1.%2.%3.%4"/>
      <w:lvlJc w:val="left"/>
      <w:pPr>
        <w:ind w:left="0" w:firstLine="0"/>
      </w:pPr>
      <w:rPr>
        <w:rFonts w:hint="eastAsia"/>
      </w:rPr>
    </w:lvl>
    <w:lvl w:ilvl="4" w:tentative="0">
      <w:start w:val="1"/>
      <w:numFmt w:val="decimal"/>
      <w:isLgl/>
      <w:lvlText w:val="%1.%2.%3.%4.%5"/>
      <w:lvlJc w:val="left"/>
      <w:pPr>
        <w:tabs>
          <w:tab w:val="left" w:pos="0"/>
        </w:tabs>
        <w:ind w:left="0" w:firstLine="0"/>
      </w:pPr>
      <w:rPr>
        <w:rFonts w:hint="eastAsia"/>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2">
    <w:nsid w:val="3EBB3C91"/>
    <w:multiLevelType w:val="multilevel"/>
    <w:tmpl w:val="3EBB3C91"/>
    <w:lvl w:ilvl="0" w:tentative="0">
      <w:start w:val="1"/>
      <w:numFmt w:val="chineseCountingThousand"/>
      <w:suff w:val="space"/>
      <w:lvlText w:val="%1. "/>
      <w:lvlJc w:val="left"/>
      <w:pPr>
        <w:ind w:left="1333" w:hanging="907"/>
      </w:pPr>
      <w:rPr>
        <w:rFonts w:hint="eastAsia" w:cs="Times New Roman"/>
      </w:rPr>
    </w:lvl>
    <w:lvl w:ilvl="1" w:tentative="0">
      <w:start w:val="1"/>
      <w:numFmt w:val="decimal"/>
      <w:isLgl/>
      <w:suff w:val="space"/>
      <w:lvlText w:val="%1.%2 "/>
      <w:lvlJc w:val="left"/>
      <w:pPr>
        <w:ind w:left="1220" w:hanging="794"/>
      </w:pPr>
      <w:rPr>
        <w:rFonts w:cs="Times New Roman"/>
      </w:rPr>
    </w:lvl>
    <w:lvl w:ilvl="2" w:tentative="0">
      <w:start w:val="0"/>
      <w:numFmt w:val="none"/>
      <w:lvlText w:val=""/>
      <w:lvlJc w:val="left"/>
      <w:pPr>
        <w:tabs>
          <w:tab w:val="left" w:pos="786"/>
        </w:tabs>
      </w:pPr>
      <w:rPr>
        <w:rFonts w:cs="Times New Roman"/>
      </w:rPr>
    </w:lvl>
    <w:lvl w:ilvl="3" w:tentative="0">
      <w:start w:val="0"/>
      <w:numFmt w:val="none"/>
      <w:lvlText w:val=""/>
      <w:lvlJc w:val="left"/>
      <w:pPr>
        <w:tabs>
          <w:tab w:val="left" w:pos="786"/>
        </w:tabs>
      </w:pPr>
      <w:rPr>
        <w:rFonts w:cs="Times New Roman"/>
      </w:rPr>
    </w:lvl>
    <w:lvl w:ilvl="4" w:tentative="0">
      <w:start w:val="0"/>
      <w:numFmt w:val="decimal"/>
      <w:pStyle w:val="19"/>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3">
    <w:nsid w:val="3FB714FA"/>
    <w:multiLevelType w:val="multilevel"/>
    <w:tmpl w:val="3FB714F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
  </w:num>
  <w:num w:numId="2">
    <w:abstractNumId w:val="0"/>
  </w:num>
  <w:num w:numId="3">
    <w:abstractNumId w:val="2"/>
  </w:num>
  <w:num w:numId="4">
    <w:abstractNumId w:val="1"/>
    <w:lvlOverride w:ilvl="2">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4YTdkNDQxZWUzMTc4MjlkMmE2NWExMTU0MzA3ODEifQ=="/>
  </w:docVars>
  <w:rsids>
    <w:rsidRoot w:val="00000000"/>
    <w:rsid w:val="000077C9"/>
    <w:rsid w:val="00012401"/>
    <w:rsid w:val="004C444C"/>
    <w:rsid w:val="004F7D3B"/>
    <w:rsid w:val="00685EE4"/>
    <w:rsid w:val="006E7FD2"/>
    <w:rsid w:val="00812B74"/>
    <w:rsid w:val="009E2997"/>
    <w:rsid w:val="00D13133"/>
    <w:rsid w:val="00E47781"/>
    <w:rsid w:val="00E5318E"/>
    <w:rsid w:val="00F77175"/>
    <w:rsid w:val="01063740"/>
    <w:rsid w:val="01132FCF"/>
    <w:rsid w:val="012E0442"/>
    <w:rsid w:val="013C5D1B"/>
    <w:rsid w:val="01404278"/>
    <w:rsid w:val="019D5773"/>
    <w:rsid w:val="01A9731B"/>
    <w:rsid w:val="01C2738C"/>
    <w:rsid w:val="01C8344B"/>
    <w:rsid w:val="01CC70CF"/>
    <w:rsid w:val="01EE3409"/>
    <w:rsid w:val="02362014"/>
    <w:rsid w:val="02392A0B"/>
    <w:rsid w:val="024F244B"/>
    <w:rsid w:val="026931FC"/>
    <w:rsid w:val="027222D6"/>
    <w:rsid w:val="02742279"/>
    <w:rsid w:val="028D4B01"/>
    <w:rsid w:val="02B57AE7"/>
    <w:rsid w:val="02BD270E"/>
    <w:rsid w:val="02C80C31"/>
    <w:rsid w:val="02CE0BFC"/>
    <w:rsid w:val="02D71E54"/>
    <w:rsid w:val="02ED631A"/>
    <w:rsid w:val="032C4627"/>
    <w:rsid w:val="03466A7B"/>
    <w:rsid w:val="03542D4F"/>
    <w:rsid w:val="035A6AEC"/>
    <w:rsid w:val="03631955"/>
    <w:rsid w:val="03754B67"/>
    <w:rsid w:val="03860606"/>
    <w:rsid w:val="0395115F"/>
    <w:rsid w:val="03A72764"/>
    <w:rsid w:val="03E94BC5"/>
    <w:rsid w:val="03FE07DB"/>
    <w:rsid w:val="04607058"/>
    <w:rsid w:val="046B0980"/>
    <w:rsid w:val="0497012A"/>
    <w:rsid w:val="04ED137F"/>
    <w:rsid w:val="04FF3EDE"/>
    <w:rsid w:val="05112589"/>
    <w:rsid w:val="052F1853"/>
    <w:rsid w:val="053467ED"/>
    <w:rsid w:val="053B07F1"/>
    <w:rsid w:val="058222BC"/>
    <w:rsid w:val="05856BF9"/>
    <w:rsid w:val="0589431A"/>
    <w:rsid w:val="05A30899"/>
    <w:rsid w:val="05C617D1"/>
    <w:rsid w:val="05CC708C"/>
    <w:rsid w:val="05F10C19"/>
    <w:rsid w:val="05F70D61"/>
    <w:rsid w:val="062D05D5"/>
    <w:rsid w:val="06687F80"/>
    <w:rsid w:val="06764E44"/>
    <w:rsid w:val="06C271CC"/>
    <w:rsid w:val="06C72060"/>
    <w:rsid w:val="06D741E8"/>
    <w:rsid w:val="06F807BD"/>
    <w:rsid w:val="07043A2A"/>
    <w:rsid w:val="072A2C87"/>
    <w:rsid w:val="076D48F8"/>
    <w:rsid w:val="07723A86"/>
    <w:rsid w:val="077A2CFB"/>
    <w:rsid w:val="077C7203"/>
    <w:rsid w:val="0782581F"/>
    <w:rsid w:val="07895432"/>
    <w:rsid w:val="078A73BA"/>
    <w:rsid w:val="07A86535"/>
    <w:rsid w:val="07B00A8E"/>
    <w:rsid w:val="07BA7FCD"/>
    <w:rsid w:val="080C73FA"/>
    <w:rsid w:val="081A7E05"/>
    <w:rsid w:val="082241EA"/>
    <w:rsid w:val="084030CA"/>
    <w:rsid w:val="08584724"/>
    <w:rsid w:val="08A636CF"/>
    <w:rsid w:val="08BF323E"/>
    <w:rsid w:val="08C73739"/>
    <w:rsid w:val="08DD0539"/>
    <w:rsid w:val="08FF1656"/>
    <w:rsid w:val="09072EB3"/>
    <w:rsid w:val="09226920"/>
    <w:rsid w:val="09332FFE"/>
    <w:rsid w:val="095C4491"/>
    <w:rsid w:val="0A0F3344"/>
    <w:rsid w:val="0A603091"/>
    <w:rsid w:val="0A723A9C"/>
    <w:rsid w:val="0ACF5C8B"/>
    <w:rsid w:val="0ACF72F9"/>
    <w:rsid w:val="0AD1630C"/>
    <w:rsid w:val="0B060E99"/>
    <w:rsid w:val="0B0857B3"/>
    <w:rsid w:val="0B140882"/>
    <w:rsid w:val="0B1A27E3"/>
    <w:rsid w:val="0B8B3480"/>
    <w:rsid w:val="0B954D7F"/>
    <w:rsid w:val="0B9A047D"/>
    <w:rsid w:val="0BBD7DD4"/>
    <w:rsid w:val="0BF40A76"/>
    <w:rsid w:val="0BFE3636"/>
    <w:rsid w:val="0C2E77D8"/>
    <w:rsid w:val="0C5E25FF"/>
    <w:rsid w:val="0C6F0D1D"/>
    <w:rsid w:val="0C962399"/>
    <w:rsid w:val="0CA87221"/>
    <w:rsid w:val="0CBE087F"/>
    <w:rsid w:val="0CD322DD"/>
    <w:rsid w:val="0D101D04"/>
    <w:rsid w:val="0D221FEE"/>
    <w:rsid w:val="0D323995"/>
    <w:rsid w:val="0D5D4244"/>
    <w:rsid w:val="0D7D5A0B"/>
    <w:rsid w:val="0D9E2BAD"/>
    <w:rsid w:val="0DAA651E"/>
    <w:rsid w:val="0DB02CE0"/>
    <w:rsid w:val="0DC131C4"/>
    <w:rsid w:val="0DCC1AF1"/>
    <w:rsid w:val="0DE17937"/>
    <w:rsid w:val="0E0005FE"/>
    <w:rsid w:val="0E057F53"/>
    <w:rsid w:val="0E065767"/>
    <w:rsid w:val="0E0854A7"/>
    <w:rsid w:val="0E0D1449"/>
    <w:rsid w:val="0E115789"/>
    <w:rsid w:val="0E157DBE"/>
    <w:rsid w:val="0E1C7B20"/>
    <w:rsid w:val="0E2052D4"/>
    <w:rsid w:val="0E223292"/>
    <w:rsid w:val="0E4A02D0"/>
    <w:rsid w:val="0E5D5864"/>
    <w:rsid w:val="0E786939"/>
    <w:rsid w:val="0E8804B8"/>
    <w:rsid w:val="0E8D775A"/>
    <w:rsid w:val="0E9A7859"/>
    <w:rsid w:val="0EB823B3"/>
    <w:rsid w:val="0F022023"/>
    <w:rsid w:val="0F181FCA"/>
    <w:rsid w:val="0F1F720B"/>
    <w:rsid w:val="0F41705F"/>
    <w:rsid w:val="0F4D734A"/>
    <w:rsid w:val="0F806C47"/>
    <w:rsid w:val="0F9043A4"/>
    <w:rsid w:val="0FDD7D48"/>
    <w:rsid w:val="0FF61ADD"/>
    <w:rsid w:val="1003310F"/>
    <w:rsid w:val="1017553C"/>
    <w:rsid w:val="10672ADC"/>
    <w:rsid w:val="1082292F"/>
    <w:rsid w:val="10C97F38"/>
    <w:rsid w:val="10D86871"/>
    <w:rsid w:val="11052ECC"/>
    <w:rsid w:val="110C0405"/>
    <w:rsid w:val="11295E64"/>
    <w:rsid w:val="11413D64"/>
    <w:rsid w:val="115534D3"/>
    <w:rsid w:val="11783AE8"/>
    <w:rsid w:val="118C0A8E"/>
    <w:rsid w:val="11A055F7"/>
    <w:rsid w:val="11A07808"/>
    <w:rsid w:val="11A766A9"/>
    <w:rsid w:val="11B909FB"/>
    <w:rsid w:val="11BA7ABA"/>
    <w:rsid w:val="11C61F04"/>
    <w:rsid w:val="11CC42E9"/>
    <w:rsid w:val="11E01581"/>
    <w:rsid w:val="11E119EE"/>
    <w:rsid w:val="11FB7DC3"/>
    <w:rsid w:val="122812EA"/>
    <w:rsid w:val="122A2B85"/>
    <w:rsid w:val="12453AF4"/>
    <w:rsid w:val="1245537D"/>
    <w:rsid w:val="125977E5"/>
    <w:rsid w:val="125A52EC"/>
    <w:rsid w:val="126B2127"/>
    <w:rsid w:val="126F6D06"/>
    <w:rsid w:val="127C2DDB"/>
    <w:rsid w:val="12EC5BF3"/>
    <w:rsid w:val="12FC5489"/>
    <w:rsid w:val="12FC555E"/>
    <w:rsid w:val="13054690"/>
    <w:rsid w:val="13101050"/>
    <w:rsid w:val="131710B4"/>
    <w:rsid w:val="1355238F"/>
    <w:rsid w:val="13552FA7"/>
    <w:rsid w:val="1368427D"/>
    <w:rsid w:val="139C50B7"/>
    <w:rsid w:val="13A97EC9"/>
    <w:rsid w:val="13BC180F"/>
    <w:rsid w:val="13BC43EB"/>
    <w:rsid w:val="13C860F8"/>
    <w:rsid w:val="140B2B57"/>
    <w:rsid w:val="14125373"/>
    <w:rsid w:val="142A6F63"/>
    <w:rsid w:val="1435459D"/>
    <w:rsid w:val="146C5727"/>
    <w:rsid w:val="148C1FF4"/>
    <w:rsid w:val="14AB4E68"/>
    <w:rsid w:val="14FD6B8D"/>
    <w:rsid w:val="14FE2B11"/>
    <w:rsid w:val="15534D5F"/>
    <w:rsid w:val="15A76F84"/>
    <w:rsid w:val="15BB3610"/>
    <w:rsid w:val="15D1476E"/>
    <w:rsid w:val="15D61181"/>
    <w:rsid w:val="162675F3"/>
    <w:rsid w:val="163D566C"/>
    <w:rsid w:val="164D0F49"/>
    <w:rsid w:val="166B5684"/>
    <w:rsid w:val="166F2FDA"/>
    <w:rsid w:val="166F5E58"/>
    <w:rsid w:val="1676559E"/>
    <w:rsid w:val="16784306"/>
    <w:rsid w:val="1679064E"/>
    <w:rsid w:val="16885A95"/>
    <w:rsid w:val="169F1424"/>
    <w:rsid w:val="169F5C3A"/>
    <w:rsid w:val="16A107BB"/>
    <w:rsid w:val="16A3716A"/>
    <w:rsid w:val="16B930D8"/>
    <w:rsid w:val="16BB2141"/>
    <w:rsid w:val="16BB6B5F"/>
    <w:rsid w:val="16C9028E"/>
    <w:rsid w:val="16D63217"/>
    <w:rsid w:val="16D72705"/>
    <w:rsid w:val="16F459A0"/>
    <w:rsid w:val="170C384D"/>
    <w:rsid w:val="171A1279"/>
    <w:rsid w:val="177B1266"/>
    <w:rsid w:val="177C6764"/>
    <w:rsid w:val="17AC39FD"/>
    <w:rsid w:val="17B20036"/>
    <w:rsid w:val="17C4474E"/>
    <w:rsid w:val="17E05145"/>
    <w:rsid w:val="17EF7EC4"/>
    <w:rsid w:val="18077DFF"/>
    <w:rsid w:val="18412952"/>
    <w:rsid w:val="185F23DF"/>
    <w:rsid w:val="18792BA9"/>
    <w:rsid w:val="187D705D"/>
    <w:rsid w:val="18892899"/>
    <w:rsid w:val="18B304E1"/>
    <w:rsid w:val="18CA2CAD"/>
    <w:rsid w:val="18CF4187"/>
    <w:rsid w:val="19213120"/>
    <w:rsid w:val="194339A4"/>
    <w:rsid w:val="197A1CAC"/>
    <w:rsid w:val="197F574C"/>
    <w:rsid w:val="198A41BF"/>
    <w:rsid w:val="198D5B01"/>
    <w:rsid w:val="19B94701"/>
    <w:rsid w:val="19DB6356"/>
    <w:rsid w:val="1A1C7238"/>
    <w:rsid w:val="1A2B404D"/>
    <w:rsid w:val="1A3443CD"/>
    <w:rsid w:val="1A347D99"/>
    <w:rsid w:val="1A355C94"/>
    <w:rsid w:val="1A465177"/>
    <w:rsid w:val="1A554353"/>
    <w:rsid w:val="1A70696D"/>
    <w:rsid w:val="1A725927"/>
    <w:rsid w:val="1A8A26B7"/>
    <w:rsid w:val="1A8D2904"/>
    <w:rsid w:val="1A9117A5"/>
    <w:rsid w:val="1AB6577A"/>
    <w:rsid w:val="1ACB7C37"/>
    <w:rsid w:val="1ACC558E"/>
    <w:rsid w:val="1AD3275E"/>
    <w:rsid w:val="1AF05A7C"/>
    <w:rsid w:val="1B1E661F"/>
    <w:rsid w:val="1B2C3FA9"/>
    <w:rsid w:val="1B477CCC"/>
    <w:rsid w:val="1B4A45D9"/>
    <w:rsid w:val="1B581B18"/>
    <w:rsid w:val="1B82246E"/>
    <w:rsid w:val="1BA77FEC"/>
    <w:rsid w:val="1BC15B98"/>
    <w:rsid w:val="1BC377BC"/>
    <w:rsid w:val="1BCB2A1F"/>
    <w:rsid w:val="1BEA76E3"/>
    <w:rsid w:val="1C0A537A"/>
    <w:rsid w:val="1C33259B"/>
    <w:rsid w:val="1C463AE6"/>
    <w:rsid w:val="1C770841"/>
    <w:rsid w:val="1CA34C5C"/>
    <w:rsid w:val="1CBA1992"/>
    <w:rsid w:val="1CD83750"/>
    <w:rsid w:val="1D094BC6"/>
    <w:rsid w:val="1D2C05EB"/>
    <w:rsid w:val="1D455E38"/>
    <w:rsid w:val="1D477F99"/>
    <w:rsid w:val="1D623B98"/>
    <w:rsid w:val="1D791233"/>
    <w:rsid w:val="1D817AB7"/>
    <w:rsid w:val="1D99518A"/>
    <w:rsid w:val="1DA96F2E"/>
    <w:rsid w:val="1DBA6DF8"/>
    <w:rsid w:val="1DC068A3"/>
    <w:rsid w:val="1DC92179"/>
    <w:rsid w:val="1DDA30D7"/>
    <w:rsid w:val="1DDB33B2"/>
    <w:rsid w:val="1DE1260F"/>
    <w:rsid w:val="1DF53BAC"/>
    <w:rsid w:val="1E0A72BA"/>
    <w:rsid w:val="1E0B396B"/>
    <w:rsid w:val="1E1C2983"/>
    <w:rsid w:val="1E1C5DE1"/>
    <w:rsid w:val="1E2A641A"/>
    <w:rsid w:val="1E806D3A"/>
    <w:rsid w:val="1E842FE0"/>
    <w:rsid w:val="1E9830A4"/>
    <w:rsid w:val="1E9A314C"/>
    <w:rsid w:val="1EB63F06"/>
    <w:rsid w:val="1EC043C1"/>
    <w:rsid w:val="1ED957AF"/>
    <w:rsid w:val="1EE340C3"/>
    <w:rsid w:val="1F12259E"/>
    <w:rsid w:val="1F210A84"/>
    <w:rsid w:val="1F2C5108"/>
    <w:rsid w:val="1F5D0E5A"/>
    <w:rsid w:val="1F5D2FD2"/>
    <w:rsid w:val="1F691B2A"/>
    <w:rsid w:val="1F7327EF"/>
    <w:rsid w:val="1F7478F8"/>
    <w:rsid w:val="1F795D0D"/>
    <w:rsid w:val="1F9C2178"/>
    <w:rsid w:val="1FA4028E"/>
    <w:rsid w:val="1FBE3630"/>
    <w:rsid w:val="1FE553C3"/>
    <w:rsid w:val="1FF210CF"/>
    <w:rsid w:val="20374805"/>
    <w:rsid w:val="20440C99"/>
    <w:rsid w:val="209D35D5"/>
    <w:rsid w:val="20A42385"/>
    <w:rsid w:val="20C41F04"/>
    <w:rsid w:val="20DD6BAF"/>
    <w:rsid w:val="214929CD"/>
    <w:rsid w:val="21963570"/>
    <w:rsid w:val="219827F8"/>
    <w:rsid w:val="21A939F0"/>
    <w:rsid w:val="21AE4876"/>
    <w:rsid w:val="21B20D81"/>
    <w:rsid w:val="21D06677"/>
    <w:rsid w:val="21D822CB"/>
    <w:rsid w:val="21FB107E"/>
    <w:rsid w:val="22192F2D"/>
    <w:rsid w:val="222251A9"/>
    <w:rsid w:val="222750BE"/>
    <w:rsid w:val="22390B05"/>
    <w:rsid w:val="22435039"/>
    <w:rsid w:val="224A6544"/>
    <w:rsid w:val="226127D4"/>
    <w:rsid w:val="22865F39"/>
    <w:rsid w:val="228D03C6"/>
    <w:rsid w:val="22B04049"/>
    <w:rsid w:val="23097E97"/>
    <w:rsid w:val="23311B3F"/>
    <w:rsid w:val="2346687E"/>
    <w:rsid w:val="237343CB"/>
    <w:rsid w:val="23887CE7"/>
    <w:rsid w:val="23B51239"/>
    <w:rsid w:val="23B92220"/>
    <w:rsid w:val="23E1409A"/>
    <w:rsid w:val="23EE555D"/>
    <w:rsid w:val="23F65DB9"/>
    <w:rsid w:val="241D6F0D"/>
    <w:rsid w:val="241D74A0"/>
    <w:rsid w:val="243806BD"/>
    <w:rsid w:val="24535B9B"/>
    <w:rsid w:val="2467611E"/>
    <w:rsid w:val="246F0A14"/>
    <w:rsid w:val="24751C72"/>
    <w:rsid w:val="247B4A73"/>
    <w:rsid w:val="249C0917"/>
    <w:rsid w:val="24A7790A"/>
    <w:rsid w:val="24CE086B"/>
    <w:rsid w:val="24D42578"/>
    <w:rsid w:val="24DB567C"/>
    <w:rsid w:val="24F063EB"/>
    <w:rsid w:val="2500638B"/>
    <w:rsid w:val="253D5005"/>
    <w:rsid w:val="254B518F"/>
    <w:rsid w:val="258037BE"/>
    <w:rsid w:val="259A5E62"/>
    <w:rsid w:val="25B4248F"/>
    <w:rsid w:val="25C82B2B"/>
    <w:rsid w:val="25CC0504"/>
    <w:rsid w:val="25D93346"/>
    <w:rsid w:val="261406FE"/>
    <w:rsid w:val="266A0C38"/>
    <w:rsid w:val="266E7E6E"/>
    <w:rsid w:val="268E52C9"/>
    <w:rsid w:val="26966F9E"/>
    <w:rsid w:val="269A1222"/>
    <w:rsid w:val="26AA506E"/>
    <w:rsid w:val="26B72263"/>
    <w:rsid w:val="26C50B48"/>
    <w:rsid w:val="26D965D0"/>
    <w:rsid w:val="26DE07F0"/>
    <w:rsid w:val="26F438EA"/>
    <w:rsid w:val="26FD2FC7"/>
    <w:rsid w:val="2701245B"/>
    <w:rsid w:val="270B45A7"/>
    <w:rsid w:val="275373F4"/>
    <w:rsid w:val="27C21B11"/>
    <w:rsid w:val="27E70D4C"/>
    <w:rsid w:val="280436D3"/>
    <w:rsid w:val="2819573F"/>
    <w:rsid w:val="2827254B"/>
    <w:rsid w:val="2828694A"/>
    <w:rsid w:val="2857585F"/>
    <w:rsid w:val="286407A3"/>
    <w:rsid w:val="286630D3"/>
    <w:rsid w:val="287957FC"/>
    <w:rsid w:val="289335F4"/>
    <w:rsid w:val="28B60E41"/>
    <w:rsid w:val="28EA0628"/>
    <w:rsid w:val="28FC7D73"/>
    <w:rsid w:val="292673C5"/>
    <w:rsid w:val="293510A5"/>
    <w:rsid w:val="295303C5"/>
    <w:rsid w:val="296C40B5"/>
    <w:rsid w:val="29752574"/>
    <w:rsid w:val="297F1CC1"/>
    <w:rsid w:val="29AA7592"/>
    <w:rsid w:val="29AB03D4"/>
    <w:rsid w:val="29D3771F"/>
    <w:rsid w:val="29DC12C0"/>
    <w:rsid w:val="2A017E1F"/>
    <w:rsid w:val="2A093958"/>
    <w:rsid w:val="2A106EF9"/>
    <w:rsid w:val="2A2F0831"/>
    <w:rsid w:val="2A2F7EB3"/>
    <w:rsid w:val="2A434079"/>
    <w:rsid w:val="2AB3314F"/>
    <w:rsid w:val="2AC266B8"/>
    <w:rsid w:val="2AD446BA"/>
    <w:rsid w:val="2ADC1BCC"/>
    <w:rsid w:val="2B263006"/>
    <w:rsid w:val="2B3B151D"/>
    <w:rsid w:val="2B3B1A2B"/>
    <w:rsid w:val="2B3E7961"/>
    <w:rsid w:val="2B5818E2"/>
    <w:rsid w:val="2B9D64C1"/>
    <w:rsid w:val="2BCB4669"/>
    <w:rsid w:val="2BD577D3"/>
    <w:rsid w:val="2BD928D8"/>
    <w:rsid w:val="2BDD669C"/>
    <w:rsid w:val="2C4D4890"/>
    <w:rsid w:val="2C4E0F72"/>
    <w:rsid w:val="2C5F796F"/>
    <w:rsid w:val="2C64712F"/>
    <w:rsid w:val="2C6C3806"/>
    <w:rsid w:val="2C750F72"/>
    <w:rsid w:val="2C8E1067"/>
    <w:rsid w:val="2CB348E5"/>
    <w:rsid w:val="2CB60C0B"/>
    <w:rsid w:val="2CC22C9B"/>
    <w:rsid w:val="2D6A1882"/>
    <w:rsid w:val="2D7B5F44"/>
    <w:rsid w:val="2DA97D7E"/>
    <w:rsid w:val="2DAC12B5"/>
    <w:rsid w:val="2DBC229F"/>
    <w:rsid w:val="2DC1655B"/>
    <w:rsid w:val="2DC83155"/>
    <w:rsid w:val="2E012ED3"/>
    <w:rsid w:val="2E135B7C"/>
    <w:rsid w:val="2E2E00F9"/>
    <w:rsid w:val="2E314F20"/>
    <w:rsid w:val="2E5D246C"/>
    <w:rsid w:val="2E787056"/>
    <w:rsid w:val="2E8657E5"/>
    <w:rsid w:val="2F186834"/>
    <w:rsid w:val="2F414A61"/>
    <w:rsid w:val="2F480EFE"/>
    <w:rsid w:val="2F5920B3"/>
    <w:rsid w:val="2F952CB9"/>
    <w:rsid w:val="2FB61192"/>
    <w:rsid w:val="2FD41D52"/>
    <w:rsid w:val="2FDB0E78"/>
    <w:rsid w:val="2FE41DF1"/>
    <w:rsid w:val="2FF033C2"/>
    <w:rsid w:val="30022990"/>
    <w:rsid w:val="301E4E31"/>
    <w:rsid w:val="30220CE9"/>
    <w:rsid w:val="30462ECE"/>
    <w:rsid w:val="304D7BA2"/>
    <w:rsid w:val="30721C46"/>
    <w:rsid w:val="30972B71"/>
    <w:rsid w:val="30A56697"/>
    <w:rsid w:val="30D90C45"/>
    <w:rsid w:val="30DD1D57"/>
    <w:rsid w:val="30DF4A76"/>
    <w:rsid w:val="30FB76DA"/>
    <w:rsid w:val="312E09A9"/>
    <w:rsid w:val="313D6014"/>
    <w:rsid w:val="315D140F"/>
    <w:rsid w:val="31610465"/>
    <w:rsid w:val="31822B42"/>
    <w:rsid w:val="318B0363"/>
    <w:rsid w:val="31B03860"/>
    <w:rsid w:val="31BA503E"/>
    <w:rsid w:val="31E86C8F"/>
    <w:rsid w:val="320209E0"/>
    <w:rsid w:val="32174F5C"/>
    <w:rsid w:val="32205752"/>
    <w:rsid w:val="322D4F5F"/>
    <w:rsid w:val="322E4598"/>
    <w:rsid w:val="32950870"/>
    <w:rsid w:val="32A5438E"/>
    <w:rsid w:val="32C53E2A"/>
    <w:rsid w:val="32FD7C49"/>
    <w:rsid w:val="33071460"/>
    <w:rsid w:val="33151233"/>
    <w:rsid w:val="33217BC5"/>
    <w:rsid w:val="333C43C8"/>
    <w:rsid w:val="334669C7"/>
    <w:rsid w:val="334E65F6"/>
    <w:rsid w:val="336F7E46"/>
    <w:rsid w:val="33A2315F"/>
    <w:rsid w:val="33E738AE"/>
    <w:rsid w:val="340A24E7"/>
    <w:rsid w:val="344365D5"/>
    <w:rsid w:val="344B48FC"/>
    <w:rsid w:val="347D4B8D"/>
    <w:rsid w:val="3485209C"/>
    <w:rsid w:val="34A57542"/>
    <w:rsid w:val="34A67823"/>
    <w:rsid w:val="34AF4B0E"/>
    <w:rsid w:val="34BE267A"/>
    <w:rsid w:val="34BE51EA"/>
    <w:rsid w:val="34CE7FDF"/>
    <w:rsid w:val="350C50EE"/>
    <w:rsid w:val="350E372E"/>
    <w:rsid w:val="351F3BAE"/>
    <w:rsid w:val="35241DEA"/>
    <w:rsid w:val="35485985"/>
    <w:rsid w:val="354947DD"/>
    <w:rsid w:val="354F07D0"/>
    <w:rsid w:val="355C2269"/>
    <w:rsid w:val="35765D53"/>
    <w:rsid w:val="35971B81"/>
    <w:rsid w:val="35C01625"/>
    <w:rsid w:val="35CF6B83"/>
    <w:rsid w:val="35DB1B37"/>
    <w:rsid w:val="3605531A"/>
    <w:rsid w:val="36301687"/>
    <w:rsid w:val="363A406E"/>
    <w:rsid w:val="36515BAB"/>
    <w:rsid w:val="36691B0B"/>
    <w:rsid w:val="368F3525"/>
    <w:rsid w:val="36AF11CD"/>
    <w:rsid w:val="36CD54F7"/>
    <w:rsid w:val="36E14AD2"/>
    <w:rsid w:val="37271CFB"/>
    <w:rsid w:val="37304C32"/>
    <w:rsid w:val="376624C8"/>
    <w:rsid w:val="37692F9D"/>
    <w:rsid w:val="377E264D"/>
    <w:rsid w:val="37A17099"/>
    <w:rsid w:val="37B562A4"/>
    <w:rsid w:val="37BB0519"/>
    <w:rsid w:val="37E2373F"/>
    <w:rsid w:val="37E636CE"/>
    <w:rsid w:val="381364B3"/>
    <w:rsid w:val="38144D2C"/>
    <w:rsid w:val="38194933"/>
    <w:rsid w:val="38332A42"/>
    <w:rsid w:val="38532B30"/>
    <w:rsid w:val="385C3D62"/>
    <w:rsid w:val="3864226E"/>
    <w:rsid w:val="38652CB4"/>
    <w:rsid w:val="386576F0"/>
    <w:rsid w:val="38666DD4"/>
    <w:rsid w:val="389062A0"/>
    <w:rsid w:val="389F6F49"/>
    <w:rsid w:val="38C51E04"/>
    <w:rsid w:val="38C77685"/>
    <w:rsid w:val="38C8102A"/>
    <w:rsid w:val="38E04DA8"/>
    <w:rsid w:val="39377DB5"/>
    <w:rsid w:val="393D0308"/>
    <w:rsid w:val="395E6BB3"/>
    <w:rsid w:val="3965651B"/>
    <w:rsid w:val="397533F1"/>
    <w:rsid w:val="39B62F8C"/>
    <w:rsid w:val="39E72783"/>
    <w:rsid w:val="39FD09DF"/>
    <w:rsid w:val="3A0B1CDC"/>
    <w:rsid w:val="3A3B571A"/>
    <w:rsid w:val="3A7C41FE"/>
    <w:rsid w:val="3A8557E4"/>
    <w:rsid w:val="3A8D153F"/>
    <w:rsid w:val="3A9E143A"/>
    <w:rsid w:val="3A9F3B7E"/>
    <w:rsid w:val="3AA67AA5"/>
    <w:rsid w:val="3AD71D15"/>
    <w:rsid w:val="3AD73BAB"/>
    <w:rsid w:val="3ADD7EE9"/>
    <w:rsid w:val="3B2379CF"/>
    <w:rsid w:val="3B3653C9"/>
    <w:rsid w:val="3B523041"/>
    <w:rsid w:val="3B6613C6"/>
    <w:rsid w:val="3B6E78F6"/>
    <w:rsid w:val="3BC63B74"/>
    <w:rsid w:val="3BD62E2F"/>
    <w:rsid w:val="3BDF757E"/>
    <w:rsid w:val="3BE8153D"/>
    <w:rsid w:val="3BEB6ABD"/>
    <w:rsid w:val="3BF449BC"/>
    <w:rsid w:val="3BFA3AFA"/>
    <w:rsid w:val="3C02677C"/>
    <w:rsid w:val="3C145E55"/>
    <w:rsid w:val="3C1A350C"/>
    <w:rsid w:val="3C260B60"/>
    <w:rsid w:val="3C2F4B8B"/>
    <w:rsid w:val="3C5D7B0D"/>
    <w:rsid w:val="3C755602"/>
    <w:rsid w:val="3C907AF9"/>
    <w:rsid w:val="3CDF18FE"/>
    <w:rsid w:val="3D0C000A"/>
    <w:rsid w:val="3D53582F"/>
    <w:rsid w:val="3D902A3C"/>
    <w:rsid w:val="3D9844A4"/>
    <w:rsid w:val="3DBB020C"/>
    <w:rsid w:val="3DBC6A4A"/>
    <w:rsid w:val="3DF21515"/>
    <w:rsid w:val="3E155218"/>
    <w:rsid w:val="3E3D5782"/>
    <w:rsid w:val="3E4442AA"/>
    <w:rsid w:val="3E4C5732"/>
    <w:rsid w:val="3E510ACE"/>
    <w:rsid w:val="3EC64927"/>
    <w:rsid w:val="3F302D1A"/>
    <w:rsid w:val="3F505C90"/>
    <w:rsid w:val="3F6B01AB"/>
    <w:rsid w:val="3F7A11A0"/>
    <w:rsid w:val="3FE465BD"/>
    <w:rsid w:val="4050559E"/>
    <w:rsid w:val="4061350C"/>
    <w:rsid w:val="406231FA"/>
    <w:rsid w:val="4075129C"/>
    <w:rsid w:val="40754A96"/>
    <w:rsid w:val="408E1CBC"/>
    <w:rsid w:val="40C75BE8"/>
    <w:rsid w:val="40EC1D2F"/>
    <w:rsid w:val="411315A6"/>
    <w:rsid w:val="41200944"/>
    <w:rsid w:val="41477CC9"/>
    <w:rsid w:val="416F7255"/>
    <w:rsid w:val="418F6F66"/>
    <w:rsid w:val="41B91F50"/>
    <w:rsid w:val="41C46F48"/>
    <w:rsid w:val="41CA4F13"/>
    <w:rsid w:val="41D6225D"/>
    <w:rsid w:val="420721FB"/>
    <w:rsid w:val="4210219B"/>
    <w:rsid w:val="421702A5"/>
    <w:rsid w:val="422F0515"/>
    <w:rsid w:val="42386038"/>
    <w:rsid w:val="42513031"/>
    <w:rsid w:val="427D2C79"/>
    <w:rsid w:val="429775AA"/>
    <w:rsid w:val="42A231BF"/>
    <w:rsid w:val="42A43065"/>
    <w:rsid w:val="42B52854"/>
    <w:rsid w:val="42D8524C"/>
    <w:rsid w:val="43405B52"/>
    <w:rsid w:val="434113CA"/>
    <w:rsid w:val="434E3914"/>
    <w:rsid w:val="437A3A26"/>
    <w:rsid w:val="43AC66D7"/>
    <w:rsid w:val="44092A96"/>
    <w:rsid w:val="44207380"/>
    <w:rsid w:val="443E20E9"/>
    <w:rsid w:val="444D0C31"/>
    <w:rsid w:val="445D1C2E"/>
    <w:rsid w:val="448C1DED"/>
    <w:rsid w:val="44C57EFB"/>
    <w:rsid w:val="44CE7D5F"/>
    <w:rsid w:val="450D5ECA"/>
    <w:rsid w:val="4510244E"/>
    <w:rsid w:val="451A6066"/>
    <w:rsid w:val="45201BC0"/>
    <w:rsid w:val="45305960"/>
    <w:rsid w:val="453C06F7"/>
    <w:rsid w:val="45701974"/>
    <w:rsid w:val="4592336D"/>
    <w:rsid w:val="4594520C"/>
    <w:rsid w:val="45A9449A"/>
    <w:rsid w:val="45D20C55"/>
    <w:rsid w:val="45D422BD"/>
    <w:rsid w:val="45DB28F2"/>
    <w:rsid w:val="45F64792"/>
    <w:rsid w:val="45FB51AC"/>
    <w:rsid w:val="45FC64E9"/>
    <w:rsid w:val="46391DFA"/>
    <w:rsid w:val="465B112E"/>
    <w:rsid w:val="46756014"/>
    <w:rsid w:val="467C2D4C"/>
    <w:rsid w:val="469012CD"/>
    <w:rsid w:val="46BE1063"/>
    <w:rsid w:val="46E9216A"/>
    <w:rsid w:val="47121F9A"/>
    <w:rsid w:val="471B0DFE"/>
    <w:rsid w:val="471F0C66"/>
    <w:rsid w:val="472624CD"/>
    <w:rsid w:val="47622A59"/>
    <w:rsid w:val="47767A51"/>
    <w:rsid w:val="47930F6A"/>
    <w:rsid w:val="47970395"/>
    <w:rsid w:val="47A45269"/>
    <w:rsid w:val="47F307B2"/>
    <w:rsid w:val="47F7179B"/>
    <w:rsid w:val="480B764C"/>
    <w:rsid w:val="482344E5"/>
    <w:rsid w:val="483D4E39"/>
    <w:rsid w:val="483F667F"/>
    <w:rsid w:val="484819F7"/>
    <w:rsid w:val="48485599"/>
    <w:rsid w:val="48AC00F1"/>
    <w:rsid w:val="48B642F4"/>
    <w:rsid w:val="48E16D62"/>
    <w:rsid w:val="48EF2C80"/>
    <w:rsid w:val="490214A7"/>
    <w:rsid w:val="49180F59"/>
    <w:rsid w:val="492308EB"/>
    <w:rsid w:val="49390FA0"/>
    <w:rsid w:val="496B0E01"/>
    <w:rsid w:val="49B44369"/>
    <w:rsid w:val="49B874BB"/>
    <w:rsid w:val="49CE131F"/>
    <w:rsid w:val="49CE2685"/>
    <w:rsid w:val="49FE26FB"/>
    <w:rsid w:val="4A1C27C0"/>
    <w:rsid w:val="4A3E7836"/>
    <w:rsid w:val="4A514549"/>
    <w:rsid w:val="4A8622E7"/>
    <w:rsid w:val="4AD32489"/>
    <w:rsid w:val="4AEC0DB8"/>
    <w:rsid w:val="4AF34105"/>
    <w:rsid w:val="4B2377B2"/>
    <w:rsid w:val="4B284CDA"/>
    <w:rsid w:val="4B462380"/>
    <w:rsid w:val="4B465D25"/>
    <w:rsid w:val="4B47167F"/>
    <w:rsid w:val="4B574C92"/>
    <w:rsid w:val="4B794A50"/>
    <w:rsid w:val="4B7E5911"/>
    <w:rsid w:val="4BAE70A7"/>
    <w:rsid w:val="4BB56393"/>
    <w:rsid w:val="4BC443FF"/>
    <w:rsid w:val="4BC81BFA"/>
    <w:rsid w:val="4BD03114"/>
    <w:rsid w:val="4BF51BF1"/>
    <w:rsid w:val="4C0F17AE"/>
    <w:rsid w:val="4C103CF7"/>
    <w:rsid w:val="4C410121"/>
    <w:rsid w:val="4C625491"/>
    <w:rsid w:val="4C651FAA"/>
    <w:rsid w:val="4C922364"/>
    <w:rsid w:val="4C9F1649"/>
    <w:rsid w:val="4CA36E5B"/>
    <w:rsid w:val="4CAE3824"/>
    <w:rsid w:val="4CC21720"/>
    <w:rsid w:val="4CEB4AFB"/>
    <w:rsid w:val="4CF47A5C"/>
    <w:rsid w:val="4D0D294D"/>
    <w:rsid w:val="4D1442E4"/>
    <w:rsid w:val="4D4A0585"/>
    <w:rsid w:val="4D4C645E"/>
    <w:rsid w:val="4D5C14C4"/>
    <w:rsid w:val="4D626158"/>
    <w:rsid w:val="4DAE2D4E"/>
    <w:rsid w:val="4DAE62D4"/>
    <w:rsid w:val="4E4958E7"/>
    <w:rsid w:val="4E626A55"/>
    <w:rsid w:val="4E742C6B"/>
    <w:rsid w:val="4E820596"/>
    <w:rsid w:val="4E844D90"/>
    <w:rsid w:val="4EC122DD"/>
    <w:rsid w:val="4EC15FE7"/>
    <w:rsid w:val="4F553D03"/>
    <w:rsid w:val="4F6E2103"/>
    <w:rsid w:val="4F723CE8"/>
    <w:rsid w:val="4F9818A8"/>
    <w:rsid w:val="4FBC2C43"/>
    <w:rsid w:val="4FF86959"/>
    <w:rsid w:val="5039568B"/>
    <w:rsid w:val="5053267F"/>
    <w:rsid w:val="505C1A90"/>
    <w:rsid w:val="505E4640"/>
    <w:rsid w:val="509F64F1"/>
    <w:rsid w:val="50A40DC7"/>
    <w:rsid w:val="50A90876"/>
    <w:rsid w:val="50F74037"/>
    <w:rsid w:val="50FD006A"/>
    <w:rsid w:val="513150D6"/>
    <w:rsid w:val="51712180"/>
    <w:rsid w:val="518B4B64"/>
    <w:rsid w:val="51A41167"/>
    <w:rsid w:val="51C1106B"/>
    <w:rsid w:val="51CA70EB"/>
    <w:rsid w:val="51D312EC"/>
    <w:rsid w:val="51E534E9"/>
    <w:rsid w:val="51FF678B"/>
    <w:rsid w:val="52322841"/>
    <w:rsid w:val="52747A44"/>
    <w:rsid w:val="52751DE9"/>
    <w:rsid w:val="528837AB"/>
    <w:rsid w:val="52932517"/>
    <w:rsid w:val="52B70F34"/>
    <w:rsid w:val="530F502B"/>
    <w:rsid w:val="534B6867"/>
    <w:rsid w:val="53614040"/>
    <w:rsid w:val="536A057E"/>
    <w:rsid w:val="53765095"/>
    <w:rsid w:val="53844F57"/>
    <w:rsid w:val="53D52AD4"/>
    <w:rsid w:val="53D93DF0"/>
    <w:rsid w:val="53DA3F9A"/>
    <w:rsid w:val="5460755A"/>
    <w:rsid w:val="547D1B5D"/>
    <w:rsid w:val="54D278FC"/>
    <w:rsid w:val="54DE4755"/>
    <w:rsid w:val="54E03369"/>
    <w:rsid w:val="54E76918"/>
    <w:rsid w:val="54EB611E"/>
    <w:rsid w:val="55086BE9"/>
    <w:rsid w:val="55646105"/>
    <w:rsid w:val="557122F7"/>
    <w:rsid w:val="55846458"/>
    <w:rsid w:val="559C2FC8"/>
    <w:rsid w:val="55A91840"/>
    <w:rsid w:val="55AD4B03"/>
    <w:rsid w:val="55C626C8"/>
    <w:rsid w:val="55DE6B3B"/>
    <w:rsid w:val="55E36291"/>
    <w:rsid w:val="55E8359D"/>
    <w:rsid w:val="563F6294"/>
    <w:rsid w:val="564359CE"/>
    <w:rsid w:val="564B0BBE"/>
    <w:rsid w:val="56521116"/>
    <w:rsid w:val="56C932DB"/>
    <w:rsid w:val="56D63819"/>
    <w:rsid w:val="56D7692F"/>
    <w:rsid w:val="56F953F0"/>
    <w:rsid w:val="56FA30EA"/>
    <w:rsid w:val="56FD6229"/>
    <w:rsid w:val="572E1EF2"/>
    <w:rsid w:val="57366083"/>
    <w:rsid w:val="573878AB"/>
    <w:rsid w:val="57454E9D"/>
    <w:rsid w:val="574C60E9"/>
    <w:rsid w:val="574F262F"/>
    <w:rsid w:val="57867B2A"/>
    <w:rsid w:val="57B5022C"/>
    <w:rsid w:val="57C3758A"/>
    <w:rsid w:val="57CC7ADF"/>
    <w:rsid w:val="57DE76B5"/>
    <w:rsid w:val="581D12D5"/>
    <w:rsid w:val="581E6DE7"/>
    <w:rsid w:val="5823692C"/>
    <w:rsid w:val="58644BB4"/>
    <w:rsid w:val="588D6C1D"/>
    <w:rsid w:val="589459C0"/>
    <w:rsid w:val="589521E8"/>
    <w:rsid w:val="58985F36"/>
    <w:rsid w:val="58E402F7"/>
    <w:rsid w:val="5903488D"/>
    <w:rsid w:val="591735F0"/>
    <w:rsid w:val="591C25CA"/>
    <w:rsid w:val="59696F54"/>
    <w:rsid w:val="59A00741"/>
    <w:rsid w:val="59A250E7"/>
    <w:rsid w:val="59BA74AE"/>
    <w:rsid w:val="59C52172"/>
    <w:rsid w:val="59E96C92"/>
    <w:rsid w:val="59F24925"/>
    <w:rsid w:val="59F918B1"/>
    <w:rsid w:val="5A050A47"/>
    <w:rsid w:val="5A2642D7"/>
    <w:rsid w:val="5A312F63"/>
    <w:rsid w:val="5A443308"/>
    <w:rsid w:val="5A575CA4"/>
    <w:rsid w:val="5A6F7092"/>
    <w:rsid w:val="5A79770E"/>
    <w:rsid w:val="5A8E3655"/>
    <w:rsid w:val="5A9F5295"/>
    <w:rsid w:val="5AD20E88"/>
    <w:rsid w:val="5AED144E"/>
    <w:rsid w:val="5B0201B7"/>
    <w:rsid w:val="5B1D1A3B"/>
    <w:rsid w:val="5B2115DF"/>
    <w:rsid w:val="5B2D0DFF"/>
    <w:rsid w:val="5B382F30"/>
    <w:rsid w:val="5B4C5277"/>
    <w:rsid w:val="5B4C7434"/>
    <w:rsid w:val="5B5556CF"/>
    <w:rsid w:val="5B6F252C"/>
    <w:rsid w:val="5B6F642C"/>
    <w:rsid w:val="5B78714A"/>
    <w:rsid w:val="5B7B3976"/>
    <w:rsid w:val="5B947AF4"/>
    <w:rsid w:val="5BC55360"/>
    <w:rsid w:val="5BDA53D4"/>
    <w:rsid w:val="5BF42E4A"/>
    <w:rsid w:val="5BF65494"/>
    <w:rsid w:val="5C141DA7"/>
    <w:rsid w:val="5C5C6B98"/>
    <w:rsid w:val="5C6F0D85"/>
    <w:rsid w:val="5C8B0184"/>
    <w:rsid w:val="5C9427C1"/>
    <w:rsid w:val="5C9F74C5"/>
    <w:rsid w:val="5CA66D06"/>
    <w:rsid w:val="5CE3693B"/>
    <w:rsid w:val="5D122F42"/>
    <w:rsid w:val="5D483652"/>
    <w:rsid w:val="5D7D196A"/>
    <w:rsid w:val="5D864A22"/>
    <w:rsid w:val="5DAF1309"/>
    <w:rsid w:val="5DF6476D"/>
    <w:rsid w:val="5DF870CB"/>
    <w:rsid w:val="5E007FEB"/>
    <w:rsid w:val="5E171783"/>
    <w:rsid w:val="5E6A29CF"/>
    <w:rsid w:val="5ECC7AFE"/>
    <w:rsid w:val="5ECF755E"/>
    <w:rsid w:val="5EEA3081"/>
    <w:rsid w:val="5EED7B66"/>
    <w:rsid w:val="5EF6537F"/>
    <w:rsid w:val="5F0E2AA7"/>
    <w:rsid w:val="5F106BE7"/>
    <w:rsid w:val="5F17111A"/>
    <w:rsid w:val="5F3503B9"/>
    <w:rsid w:val="5F52156F"/>
    <w:rsid w:val="5F770851"/>
    <w:rsid w:val="5F7A6291"/>
    <w:rsid w:val="5F99505F"/>
    <w:rsid w:val="5F9B3586"/>
    <w:rsid w:val="60374F2E"/>
    <w:rsid w:val="604B4493"/>
    <w:rsid w:val="606D42EE"/>
    <w:rsid w:val="60A25573"/>
    <w:rsid w:val="60B53723"/>
    <w:rsid w:val="60D74319"/>
    <w:rsid w:val="60EB788C"/>
    <w:rsid w:val="610F2251"/>
    <w:rsid w:val="611B4643"/>
    <w:rsid w:val="61205D76"/>
    <w:rsid w:val="61322955"/>
    <w:rsid w:val="61374ADF"/>
    <w:rsid w:val="61393F6A"/>
    <w:rsid w:val="615549A6"/>
    <w:rsid w:val="61607959"/>
    <w:rsid w:val="61D92E67"/>
    <w:rsid w:val="61E01111"/>
    <w:rsid w:val="6205528C"/>
    <w:rsid w:val="620720BA"/>
    <w:rsid w:val="62217D41"/>
    <w:rsid w:val="624D39EA"/>
    <w:rsid w:val="626C1CB9"/>
    <w:rsid w:val="6280742F"/>
    <w:rsid w:val="628403F1"/>
    <w:rsid w:val="628A18DA"/>
    <w:rsid w:val="629D2C02"/>
    <w:rsid w:val="62BA34ED"/>
    <w:rsid w:val="62C562F9"/>
    <w:rsid w:val="62CD792A"/>
    <w:rsid w:val="62CE2CDB"/>
    <w:rsid w:val="62CF5F3B"/>
    <w:rsid w:val="62E52B4B"/>
    <w:rsid w:val="62E6197B"/>
    <w:rsid w:val="62F44E80"/>
    <w:rsid w:val="630E2F88"/>
    <w:rsid w:val="630F2976"/>
    <w:rsid w:val="632D1C77"/>
    <w:rsid w:val="632D748B"/>
    <w:rsid w:val="6349452B"/>
    <w:rsid w:val="63556146"/>
    <w:rsid w:val="638E3F69"/>
    <w:rsid w:val="63AC12F0"/>
    <w:rsid w:val="63B82954"/>
    <w:rsid w:val="63E31578"/>
    <w:rsid w:val="640E15C9"/>
    <w:rsid w:val="643F0E76"/>
    <w:rsid w:val="64400EED"/>
    <w:rsid w:val="645A3794"/>
    <w:rsid w:val="646B4727"/>
    <w:rsid w:val="648262B7"/>
    <w:rsid w:val="64855B71"/>
    <w:rsid w:val="64CD21A2"/>
    <w:rsid w:val="654D192D"/>
    <w:rsid w:val="65625E79"/>
    <w:rsid w:val="657315E4"/>
    <w:rsid w:val="658823D3"/>
    <w:rsid w:val="659E5CFD"/>
    <w:rsid w:val="65A86297"/>
    <w:rsid w:val="65B47E39"/>
    <w:rsid w:val="65BD1B4C"/>
    <w:rsid w:val="664F108D"/>
    <w:rsid w:val="667B737D"/>
    <w:rsid w:val="668345F5"/>
    <w:rsid w:val="66AD2031"/>
    <w:rsid w:val="66FF0E8B"/>
    <w:rsid w:val="67060148"/>
    <w:rsid w:val="67121830"/>
    <w:rsid w:val="671A3E2C"/>
    <w:rsid w:val="672F35EE"/>
    <w:rsid w:val="67491F85"/>
    <w:rsid w:val="67720152"/>
    <w:rsid w:val="67740ED8"/>
    <w:rsid w:val="67742395"/>
    <w:rsid w:val="67A16FB9"/>
    <w:rsid w:val="67EF2971"/>
    <w:rsid w:val="68177481"/>
    <w:rsid w:val="681A64B5"/>
    <w:rsid w:val="685673F7"/>
    <w:rsid w:val="68714C5C"/>
    <w:rsid w:val="6879280C"/>
    <w:rsid w:val="68E720FA"/>
    <w:rsid w:val="68F16AFE"/>
    <w:rsid w:val="690A1E57"/>
    <w:rsid w:val="69433CD3"/>
    <w:rsid w:val="694F3E02"/>
    <w:rsid w:val="696A7913"/>
    <w:rsid w:val="69737F2D"/>
    <w:rsid w:val="6978058B"/>
    <w:rsid w:val="69803D99"/>
    <w:rsid w:val="69AA6C7E"/>
    <w:rsid w:val="69AD7CD5"/>
    <w:rsid w:val="69BD68E4"/>
    <w:rsid w:val="69C35715"/>
    <w:rsid w:val="69D906D3"/>
    <w:rsid w:val="69F3315F"/>
    <w:rsid w:val="69F61E2C"/>
    <w:rsid w:val="69F83F1F"/>
    <w:rsid w:val="69FD4816"/>
    <w:rsid w:val="6A2A5FDC"/>
    <w:rsid w:val="6A330168"/>
    <w:rsid w:val="6A4F25CC"/>
    <w:rsid w:val="6A507E65"/>
    <w:rsid w:val="6A7720B1"/>
    <w:rsid w:val="6A7A11ED"/>
    <w:rsid w:val="6A8820AC"/>
    <w:rsid w:val="6A8C7F77"/>
    <w:rsid w:val="6AA372EC"/>
    <w:rsid w:val="6AA47944"/>
    <w:rsid w:val="6ABF2A57"/>
    <w:rsid w:val="6AC761AA"/>
    <w:rsid w:val="6AD572F6"/>
    <w:rsid w:val="6AD666A7"/>
    <w:rsid w:val="6B1B1EDD"/>
    <w:rsid w:val="6B1E239C"/>
    <w:rsid w:val="6B2945AC"/>
    <w:rsid w:val="6B51559C"/>
    <w:rsid w:val="6B566341"/>
    <w:rsid w:val="6B666AF1"/>
    <w:rsid w:val="6B6D21D3"/>
    <w:rsid w:val="6B725EAA"/>
    <w:rsid w:val="6B8E5A5C"/>
    <w:rsid w:val="6B972265"/>
    <w:rsid w:val="6BC0007B"/>
    <w:rsid w:val="6BC700FE"/>
    <w:rsid w:val="6BDC0C6F"/>
    <w:rsid w:val="6BF717C9"/>
    <w:rsid w:val="6C0D09C5"/>
    <w:rsid w:val="6C155970"/>
    <w:rsid w:val="6C17237D"/>
    <w:rsid w:val="6C246CA0"/>
    <w:rsid w:val="6C45738A"/>
    <w:rsid w:val="6C503D5D"/>
    <w:rsid w:val="6C5A739D"/>
    <w:rsid w:val="6C79359E"/>
    <w:rsid w:val="6C8A1C05"/>
    <w:rsid w:val="6CD2649F"/>
    <w:rsid w:val="6CD97544"/>
    <w:rsid w:val="6CDE5E0D"/>
    <w:rsid w:val="6D025F04"/>
    <w:rsid w:val="6D046E59"/>
    <w:rsid w:val="6D4F618B"/>
    <w:rsid w:val="6D8E25EC"/>
    <w:rsid w:val="6D9F2C9C"/>
    <w:rsid w:val="6DC16B0A"/>
    <w:rsid w:val="6DC602AE"/>
    <w:rsid w:val="6DEB566E"/>
    <w:rsid w:val="6DEB5F7B"/>
    <w:rsid w:val="6DF9323C"/>
    <w:rsid w:val="6DFE31C0"/>
    <w:rsid w:val="6E1656C5"/>
    <w:rsid w:val="6E3A1529"/>
    <w:rsid w:val="6E5459BA"/>
    <w:rsid w:val="6E6E2AAA"/>
    <w:rsid w:val="6E7A6E09"/>
    <w:rsid w:val="6E850210"/>
    <w:rsid w:val="6E9574D2"/>
    <w:rsid w:val="6EAD5C64"/>
    <w:rsid w:val="6ED82BAA"/>
    <w:rsid w:val="6EE56203"/>
    <w:rsid w:val="6EEB0DA4"/>
    <w:rsid w:val="6F1C541E"/>
    <w:rsid w:val="6F50340F"/>
    <w:rsid w:val="6F5E5DB4"/>
    <w:rsid w:val="6F6656BC"/>
    <w:rsid w:val="6F7B3AB7"/>
    <w:rsid w:val="6F874478"/>
    <w:rsid w:val="6F96313B"/>
    <w:rsid w:val="6F9A2D81"/>
    <w:rsid w:val="6FA61916"/>
    <w:rsid w:val="6FA94AD7"/>
    <w:rsid w:val="6FAD08E5"/>
    <w:rsid w:val="6FED109A"/>
    <w:rsid w:val="6FF81951"/>
    <w:rsid w:val="701E7E79"/>
    <w:rsid w:val="70285C4E"/>
    <w:rsid w:val="70340BF2"/>
    <w:rsid w:val="70534BCB"/>
    <w:rsid w:val="70725683"/>
    <w:rsid w:val="707B6A4C"/>
    <w:rsid w:val="7090220F"/>
    <w:rsid w:val="709651AB"/>
    <w:rsid w:val="709A1E84"/>
    <w:rsid w:val="709B792D"/>
    <w:rsid w:val="70B219AC"/>
    <w:rsid w:val="70CB03BD"/>
    <w:rsid w:val="70D101EF"/>
    <w:rsid w:val="70F94959"/>
    <w:rsid w:val="714810B9"/>
    <w:rsid w:val="717279B9"/>
    <w:rsid w:val="71942678"/>
    <w:rsid w:val="71AC0CF0"/>
    <w:rsid w:val="71C33B60"/>
    <w:rsid w:val="71DB1E23"/>
    <w:rsid w:val="71E23918"/>
    <w:rsid w:val="71F42C39"/>
    <w:rsid w:val="72792CF8"/>
    <w:rsid w:val="728521F6"/>
    <w:rsid w:val="72AF5315"/>
    <w:rsid w:val="72BD7B97"/>
    <w:rsid w:val="72F35D12"/>
    <w:rsid w:val="730D017A"/>
    <w:rsid w:val="730F7898"/>
    <w:rsid w:val="73386F45"/>
    <w:rsid w:val="738557A1"/>
    <w:rsid w:val="73903399"/>
    <w:rsid w:val="73D87836"/>
    <w:rsid w:val="73E25B9C"/>
    <w:rsid w:val="73F126F0"/>
    <w:rsid w:val="73F70096"/>
    <w:rsid w:val="74194171"/>
    <w:rsid w:val="7459688D"/>
    <w:rsid w:val="74660E7F"/>
    <w:rsid w:val="74846D7F"/>
    <w:rsid w:val="749136E8"/>
    <w:rsid w:val="74987B9E"/>
    <w:rsid w:val="74AE3AD6"/>
    <w:rsid w:val="74D60BA6"/>
    <w:rsid w:val="74DA20BD"/>
    <w:rsid w:val="74E10F69"/>
    <w:rsid w:val="74EC1A7A"/>
    <w:rsid w:val="74F27A7C"/>
    <w:rsid w:val="74F54CEE"/>
    <w:rsid w:val="751B3AE4"/>
    <w:rsid w:val="751C0118"/>
    <w:rsid w:val="755B76A7"/>
    <w:rsid w:val="755D10F8"/>
    <w:rsid w:val="756E24CF"/>
    <w:rsid w:val="75735C71"/>
    <w:rsid w:val="75BF1839"/>
    <w:rsid w:val="75C63070"/>
    <w:rsid w:val="75C83DC0"/>
    <w:rsid w:val="75CF049B"/>
    <w:rsid w:val="75EB02DB"/>
    <w:rsid w:val="75EB3F55"/>
    <w:rsid w:val="7615724B"/>
    <w:rsid w:val="76297364"/>
    <w:rsid w:val="766778BF"/>
    <w:rsid w:val="76950433"/>
    <w:rsid w:val="769C5027"/>
    <w:rsid w:val="76D53D5A"/>
    <w:rsid w:val="76F20EC7"/>
    <w:rsid w:val="76FB6D79"/>
    <w:rsid w:val="772805CD"/>
    <w:rsid w:val="77540C4C"/>
    <w:rsid w:val="77987EDD"/>
    <w:rsid w:val="77A2154A"/>
    <w:rsid w:val="77A70352"/>
    <w:rsid w:val="77BA41FB"/>
    <w:rsid w:val="77C66948"/>
    <w:rsid w:val="77E71887"/>
    <w:rsid w:val="77E80EAE"/>
    <w:rsid w:val="77FF642F"/>
    <w:rsid w:val="7816323A"/>
    <w:rsid w:val="78205ABF"/>
    <w:rsid w:val="782F7E1C"/>
    <w:rsid w:val="78383B31"/>
    <w:rsid w:val="783A7A8D"/>
    <w:rsid w:val="78460F34"/>
    <w:rsid w:val="78504A15"/>
    <w:rsid w:val="78905BB4"/>
    <w:rsid w:val="78A21D95"/>
    <w:rsid w:val="793F2702"/>
    <w:rsid w:val="794D1AEC"/>
    <w:rsid w:val="7975708D"/>
    <w:rsid w:val="79924478"/>
    <w:rsid w:val="799662D2"/>
    <w:rsid w:val="7997054E"/>
    <w:rsid w:val="79BE7C9D"/>
    <w:rsid w:val="79FE380A"/>
    <w:rsid w:val="7A0D52E8"/>
    <w:rsid w:val="7A161217"/>
    <w:rsid w:val="7A2D25D9"/>
    <w:rsid w:val="7A3E29B9"/>
    <w:rsid w:val="7A5F3C9C"/>
    <w:rsid w:val="7A6C1424"/>
    <w:rsid w:val="7AC7435E"/>
    <w:rsid w:val="7AD271D9"/>
    <w:rsid w:val="7ADE385E"/>
    <w:rsid w:val="7AF4120E"/>
    <w:rsid w:val="7AFB7085"/>
    <w:rsid w:val="7AFD1D62"/>
    <w:rsid w:val="7B06626B"/>
    <w:rsid w:val="7B0B706B"/>
    <w:rsid w:val="7B0F2617"/>
    <w:rsid w:val="7B304044"/>
    <w:rsid w:val="7B751FA3"/>
    <w:rsid w:val="7BB43061"/>
    <w:rsid w:val="7BC277AD"/>
    <w:rsid w:val="7BD26762"/>
    <w:rsid w:val="7BEB2027"/>
    <w:rsid w:val="7BF54529"/>
    <w:rsid w:val="7C253B66"/>
    <w:rsid w:val="7C5C5599"/>
    <w:rsid w:val="7C821103"/>
    <w:rsid w:val="7C8863C8"/>
    <w:rsid w:val="7CB764D7"/>
    <w:rsid w:val="7CD603D7"/>
    <w:rsid w:val="7CDA3167"/>
    <w:rsid w:val="7CE42D40"/>
    <w:rsid w:val="7D3A2287"/>
    <w:rsid w:val="7D423F66"/>
    <w:rsid w:val="7D575CCA"/>
    <w:rsid w:val="7D7A2470"/>
    <w:rsid w:val="7D7E7976"/>
    <w:rsid w:val="7DBA7BD7"/>
    <w:rsid w:val="7DD50906"/>
    <w:rsid w:val="7DDE3ACD"/>
    <w:rsid w:val="7DF113B8"/>
    <w:rsid w:val="7E0B3FA0"/>
    <w:rsid w:val="7E1A6E50"/>
    <w:rsid w:val="7E572770"/>
    <w:rsid w:val="7E6066D9"/>
    <w:rsid w:val="7E6A39AB"/>
    <w:rsid w:val="7E7A6100"/>
    <w:rsid w:val="7E981926"/>
    <w:rsid w:val="7EA06255"/>
    <w:rsid w:val="7EA83033"/>
    <w:rsid w:val="7ED43869"/>
    <w:rsid w:val="7EEA77A9"/>
    <w:rsid w:val="7F10024C"/>
    <w:rsid w:val="7F1F1A7A"/>
    <w:rsid w:val="7F4279AD"/>
    <w:rsid w:val="7F606FB3"/>
    <w:rsid w:val="7F682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Times New Roman" w:eastAsia="宋体" w:cs="Times New Roman"/>
      <w:kern w:val="2"/>
      <w:sz w:val="24"/>
      <w:szCs w:val="24"/>
      <w:lang w:val="en-US" w:eastAsia="zh-CN" w:bidi="ar-SA"/>
    </w:rPr>
  </w:style>
  <w:style w:type="paragraph" w:styleId="2">
    <w:name w:val="heading 1"/>
    <w:basedOn w:val="1"/>
    <w:next w:val="1"/>
    <w:qFormat/>
    <w:uiPriority w:val="9"/>
    <w:pPr>
      <w:keepNext/>
      <w:keepLines/>
      <w:numPr>
        <w:ilvl w:val="0"/>
        <w:numId w:val="1"/>
      </w:numPr>
      <w:outlineLvl w:val="0"/>
    </w:pPr>
    <w:rPr>
      <w:b/>
      <w:bCs/>
      <w:kern w:val="44"/>
      <w:szCs w:val="44"/>
    </w:rPr>
  </w:style>
  <w:style w:type="paragraph" w:styleId="3">
    <w:name w:val="heading 2"/>
    <w:basedOn w:val="1"/>
    <w:next w:val="1"/>
    <w:qFormat/>
    <w:uiPriority w:val="0"/>
    <w:pPr>
      <w:keepNext/>
      <w:keepLines/>
      <w:numPr>
        <w:ilvl w:val="1"/>
        <w:numId w:val="1"/>
      </w:numPr>
      <w:outlineLvl w:val="1"/>
    </w:pPr>
    <w:rPr>
      <w:rFonts w:hAnsi="Arial"/>
      <w:b/>
      <w:bCs/>
      <w:szCs w:val="32"/>
    </w:rPr>
  </w:style>
  <w:style w:type="paragraph" w:styleId="4">
    <w:name w:val="heading 3"/>
    <w:basedOn w:val="5"/>
    <w:next w:val="1"/>
    <w:qFormat/>
    <w:uiPriority w:val="9"/>
    <w:pPr>
      <w:outlineLvl w:val="2"/>
    </w:pPr>
    <w:rPr>
      <w:b/>
    </w:rPr>
  </w:style>
  <w:style w:type="paragraph" w:styleId="6">
    <w:name w:val="heading 4"/>
    <w:basedOn w:val="1"/>
    <w:next w:val="1"/>
    <w:link w:val="26"/>
    <w:qFormat/>
    <w:uiPriority w:val="0"/>
    <w:pPr>
      <w:keepNext/>
      <w:numPr>
        <w:ilvl w:val="0"/>
        <w:numId w:val="2"/>
      </w:numPr>
      <w:adjustRightInd w:val="0"/>
      <w:ind w:left="454" w:firstLine="0"/>
      <w:jc w:val="left"/>
      <w:textAlignment w:val="baseline"/>
      <w:outlineLvl w:val="3"/>
    </w:pPr>
    <w:rPr>
      <w:rFonts w:ascii="宋体"/>
      <w:i/>
      <w:kern w:val="0"/>
      <w:szCs w:val="20"/>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customStyle="1" w:styleId="5">
    <w:name w:val="样式1"/>
    <w:basedOn w:val="1"/>
    <w:qFormat/>
    <w:uiPriority w:val="0"/>
    <w:pPr>
      <w:numPr>
        <w:ilvl w:val="2"/>
        <w:numId w:val="1"/>
      </w:numPr>
    </w:pPr>
  </w:style>
  <w:style w:type="paragraph" w:styleId="7">
    <w:name w:val="Body Text"/>
    <w:basedOn w:val="1"/>
    <w:next w:val="1"/>
    <w:qFormat/>
    <w:uiPriority w:val="0"/>
    <w:pPr>
      <w:spacing w:after="120"/>
    </w:pPr>
  </w:style>
  <w:style w:type="paragraph" w:styleId="8">
    <w:name w:val="Body Text Indent"/>
    <w:basedOn w:val="1"/>
    <w:qFormat/>
    <w:uiPriority w:val="0"/>
    <w:pPr>
      <w:spacing w:after="120" w:afterLines="0" w:afterAutospacing="0"/>
      <w:ind w:left="420" w:leftChars="200"/>
    </w:pPr>
    <w:rPr>
      <w:rFonts w:ascii="Times New Roman" w:hAnsi="Times New Roman" w:eastAsia="宋体" w:cs="Times New Roman"/>
      <w:szCs w:val="20"/>
    </w:rPr>
  </w:style>
  <w:style w:type="paragraph" w:styleId="9">
    <w:name w:val="Body Text Indent 2"/>
    <w:basedOn w:val="1"/>
    <w:qFormat/>
    <w:uiPriority w:val="0"/>
    <w:pPr>
      <w:ind w:firstLine="480"/>
    </w:pPr>
    <w:rPr>
      <w:rFonts w:ascii="Times New Roman"/>
    </w:rPr>
  </w:style>
  <w:style w:type="paragraph" w:styleId="10">
    <w:name w:val="footer"/>
    <w:basedOn w:val="1"/>
    <w:qFormat/>
    <w:uiPriority w:val="99"/>
    <w:pPr>
      <w:tabs>
        <w:tab w:val="center" w:pos="4153"/>
        <w:tab w:val="right" w:pos="8306"/>
      </w:tabs>
      <w:snapToGrid w:val="0"/>
      <w:spacing w:line="240" w:lineRule="auto"/>
      <w:jc w:val="left"/>
    </w:pPr>
    <w:rPr>
      <w:sz w:val="18"/>
      <w:szCs w:val="18"/>
    </w:rPr>
  </w:style>
  <w:style w:type="paragraph" w:styleId="11">
    <w:name w:val="envelope return"/>
    <w:basedOn w:val="1"/>
    <w:unhideWhenUsed/>
    <w:qFormat/>
    <w:uiPriority w:val="99"/>
    <w:pPr>
      <w:snapToGrid w:val="0"/>
    </w:pPr>
    <w:rPr>
      <w:rFonts w:ascii="Arial" w:hAnsi="Arial"/>
    </w:rPr>
  </w:style>
  <w:style w:type="paragraph" w:styleId="12">
    <w:name w:val="header"/>
    <w:basedOn w:val="1"/>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3">
    <w:name w:val="toc 1"/>
    <w:basedOn w:val="1"/>
    <w:next w:val="1"/>
    <w:qFormat/>
    <w:uiPriority w:val="39"/>
    <w:pPr>
      <w:tabs>
        <w:tab w:val="right" w:leader="dot" w:pos="8296"/>
      </w:tabs>
    </w:pPr>
  </w:style>
  <w:style w:type="paragraph" w:styleId="14">
    <w:name w:val="Body Text First Indent 2"/>
    <w:basedOn w:val="8"/>
    <w:qFormat/>
    <w:uiPriority w:val="0"/>
    <w:pPr>
      <w:keepNext w:val="0"/>
      <w:keepLines w:val="0"/>
      <w:widowControl/>
      <w:suppressLineNumbers w:val="0"/>
      <w:adjustRightInd w:val="0"/>
      <w:snapToGrid w:val="0"/>
      <w:spacing w:before="0" w:beforeAutospacing="0" w:after="120" w:afterAutospacing="0" w:line="360" w:lineRule="auto"/>
      <w:ind w:left="420" w:leftChars="200" w:right="0" w:firstLine="420" w:firstLineChars="200"/>
      <w:jc w:val="both"/>
    </w:pPr>
    <w:rPr>
      <w:rFonts w:hint="default" w:ascii="Calibri" w:hAnsi="Calibri" w:eastAsia="宋体" w:cs="Times New Roman"/>
      <w:snapToGrid/>
      <w:kern w:val="2"/>
      <w:sz w:val="21"/>
      <w:szCs w:val="22"/>
      <w:lang w:val="en-US" w:eastAsia="zh-CN" w:bidi="ar"/>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9">
    <w:name w:val="标题 5（有编号）（绿盟科技）"/>
    <w:basedOn w:val="20"/>
    <w:next w:val="21"/>
    <w:qFormat/>
    <w:uiPriority w:val="0"/>
    <w:pPr>
      <w:keepNext/>
      <w:keepLines/>
      <w:numPr>
        <w:ilvl w:val="4"/>
        <w:numId w:val="3"/>
      </w:numPr>
      <w:spacing w:before="280" w:after="156" w:line="377" w:lineRule="auto"/>
      <w:jc w:val="left"/>
      <w:outlineLvl w:val="4"/>
    </w:pPr>
    <w:rPr>
      <w:rFonts w:ascii="Arial" w:hAnsi="Arial" w:eastAsia="黑体"/>
      <w:b/>
      <w:sz w:val="24"/>
      <w:szCs w:val="28"/>
    </w:rPr>
  </w:style>
  <w:style w:type="paragraph" w:customStyle="1" w:styleId="20">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1">
    <w:name w:val="正文（绿盟科技）"/>
    <w:qFormat/>
    <w:uiPriority w:val="0"/>
    <w:pPr>
      <w:spacing w:line="300" w:lineRule="auto"/>
    </w:pPr>
    <w:rPr>
      <w:rFonts w:ascii="Arial" w:hAnsi="Arial" w:eastAsia="宋体" w:cs="Times New Roman"/>
      <w:sz w:val="21"/>
      <w:szCs w:val="21"/>
      <w:lang w:val="en-US" w:eastAsia="zh-CN" w:bidi="ar-SA"/>
    </w:rPr>
  </w:style>
  <w:style w:type="paragraph" w:customStyle="1" w:styleId="22">
    <w:name w:val="p0"/>
    <w:basedOn w:val="1"/>
    <w:qFormat/>
    <w:uiPriority w:val="0"/>
    <w:pPr>
      <w:widowControl/>
      <w:spacing w:line="240" w:lineRule="auto"/>
    </w:pPr>
    <w:rPr>
      <w:rFonts w:ascii="Times New Roman"/>
      <w:kern w:val="0"/>
      <w:sz w:val="21"/>
      <w:szCs w:val="21"/>
    </w:rPr>
  </w:style>
  <w:style w:type="character" w:customStyle="1" w:styleId="23">
    <w:name w:val="font11"/>
    <w:basedOn w:val="17"/>
    <w:qFormat/>
    <w:uiPriority w:val="0"/>
    <w:rPr>
      <w:rFonts w:hint="eastAsia" w:ascii="宋体" w:hAnsi="宋体" w:eastAsia="宋体" w:cs="宋体"/>
      <w:color w:val="000000"/>
      <w:sz w:val="24"/>
      <w:szCs w:val="24"/>
      <w:u w:val="none"/>
    </w:rPr>
  </w:style>
  <w:style w:type="character" w:customStyle="1" w:styleId="24">
    <w:name w:val="font31"/>
    <w:basedOn w:val="17"/>
    <w:qFormat/>
    <w:uiPriority w:val="0"/>
    <w:rPr>
      <w:rFonts w:hint="default" w:ascii="Times New Roman" w:hAnsi="Times New Roman" w:cs="Times New Roman"/>
      <w:color w:val="000000"/>
      <w:sz w:val="22"/>
      <w:szCs w:val="22"/>
      <w:u w:val="none"/>
    </w:rPr>
  </w:style>
  <w:style w:type="character" w:customStyle="1" w:styleId="25">
    <w:name w:val="font41"/>
    <w:basedOn w:val="17"/>
    <w:qFormat/>
    <w:uiPriority w:val="0"/>
    <w:rPr>
      <w:rFonts w:hint="eastAsia" w:ascii="宋体" w:hAnsi="宋体" w:eastAsia="宋体" w:cs="宋体"/>
      <w:color w:val="000000"/>
      <w:sz w:val="22"/>
      <w:szCs w:val="22"/>
      <w:u w:val="none"/>
    </w:rPr>
  </w:style>
  <w:style w:type="character" w:customStyle="1" w:styleId="26">
    <w:name w:val="标题 4 字符"/>
    <w:link w:val="6"/>
    <w:qFormat/>
    <w:uiPriority w:val="0"/>
    <w:rPr>
      <w:rFonts w:ascii="宋体"/>
      <w:i/>
      <w:kern w:val="0"/>
      <w:szCs w:val="20"/>
    </w:rPr>
  </w:style>
  <w:style w:type="paragraph" w:customStyle="1" w:styleId="27">
    <w:name w:val="大标题"/>
    <w:basedOn w:val="1"/>
    <w:next w:val="14"/>
    <w:qFormat/>
    <w:uiPriority w:val="0"/>
    <w:pPr>
      <w:jc w:val="center"/>
    </w:pPr>
    <w:rPr>
      <w:rFonts w:ascii="Arial" w:hAnsi="Arial"/>
      <w:b/>
      <w:sz w:val="28"/>
    </w:rPr>
  </w:style>
  <w:style w:type="paragraph" w:styleId="28">
    <w:name w:val="List Paragraph"/>
    <w:basedOn w:val="1"/>
    <w:qFormat/>
    <w:uiPriority w:val="99"/>
    <w:pPr>
      <w:wordWrap w:val="0"/>
      <w:spacing w:line="360" w:lineRule="auto"/>
      <w:ind w:firstLine="420" w:firstLineChars="200"/>
      <w:jc w:val="left"/>
      <w:textAlignment w:val="baseline"/>
    </w:pPr>
    <w:rPr>
      <w:rFonts w:ascii="Times New Roman" w:hAnsi="Times New Roman"/>
      <w:snapToGrid w:val="0"/>
      <w:kern w:val="0"/>
      <w:szCs w:val="21"/>
    </w:rPr>
  </w:style>
  <w:style w:type="paragraph" w:customStyle="1" w:styleId="29">
    <w:name w:val="首行缩进"/>
    <w:basedOn w:val="1"/>
    <w:qFormat/>
    <w:uiPriority w:val="0"/>
    <w:pPr>
      <w:spacing w:line="300" w:lineRule="auto"/>
      <w:ind w:firstLine="420" w:firstLineChars="200"/>
    </w:pPr>
    <w:rPr>
      <w:rFonts w:ascii="Calibri" w:hAnsi="Calibri" w:eastAsia="方正书宋简体"/>
      <w:kern w:val="0"/>
      <w:sz w:val="20"/>
      <w:szCs w:val="20"/>
    </w:rPr>
  </w:style>
  <w:style w:type="paragraph" w:customStyle="1" w:styleId="30">
    <w:name w:val="正文_0"/>
    <w:qFormat/>
    <w:uiPriority w:val="0"/>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2056</Words>
  <Characters>2287</Characters>
  <Lines>0</Lines>
  <Paragraphs>0</Paragraphs>
  <TotalTime>6</TotalTime>
  <ScaleCrop>false</ScaleCrop>
  <LinksUpToDate>false</LinksUpToDate>
  <CharactersWithSpaces>2314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2023-01-18T01:19:00Z</dcterms:created>
  <dc:creator>chenguanxu.nn</dc:creator>
  <cp:lastModifiedBy>00046151_gx</cp:lastModifiedBy>
  <dcterms:modified xsi:type="dcterms:W3CDTF">2026-05-26T00:49:53Z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F80F13ED9D5D4AB99E988BE744789604_13</vt:lpwstr>
  </property>
  <property fmtid="{D5CDD505-2E9C-101B-9397-08002B2CF9AE}" pid="4" name="KSOTemplateDocerSaveRecord">
    <vt:lpwstr>eyJoZGlkIjoiMzI4NjY4NWZiODkyNTdkM2Q0OGMxNDk2ODM1YTM2ZjEiLCJ1c2VySWQiOiIyNTczODk2NTQifQ==</vt:lpwstr>
  </property>
</Properties>
</file>