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宋体" w:hAnsi="宋体" w:eastAsia="宋体" w:cs="宋体"/>
          <w:color w:val="000000"/>
          <w:kern w:val="0"/>
          <w:sz w:val="24"/>
        </w:rPr>
      </w:pPr>
    </w:p>
    <w:p>
      <w:pPr>
        <w:spacing w:line="360" w:lineRule="auto"/>
        <w:rPr>
          <w:rFonts w:ascii="宋体" w:hAnsi="宋体" w:eastAsia="宋体" w:cs="宋体"/>
          <w:color w:val="000000"/>
          <w:kern w:val="0"/>
          <w:sz w:val="24"/>
        </w:rPr>
      </w:pPr>
      <w:r>
        <w:rPr>
          <w:rFonts w:hint="eastAsia" w:ascii="宋体" w:hAnsi="宋体" w:eastAsia="宋体" w:cs="宋体"/>
          <w:color w:val="000000"/>
          <w:kern w:val="0"/>
          <w:sz w:val="24"/>
        </w:rPr>
        <w:t>十五、多媒体系统技术规范书；项目名称：南宁隆安供电局2026年屏山供电所显示设备大屏建设项目；4. 供货范围和技术要求；4.1 供货范围；</w:t>
      </w:r>
      <w:r>
        <w:rPr>
          <w:rFonts w:ascii="宋体" w:hAnsi="宋体" w:eastAsia="宋体" w:cs="宋体"/>
          <w:color w:val="000000"/>
          <w:kern w:val="0"/>
          <w:sz w:val="24"/>
        </w:rPr>
        <w:t>1.11多媒体功放机</w:t>
      </w:r>
      <w:r>
        <w:rPr>
          <w:rFonts w:hint="eastAsia" w:ascii="宋体" w:hAnsi="宋体" w:eastAsia="宋体" w:cs="宋体"/>
          <w:color w:val="000000"/>
          <w:kern w:val="0"/>
          <w:sz w:val="24"/>
        </w:rPr>
        <w:t>；</w:t>
      </w:r>
      <w:r>
        <w:rPr>
          <w:rFonts w:ascii="宋体" w:hAnsi="宋体" w:eastAsia="宋体" w:cs="宋体"/>
          <w:color w:val="000000"/>
          <w:kern w:val="0"/>
          <w:sz w:val="24"/>
        </w:rPr>
        <w:t>投标专业功放产品厂家获得国家版权局颁发的“功放线路自动检测嵌入式集成控制软件”计算机软件著作权登记证书，且同时提供软件测试报告（全套）资料，提供证书官网截图和有效复印件，软件名称要求是“功放线路自动检测嵌入式集成控制软件”或相近的软件。</w:t>
      </w:r>
    </w:p>
    <w:p>
      <w:pPr>
        <w:spacing w:line="360" w:lineRule="auto"/>
        <w:rPr>
          <w:rFonts w:hint="eastAsia" w:ascii="宋体" w:hAnsi="宋体" w:eastAsia="宋体" w:cs="宋体"/>
          <w:b/>
          <w:bCs/>
          <w:color w:val="000000"/>
          <w:kern w:val="0"/>
          <w:sz w:val="24"/>
        </w:rPr>
      </w:pPr>
      <w:r>
        <w:rPr>
          <w:rFonts w:hint="eastAsia" w:ascii="宋体" w:hAnsi="宋体" w:eastAsia="宋体" w:cs="宋体"/>
          <w:b/>
          <w:bCs/>
          <w:color w:val="000000"/>
          <w:kern w:val="0"/>
          <w:sz w:val="24"/>
        </w:rPr>
        <w:t>质疑问题：该条款限定特定名称的软件著作权及配套测试报告，软件名称指向性明确，属于针对性定制参数。功放设备并无国家通用标准强制要求搭载该款专用检测控制软件，不同厂家技术研发路线各异，同类产品实现同类功能的软件命名、架构均存在差异；硬性限定指定名称著作权证书，变相锁定特定厂商产品，不合理限制其他合规品牌参与竞争；软件名称相近表述界定模糊，评判标准无统一依据，易造成评审不公，违反招投标公平原则，建议删除该项专属软件资质要求。</w:t>
      </w:r>
    </w:p>
    <w:p>
      <w:pPr>
        <w:spacing w:line="360" w:lineRule="auto"/>
        <w:ind w:firstLine="480" w:firstLineChars="200"/>
        <w:rPr>
          <w:rFonts w:hint="eastAsia" w:ascii="宋体" w:hAnsi="宋体" w:eastAsia="宋体" w:cs="宋体"/>
          <w:b w:val="0"/>
          <w:bCs w:val="0"/>
          <w:color w:val="0000FF"/>
          <w:kern w:val="0"/>
          <w:sz w:val="24"/>
          <w:lang w:val="en-US" w:eastAsia="zh-CN"/>
        </w:rPr>
      </w:pPr>
      <w:r>
        <w:rPr>
          <w:rFonts w:hint="eastAsia" w:ascii="宋体" w:hAnsi="宋体" w:eastAsia="宋体" w:cs="宋体"/>
          <w:b w:val="0"/>
          <w:bCs w:val="0"/>
          <w:color w:val="FF0000"/>
          <w:kern w:val="0"/>
          <w:sz w:val="24"/>
          <w:lang w:val="en-US" w:eastAsia="zh-CN"/>
        </w:rPr>
        <w:t>答疑：本项目功放机需长期连续运行，设备线路故障自动检测、嵌入式集成控制是保障设备稳定运行、降低运维难度、及时排查隐患的核心实用功能。要求提供对应软件著作权及全套测试报告，目的是核验投标产品具备该项功能、技术方案成熟可靠，并非单纯限定某一款软件产品。按照招标文件原有要求参与投标</w:t>
      </w:r>
      <w:r>
        <w:rPr>
          <w:rFonts w:hint="eastAsia" w:ascii="宋体" w:hAnsi="宋体" w:eastAsia="宋体" w:cs="宋体"/>
          <w:b w:val="0"/>
          <w:bCs w:val="0"/>
          <w:color w:val="0000FF"/>
          <w:kern w:val="0"/>
          <w:sz w:val="24"/>
          <w:lang w:val="en-US" w:eastAsia="zh-CN"/>
        </w:rPr>
        <w:t>。</w:t>
      </w:r>
    </w:p>
    <w:p>
      <w:pPr>
        <w:spacing w:line="360" w:lineRule="auto"/>
        <w:ind w:firstLine="480" w:firstLineChars="200"/>
        <w:rPr>
          <w:rFonts w:hint="eastAsia" w:ascii="宋体" w:hAnsi="宋体" w:eastAsia="宋体" w:cs="宋体"/>
          <w:b w:val="0"/>
          <w:bCs w:val="0"/>
          <w:color w:val="0000FF"/>
          <w:kern w:val="0"/>
          <w:sz w:val="24"/>
          <w:lang w:val="en-US" w:eastAsia="zh-CN"/>
        </w:rPr>
      </w:pPr>
    </w:p>
    <w:p>
      <w:pPr>
        <w:spacing w:line="360" w:lineRule="auto"/>
        <w:rPr>
          <w:rFonts w:hint="eastAsia" w:ascii="宋体" w:hAnsi="宋体" w:eastAsia="宋体" w:cs="宋体"/>
          <w:b/>
          <w:bCs/>
          <w:color w:val="000000"/>
          <w:kern w:val="0"/>
          <w:sz w:val="24"/>
        </w:rPr>
      </w:pPr>
    </w:p>
    <w:p>
      <w:pPr>
        <w:spacing w:line="360" w:lineRule="auto"/>
        <w:rPr>
          <w:rFonts w:ascii="宋体" w:hAnsi="宋体" w:eastAsia="宋体" w:cs="宋体"/>
          <w:color w:val="000000"/>
          <w:kern w:val="0"/>
          <w:sz w:val="24"/>
        </w:rPr>
      </w:pPr>
    </w:p>
    <w:p>
      <w:pPr>
        <w:spacing w:line="360" w:lineRule="auto"/>
        <w:rPr>
          <w:rFonts w:ascii="宋体" w:hAnsi="宋体" w:eastAsia="宋体" w:cs="宋体"/>
          <w:color w:val="000000"/>
          <w:kern w:val="0"/>
          <w:sz w:val="24"/>
        </w:rPr>
      </w:pPr>
      <w:r>
        <w:rPr>
          <w:rFonts w:hint="eastAsia" w:ascii="宋体" w:hAnsi="宋体" w:eastAsia="宋体" w:cs="宋体"/>
          <w:color w:val="000000"/>
          <w:kern w:val="0"/>
          <w:sz w:val="24"/>
        </w:rPr>
        <w:t>十六、多媒体系统技术规范书；项目名称：南宁邕宁供电局2026年本部4楼多功能厅设备更新改造项目；4. 供货范围和技术要求；4.1 供货范围；1.14</w:t>
      </w:r>
      <w:r>
        <w:rPr>
          <w:rFonts w:ascii="宋体" w:hAnsi="宋体" w:eastAsia="宋体" w:cs="宋体"/>
          <w:color w:val="000000"/>
          <w:kern w:val="0"/>
          <w:sz w:val="24"/>
        </w:rPr>
        <w:t>音频处理器</w:t>
      </w:r>
      <w:r>
        <w:rPr>
          <w:rFonts w:hint="eastAsia" w:ascii="宋体" w:hAnsi="宋体" w:eastAsia="宋体" w:cs="宋体"/>
          <w:color w:val="000000"/>
          <w:kern w:val="0"/>
          <w:sz w:val="24"/>
        </w:rPr>
        <w:t>；</w:t>
      </w:r>
      <w:r>
        <w:rPr>
          <w:rFonts w:ascii="宋体" w:hAnsi="宋体" w:eastAsia="宋体" w:cs="宋体"/>
          <w:color w:val="000000"/>
          <w:kern w:val="0"/>
          <w:sz w:val="24"/>
        </w:rPr>
        <w:t>9.为了确保投标产品为产品制造商自主生产的产品（非OEM或ODM产品），对投标人提供的制造商购置的制造投标产品的主要生产设备贴片机、波峰焊、回流焊的证明材料进行评分：提供购置上述三种生产设备的合同复印件首页、体现合同金额内容页、尾页及不少于合同金额60%的发票复印件作为证明材料。</w:t>
      </w:r>
    </w:p>
    <w:p>
      <w:pPr>
        <w:spacing w:line="360" w:lineRule="auto"/>
        <w:rPr>
          <w:rFonts w:hint="eastAsia" w:ascii="宋体" w:hAnsi="宋体" w:eastAsia="宋体" w:cs="宋体"/>
          <w:b/>
          <w:bCs/>
          <w:color w:val="000000"/>
          <w:kern w:val="0"/>
          <w:sz w:val="24"/>
        </w:rPr>
      </w:pPr>
      <w:r>
        <w:rPr>
          <w:rFonts w:hint="eastAsia" w:ascii="宋体" w:hAnsi="宋体" w:eastAsia="宋体" w:cs="宋体"/>
          <w:b/>
          <w:bCs/>
          <w:color w:val="000000"/>
          <w:kern w:val="0"/>
          <w:sz w:val="24"/>
        </w:rPr>
        <w:t>质疑问题：该评分条款以特定生产设备购置凭证作为加分依据，存在不合理排他性，违背公平竞争原则：生产模式无强制禁止 OEM、ODM 的行业规定，合规代工产品同样可保障品质，以此限定自主生产缺乏法定依据。仅认定贴片机、波峰焊、回流焊三类设备，生产工艺布局、设备选型各企业存在差异，设备配置不能判定产品优劣。硬性要求合同、特定比例发票佐证，取证门槛严苛，无端抬高参与成本，变相排挤中小厂商与外协合规生产企业，存在明显倾向性，建议删除该评分条款。</w:t>
      </w:r>
    </w:p>
    <w:p>
      <w:pPr>
        <w:spacing w:line="360" w:lineRule="auto"/>
        <w:ind w:firstLine="480" w:firstLineChars="200"/>
        <w:rPr>
          <w:rFonts w:hint="eastAsia" w:ascii="宋体" w:hAnsi="宋体" w:eastAsia="宋体" w:cs="宋体"/>
          <w:b w:val="0"/>
          <w:bCs w:val="0"/>
          <w:color w:val="0000FF"/>
          <w:kern w:val="0"/>
          <w:sz w:val="24"/>
          <w:lang w:val="en-US" w:eastAsia="zh-CN"/>
        </w:rPr>
      </w:pPr>
      <w:r>
        <w:rPr>
          <w:rFonts w:hint="eastAsia" w:ascii="宋体" w:hAnsi="宋体" w:eastAsia="宋体" w:cs="宋体"/>
          <w:b w:val="0"/>
          <w:bCs w:val="0"/>
          <w:color w:val="0000FF"/>
          <w:kern w:val="0"/>
          <w:sz w:val="24"/>
          <w:lang w:val="en-US" w:eastAsia="zh-CN"/>
        </w:rPr>
        <w:t>答疑：本项目功放机需长期连续运行，设备线路故障自动检测、嵌入式集成控制是保障设备稳定运行、降低运维难度、及时排查隐患的核心实用功能。要求提供对应软件著作权</w:t>
      </w:r>
      <w:bookmarkStart w:id="0" w:name="_GoBack"/>
      <w:r>
        <w:rPr>
          <w:rFonts w:hint="eastAsia" w:ascii="宋体" w:hAnsi="宋体" w:eastAsia="宋体" w:cs="宋体"/>
          <w:b w:val="0"/>
          <w:bCs w:val="0"/>
          <w:color w:val="0000FF"/>
          <w:kern w:val="0"/>
          <w:sz w:val="24"/>
          <w:lang w:val="en-US" w:eastAsia="zh-CN"/>
        </w:rPr>
        <w:t>及全套测试报告，目的是核验投标产品具备该项功能、技术方案成熟可靠，并非单纯限定某一款软件产品</w:t>
      </w:r>
      <w:bookmarkEnd w:id="0"/>
      <w:r>
        <w:rPr>
          <w:rFonts w:hint="eastAsia" w:ascii="宋体" w:hAnsi="宋体" w:eastAsia="宋体" w:cs="宋体"/>
          <w:b w:val="0"/>
          <w:bCs w:val="0"/>
          <w:color w:val="0000FF"/>
          <w:kern w:val="0"/>
          <w:sz w:val="24"/>
          <w:lang w:val="en-US" w:eastAsia="zh-CN"/>
        </w:rPr>
        <w:t>。按照招标文件原有要求参与投标。</w:t>
      </w:r>
    </w:p>
    <w:p>
      <w:pPr>
        <w:spacing w:line="360" w:lineRule="auto"/>
        <w:rPr>
          <w:rFonts w:hint="eastAsia" w:ascii="宋体" w:hAnsi="宋体" w:eastAsia="宋体" w:cs="宋体"/>
          <w:b/>
          <w:bCs/>
          <w:color w:val="000000"/>
          <w:kern w:val="0"/>
          <w:sz w:val="24"/>
        </w:rPr>
      </w:pPr>
    </w:p>
    <w:p>
      <w:pPr>
        <w:spacing w:line="360" w:lineRule="auto"/>
        <w:rPr>
          <w:rFonts w:hint="eastAsia" w:ascii="宋体" w:hAnsi="宋体" w:eastAsia="宋体" w:cs="宋体"/>
          <w:color w:val="000000"/>
          <w:kern w:val="0"/>
          <w:sz w:val="24"/>
        </w:rPr>
      </w:pPr>
    </w:p>
    <w:p>
      <w:pPr>
        <w:spacing w:line="360" w:lineRule="auto"/>
        <w:rPr>
          <w:rFonts w:ascii="宋体" w:hAnsi="宋体" w:eastAsia="宋体" w:cs="宋体"/>
          <w:color w:val="000000"/>
          <w:kern w:val="0"/>
          <w:sz w:val="24"/>
        </w:rPr>
      </w:pPr>
      <w:r>
        <w:rPr>
          <w:rFonts w:hint="eastAsia" w:ascii="宋体" w:hAnsi="宋体" w:eastAsia="宋体" w:cs="宋体"/>
          <w:color w:val="000000"/>
          <w:kern w:val="0"/>
          <w:sz w:val="24"/>
        </w:rPr>
        <w:t>十七、多媒体系统技术规范书；项目名称：南宁邕宁供电局2026年本部4楼多功能厅设备更新改造项目；4. 供货范围和技术要求；4.1 供货范围；1.18</w:t>
      </w:r>
      <w:r>
        <w:rPr>
          <w:rFonts w:ascii="宋体" w:hAnsi="宋体" w:eastAsia="宋体" w:cs="宋体"/>
          <w:color w:val="000000"/>
          <w:kern w:val="0"/>
          <w:sz w:val="24"/>
        </w:rPr>
        <w:t>线阵音箱</w:t>
      </w:r>
      <w:r>
        <w:rPr>
          <w:rFonts w:hint="eastAsia" w:ascii="宋体" w:hAnsi="宋体" w:eastAsia="宋体" w:cs="宋体"/>
          <w:color w:val="000000"/>
          <w:kern w:val="0"/>
          <w:sz w:val="24"/>
        </w:rPr>
        <w:t>；</w:t>
      </w:r>
      <w:r>
        <w:rPr>
          <w:rFonts w:ascii="宋体" w:hAnsi="宋体" w:eastAsia="宋体" w:cs="宋体"/>
          <w:color w:val="000000"/>
          <w:kern w:val="0"/>
          <w:sz w:val="24"/>
        </w:rPr>
        <w:t>8.要求投标的音响产品制造商拥有半消音室或全消音室，从而确保产品是经过声学测试后出厂的合格产品。（要求提供最近三年内由国家法定计量检测机构依据GB/T 6882-2016 声学 声压法测定噪声源声功率级和声能量级 消声室和半消声室精密法为制造商半消音室或全消音室出具的检测报告扫描件或复印件作为证明材料）</w:t>
      </w:r>
    </w:p>
    <w:p>
      <w:pPr>
        <w:spacing w:line="360" w:lineRule="auto"/>
        <w:rPr>
          <w:rFonts w:hint="eastAsia" w:ascii="宋体" w:hAnsi="宋体" w:eastAsia="宋体" w:cs="宋体"/>
          <w:b/>
          <w:bCs/>
          <w:color w:val="000000"/>
          <w:kern w:val="0"/>
          <w:sz w:val="24"/>
        </w:rPr>
      </w:pPr>
      <w:r>
        <w:rPr>
          <w:rFonts w:hint="eastAsia" w:ascii="宋体" w:hAnsi="宋体" w:eastAsia="宋体" w:cs="宋体"/>
          <w:b/>
          <w:bCs/>
          <w:color w:val="000000"/>
          <w:kern w:val="0"/>
          <w:sz w:val="24"/>
        </w:rPr>
        <w:t>质疑问题：法规层面：未有国标、行标强制要求音响厂商必须自建消音实验室，外购第三方合规检测机构出具报告，同样可满足声学检测出厂标准，自建实验室并非产品合格的必要条件。评判逻辑不合理：有无自有消音室，和产品实际声学性能、质量品质无必然挂钩，委托权威机构检测也能保障产品达标。条件具备排他指向：中小厂商普遍无自建消音室能力，以此设门槛，变相排挤多数合规供应商，限制市场公平竞争。检测途径不唯一：符合标准的第三方检测报告均可佐证产品合规，单独限定自有实验室检测材料，条款设置欠缺合理性，建议删除该要求。</w:t>
      </w:r>
    </w:p>
    <w:p>
      <w:pPr>
        <w:spacing w:line="360" w:lineRule="auto"/>
        <w:ind w:firstLine="480" w:firstLineChars="200"/>
        <w:rPr>
          <w:rFonts w:hint="eastAsia" w:ascii="宋体" w:hAnsi="宋体" w:eastAsia="宋体" w:cs="宋体"/>
          <w:b w:val="0"/>
          <w:bCs w:val="0"/>
          <w:color w:val="0000FF"/>
          <w:kern w:val="0"/>
          <w:sz w:val="24"/>
          <w:lang w:val="en-US" w:eastAsia="zh-CN"/>
        </w:rPr>
      </w:pPr>
      <w:r>
        <w:rPr>
          <w:rFonts w:hint="eastAsia" w:ascii="宋体" w:hAnsi="宋体" w:eastAsia="宋体" w:cs="宋体"/>
          <w:b w:val="0"/>
          <w:bCs w:val="0"/>
          <w:color w:val="0000FF"/>
          <w:kern w:val="0"/>
          <w:sz w:val="24"/>
          <w:lang w:val="en-US" w:eastAsia="zh-CN"/>
        </w:rPr>
        <w:t>答疑：本项目对线阵音箱音质、声学稳定性、批量产品一致性要求较高。要求制造商配备全，并提供对应实验室能力检测报告，目的是核验企业具备常态化声学自测、出厂全批次质量把控的硬件条件，保障产品量产品质稳定、声学指标统一。具备全 / 半消音室并取得对应计量检测报告，是专业音响主流生产企业的常规配置。该要求面向所有潜在供应商统一标准，未限定品牌、地域、企业规模。同时条款仅对实验室及配套检测材料作出规定，未设置专利、独家技术等壁垒，不存在刻意排挤、限制市场竞争的情形。</w:t>
      </w:r>
    </w:p>
    <w:p>
      <w:pPr>
        <w:spacing w:line="360" w:lineRule="auto"/>
        <w:rPr>
          <w:rFonts w:ascii="宋体" w:hAnsi="宋体" w:eastAsia="宋体" w:cs="宋体"/>
          <w:color w:val="000000"/>
          <w:kern w:val="0"/>
          <w:sz w:val="24"/>
        </w:rPr>
      </w:pPr>
    </w:p>
    <w:p>
      <w:pPr>
        <w:spacing w:line="360" w:lineRule="auto"/>
        <w:rPr>
          <w:rFonts w:ascii="宋体" w:hAnsi="宋体" w:eastAsia="宋体"/>
          <w:sz w:val="24"/>
        </w:rPr>
      </w:pPr>
      <w:r>
        <w:rPr>
          <w:rFonts w:hint="eastAsia" w:ascii="宋体" w:hAnsi="宋体" w:eastAsia="宋体" w:cs="宋体"/>
          <w:color w:val="000000"/>
          <w:kern w:val="0"/>
          <w:sz w:val="24"/>
        </w:rPr>
        <w:t>十八、多媒体系统技术规范书；项目名称：南宁邕宁供电局2026年本部4楼多功能厅设备更新改造项目；4. 供货范围和技术要求；4.1 供货范围；2.09</w:t>
      </w:r>
      <w:r>
        <w:rPr>
          <w:rFonts w:ascii="宋体" w:hAnsi="宋体" w:eastAsia="宋体" w:cs="宋体"/>
          <w:color w:val="000000"/>
          <w:kern w:val="0"/>
          <w:sz w:val="24"/>
        </w:rPr>
        <w:t>控台</w:t>
      </w:r>
      <w:r>
        <w:rPr>
          <w:rFonts w:hint="eastAsia" w:ascii="宋体" w:hAnsi="宋体" w:eastAsia="宋体" w:cs="宋体"/>
          <w:color w:val="000000"/>
          <w:kern w:val="0"/>
          <w:sz w:val="24"/>
        </w:rPr>
        <w:t>；</w:t>
      </w:r>
      <w:r>
        <w:rPr>
          <w:rFonts w:hint="eastAsia" w:ascii="宋体" w:hAnsi="宋体" w:eastAsia="宋体"/>
          <w:sz w:val="24"/>
        </w:rPr>
        <w:t>15.投标产品制造商具有符合GB/T 36132-2018《绿色工厂评价通则》的绿色工厂服务认证证书。（提供第三方认证机构颁发的在有效期内的证书扫描件或复印件、证书编号在全国认证认可信息公共服务平台的查询结果截图作为证明材料）</w:t>
      </w:r>
    </w:p>
    <w:p>
      <w:pPr>
        <w:spacing w:line="360" w:lineRule="auto"/>
        <w:rPr>
          <w:rFonts w:ascii="宋体" w:hAnsi="宋体" w:eastAsia="宋体"/>
          <w:b/>
          <w:bCs/>
          <w:sz w:val="24"/>
        </w:rPr>
      </w:pPr>
      <w:r>
        <w:rPr>
          <w:rFonts w:hint="eastAsia" w:ascii="宋体" w:hAnsi="宋体" w:eastAsia="宋体"/>
          <w:b/>
          <w:bCs/>
          <w:sz w:val="24"/>
        </w:rPr>
        <w:t>质疑问题：</w:t>
      </w:r>
      <w:r>
        <w:rPr>
          <w:rFonts w:ascii="宋体" w:hAnsi="宋体" w:eastAsia="宋体"/>
          <w:b/>
          <w:bCs/>
          <w:sz w:val="24"/>
        </w:rPr>
        <w:t>本条款将绿色工厂认证设为硬性要求，存在不合理排他性，违背公平招投标原则：该认证不属于音响、会议类产品生产的法定强制准入资质，有无证书不影响产品质量与项目履约能力。绿色工厂认证门槛高，仅部分头部企业具备，中小合规厂商难以获取，变相限制竞争范围。产品合规性、性能指标才是评审核心，工厂评级证书与本次供货使用需求无直接关联，属于无关增设门槛，存在参数偏向性，建议删除此项要求。</w:t>
      </w:r>
    </w:p>
    <w:p>
      <w:pPr>
        <w:spacing w:line="360" w:lineRule="auto"/>
        <w:ind w:firstLine="480" w:firstLineChars="200"/>
        <w:rPr>
          <w:rFonts w:hint="eastAsia" w:ascii="宋体" w:hAnsi="宋体" w:eastAsia="宋体" w:cs="宋体"/>
          <w:b w:val="0"/>
          <w:bCs w:val="0"/>
          <w:color w:val="0000FF"/>
          <w:kern w:val="0"/>
          <w:sz w:val="24"/>
          <w:lang w:val="en-US" w:eastAsia="zh-CN"/>
        </w:rPr>
      </w:pPr>
      <w:r>
        <w:rPr>
          <w:rFonts w:hint="eastAsia" w:ascii="宋体" w:hAnsi="宋体" w:eastAsia="宋体" w:cs="宋体"/>
          <w:b w:val="0"/>
          <w:bCs w:val="0"/>
          <w:color w:val="0000FF"/>
          <w:kern w:val="0"/>
          <w:sz w:val="24"/>
          <w:lang w:val="en-US" w:eastAsia="zh-CN"/>
        </w:rPr>
        <w:t>答疑：本项目整体建设同步落实绿色低碳、节能环保的建设管理要求，绿色工厂认证依据国家标准 GB/T 36132-2018 开展评价，是对制造商生产体系、节能降耗、环保管控、可持续生产能力的综合认可。该认证不仅体现企业综合管理水平，也反映产品全生命周期的绿色属性，与项目整体建设理念、长期使用管理要求高度相关。是契合项目绿色低碳的整体建设要求，用于综合考评制造商环保生产与综合管理能力。该认证面向所有企业开放申报，标准统一，并非刻意设置门槛限制竞争。本条款不作删除和修改，请大家按原文件执行。</w:t>
      </w:r>
    </w:p>
    <w:p>
      <w:pPr>
        <w:spacing w:line="360" w:lineRule="auto"/>
        <w:rPr>
          <w:rFonts w:ascii="宋体" w:hAnsi="宋体" w:eastAsia="宋体" w:cs="宋体"/>
          <w:color w:val="000000"/>
          <w:kern w:val="0"/>
          <w:sz w:val="24"/>
        </w:rPr>
      </w:pPr>
    </w:p>
    <w:p>
      <w:pPr>
        <w:spacing w:line="360" w:lineRule="auto"/>
        <w:rPr>
          <w:rFonts w:ascii="宋体" w:hAnsi="宋体" w:eastAsia="宋体"/>
          <w:sz w:val="24"/>
        </w:rPr>
      </w:pPr>
      <w:r>
        <w:rPr>
          <w:rFonts w:hint="eastAsia" w:ascii="宋体" w:hAnsi="宋体" w:eastAsia="宋体" w:cs="宋体"/>
          <w:color w:val="000000"/>
          <w:kern w:val="0"/>
          <w:sz w:val="24"/>
        </w:rPr>
        <w:t>十九、多媒体系统技术规范书；项目名称：南宁邕宁供电局2026年本部4楼多功能厅设备更新改造项目；4. 供货范围和技术要求；4.1 供货范围；2.11</w:t>
      </w:r>
      <w:r>
        <w:rPr>
          <w:rFonts w:ascii="宋体" w:hAnsi="宋体" w:eastAsia="宋体" w:cs="宋体"/>
          <w:color w:val="000000"/>
          <w:kern w:val="0"/>
          <w:sz w:val="24"/>
        </w:rPr>
        <w:t>直通箱</w:t>
      </w:r>
      <w:r>
        <w:rPr>
          <w:rFonts w:hint="eastAsia" w:ascii="宋体" w:hAnsi="宋体" w:eastAsia="宋体" w:cs="宋体"/>
          <w:color w:val="000000"/>
          <w:kern w:val="0"/>
          <w:sz w:val="24"/>
        </w:rPr>
        <w:t>；</w:t>
      </w:r>
      <w:r>
        <w:rPr>
          <w:rFonts w:hint="eastAsia" w:ascii="宋体" w:hAnsi="宋体" w:eastAsia="宋体"/>
          <w:sz w:val="24"/>
        </w:rPr>
        <w:t>6.投标产品制造商具有符合GB/T 39604标准的《社会责任管理体系认证证书》。（提供第三方认证机构颁发的在有效期内的证书扫描件或复印件、证书编号在全国认证认可信息公共服务平台的查询结果截图作为证明材料）</w:t>
      </w:r>
    </w:p>
    <w:p>
      <w:pPr>
        <w:spacing w:line="360" w:lineRule="auto"/>
        <w:ind w:firstLine="482" w:firstLineChars="200"/>
        <w:rPr>
          <w:rFonts w:hint="eastAsia" w:ascii="宋体" w:hAnsi="宋体" w:eastAsia="宋体" w:cs="宋体"/>
          <w:b w:val="0"/>
          <w:bCs w:val="0"/>
          <w:color w:val="0000FF"/>
          <w:kern w:val="0"/>
          <w:sz w:val="24"/>
          <w:lang w:val="en-US" w:eastAsia="zh-CN"/>
        </w:rPr>
      </w:pPr>
      <w:r>
        <w:rPr>
          <w:rFonts w:hint="eastAsia" w:ascii="宋体" w:hAnsi="宋体" w:eastAsia="宋体"/>
          <w:b/>
          <w:bCs/>
          <w:sz w:val="24"/>
        </w:rPr>
        <w:t>质疑问题：社会责任管理体系认证不属于音响会议类产品生产、销售的法定强制认证，有无该证书不影响产品质量、技术参数及项目履约能力。该体系认证属于企业综合管理类资质，与本次采购设备性能、使用需求无直接关联，额外增设无关评审门槛。条款限定特定标准认证，抬高投标准入条件，容易排斥众多合规潜在供应商，存在倾向性限制竞争，不符合招投标公平原则，建议删除本条资质要</w:t>
      </w:r>
      <w:r>
        <w:rPr>
          <w:rFonts w:hint="eastAsia" w:ascii="宋体" w:hAnsi="宋体" w:eastAsia="宋体" w:cs="宋体"/>
          <w:b w:val="0"/>
          <w:bCs w:val="0"/>
          <w:color w:val="0000FF"/>
          <w:kern w:val="0"/>
          <w:sz w:val="24"/>
          <w:lang w:val="en-US" w:eastAsia="zh-CN"/>
        </w:rPr>
        <w:t>求。</w:t>
      </w:r>
    </w:p>
    <w:p>
      <w:pPr>
        <w:spacing w:line="360" w:lineRule="auto"/>
        <w:ind w:firstLine="480" w:firstLineChars="200"/>
        <w:rPr>
          <w:rFonts w:hint="eastAsia" w:ascii="宋体" w:hAnsi="宋体" w:eastAsia="宋体" w:cs="宋体"/>
          <w:b w:val="0"/>
          <w:bCs w:val="0"/>
          <w:color w:val="0000FF"/>
          <w:kern w:val="0"/>
          <w:sz w:val="24"/>
          <w:lang w:val="en-US" w:eastAsia="zh-CN"/>
        </w:rPr>
      </w:pPr>
      <w:r>
        <w:rPr>
          <w:rFonts w:hint="eastAsia" w:ascii="宋体" w:hAnsi="宋体" w:eastAsia="宋体" w:cs="宋体"/>
          <w:b w:val="0"/>
          <w:bCs w:val="0"/>
          <w:color w:val="0000FF"/>
          <w:kern w:val="0"/>
          <w:sz w:val="24"/>
          <w:lang w:val="en-US" w:eastAsia="zh-CN"/>
        </w:rPr>
        <w:t>答疑：本次采购设备为大功率配电设备，负载高、工况要求严苛，设备供货、安装、现场运维及售后保障对供应商持续履约能力、规范管理水平、诚信经营意识要求较高。依据 GB/T 39604 的社会责任管理体系认证，是第三方机构对企业合规运营、用工管理、安全生产、风险管控、履约信用等综合管理能力的权威评价。该资质并非单纯企业荣誉，能够佐证制造商具备完善的内部管理体系，可有效保障批量产品品质稳定、项目全周期服务到位，与本项目履约保障、现场安全管理直接相关。本项认证执行国家标准 GB/T 39604，由具备合法资质的第三方认证机构开展评价，面向全行业市场主体公开、自愿申报，评审标准、办理流程全国统一，未限定企业品牌、规模、地域，无任何排他性、指向性设置。</w:t>
      </w:r>
    </w:p>
    <w:p>
      <w:pPr>
        <w:spacing w:line="360" w:lineRule="auto"/>
        <w:rPr>
          <w:rFonts w:hint="eastAsia" w:ascii="宋体" w:hAnsi="宋体" w:eastAsia="宋体"/>
          <w:b/>
          <w:bCs/>
          <w:sz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Arial Unicode MS"/>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等线 Light">
    <w:altName w:val="宋体"/>
    <w:panose1 w:val="02010600030101010101"/>
    <w:charset w:val="86"/>
    <w:family w:val="auto"/>
    <w:pitch w:val="default"/>
    <w:sig w:usb0="00000000" w:usb1="00000000" w:usb2="00000016" w:usb3="00000000" w:csb0="0004000F" w:csb1="00000000"/>
  </w:font>
  <w:font w:name="ˎ̥">
    <w:altName w:val="Times New Roman"/>
    <w:panose1 w:val="00000000000000000000"/>
    <w:charset w:val="00"/>
    <w:family w:val="roman"/>
    <w:pitch w:val="default"/>
    <w:sig w:usb0="00000000" w:usb1="00000000" w:usb2="00000000" w:usb3="00000000" w:csb0="00040001" w:csb1="0000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117D"/>
    <w:rsid w:val="000828EB"/>
    <w:rsid w:val="000C664B"/>
    <w:rsid w:val="002C4E05"/>
    <w:rsid w:val="00657ADD"/>
    <w:rsid w:val="00822E9C"/>
    <w:rsid w:val="008F2FCB"/>
    <w:rsid w:val="00A92A2B"/>
    <w:rsid w:val="00B909C2"/>
    <w:rsid w:val="00EA117D"/>
    <w:rsid w:val="47234106"/>
    <w:rsid w:val="5A4E59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5"/>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6"/>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7"/>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18"/>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19"/>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0"/>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1"/>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2"/>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3"/>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4">
    <w:name w:val="Default Paragraph Font"/>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styleId="11">
    <w:name w:val="Subtitle"/>
    <w:basedOn w:val="1"/>
    <w:next w:val="1"/>
    <w:link w:val="25"/>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2">
    <w:name w:val="Title"/>
    <w:basedOn w:val="1"/>
    <w:next w:val="1"/>
    <w:link w:val="24"/>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customStyle="1" w:styleId="15">
    <w:name w:val="标题 1 字符"/>
    <w:basedOn w:val="14"/>
    <w:link w:val="2"/>
    <w:qFormat/>
    <w:uiPriority w:val="9"/>
    <w:rPr>
      <w:rFonts w:asciiTheme="majorHAnsi" w:hAnsiTheme="majorHAnsi" w:eastAsiaTheme="majorEastAsia" w:cstheme="majorBidi"/>
      <w:color w:val="2F5597" w:themeColor="accent1" w:themeShade="BF"/>
      <w:sz w:val="48"/>
      <w:szCs w:val="48"/>
    </w:rPr>
  </w:style>
  <w:style w:type="character" w:customStyle="1" w:styleId="16">
    <w:name w:val="标题 2 字符"/>
    <w:basedOn w:val="14"/>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7">
    <w:name w:val="标题 3 字符"/>
    <w:basedOn w:val="14"/>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18">
    <w:name w:val="标题 4 字符"/>
    <w:basedOn w:val="14"/>
    <w:link w:val="5"/>
    <w:semiHidden/>
    <w:qFormat/>
    <w:uiPriority w:val="9"/>
    <w:rPr>
      <w:rFonts w:cstheme="majorBidi"/>
      <w:color w:val="2F5597" w:themeColor="accent1" w:themeShade="BF"/>
      <w:sz w:val="28"/>
      <w:szCs w:val="28"/>
    </w:rPr>
  </w:style>
  <w:style w:type="character" w:customStyle="1" w:styleId="19">
    <w:name w:val="标题 5 字符"/>
    <w:basedOn w:val="14"/>
    <w:link w:val="6"/>
    <w:semiHidden/>
    <w:qFormat/>
    <w:uiPriority w:val="9"/>
    <w:rPr>
      <w:rFonts w:cstheme="majorBidi"/>
      <w:color w:val="2F5597" w:themeColor="accent1" w:themeShade="BF"/>
      <w:sz w:val="24"/>
    </w:rPr>
  </w:style>
  <w:style w:type="character" w:customStyle="1" w:styleId="20">
    <w:name w:val="标题 6 字符"/>
    <w:basedOn w:val="14"/>
    <w:link w:val="7"/>
    <w:semiHidden/>
    <w:qFormat/>
    <w:uiPriority w:val="9"/>
    <w:rPr>
      <w:rFonts w:cstheme="majorBidi"/>
      <w:b/>
      <w:bCs/>
      <w:color w:val="2F5597" w:themeColor="accent1" w:themeShade="BF"/>
    </w:rPr>
  </w:style>
  <w:style w:type="character" w:customStyle="1" w:styleId="21">
    <w:name w:val="标题 7 字符"/>
    <w:basedOn w:val="14"/>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2">
    <w:name w:val="标题 8 字符"/>
    <w:basedOn w:val="14"/>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3">
    <w:name w:val="标题 9 字符"/>
    <w:basedOn w:val="14"/>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4">
    <w:name w:val="标题 字符"/>
    <w:basedOn w:val="14"/>
    <w:link w:val="12"/>
    <w:qFormat/>
    <w:uiPriority w:val="10"/>
    <w:rPr>
      <w:rFonts w:asciiTheme="majorHAnsi" w:hAnsiTheme="majorHAnsi" w:eastAsiaTheme="majorEastAsia" w:cstheme="majorBidi"/>
      <w:spacing w:val="-10"/>
      <w:kern w:val="28"/>
      <w:sz w:val="56"/>
      <w:szCs w:val="56"/>
    </w:rPr>
  </w:style>
  <w:style w:type="character" w:customStyle="1" w:styleId="25">
    <w:name w:val="副标题 字符"/>
    <w:basedOn w:val="14"/>
    <w:link w:val="11"/>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6">
    <w:name w:val="Quote"/>
    <w:basedOn w:val="1"/>
    <w:next w:val="1"/>
    <w:link w:val="27"/>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27">
    <w:name w:val="引用 字符"/>
    <w:basedOn w:val="14"/>
    <w:link w:val="26"/>
    <w:qFormat/>
    <w:uiPriority w:val="29"/>
    <w:rPr>
      <w:i/>
      <w:iCs/>
      <w:color w:val="404040" w:themeColor="text1" w:themeTint="BF"/>
      <w14:textFill>
        <w14:solidFill>
          <w14:schemeClr w14:val="tx1">
            <w14:lumMod w14:val="75000"/>
            <w14:lumOff w14:val="25000"/>
          </w14:schemeClr>
        </w14:solidFill>
      </w14:textFill>
    </w:rPr>
  </w:style>
  <w:style w:type="paragraph" w:styleId="28">
    <w:name w:val="List Paragraph"/>
    <w:basedOn w:val="1"/>
    <w:qFormat/>
    <w:uiPriority w:val="34"/>
    <w:pPr>
      <w:ind w:left="720"/>
      <w:contextualSpacing/>
    </w:pPr>
  </w:style>
  <w:style w:type="character" w:customStyle="1" w:styleId="29">
    <w:name w:val="Intense Emphasis"/>
    <w:basedOn w:val="14"/>
    <w:qFormat/>
    <w:uiPriority w:val="21"/>
    <w:rPr>
      <w:i/>
      <w:iCs/>
      <w:color w:val="2F5597" w:themeColor="accent1" w:themeShade="BF"/>
    </w:rPr>
  </w:style>
  <w:style w:type="paragraph" w:styleId="30">
    <w:name w:val="Intense Quote"/>
    <w:basedOn w:val="1"/>
    <w:next w:val="1"/>
    <w:link w:val="31"/>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1">
    <w:name w:val="明显引用 字符"/>
    <w:basedOn w:val="14"/>
    <w:link w:val="30"/>
    <w:qFormat/>
    <w:uiPriority w:val="30"/>
    <w:rPr>
      <w:i/>
      <w:iCs/>
      <w:color w:val="2F5597" w:themeColor="accent1" w:themeShade="BF"/>
    </w:rPr>
  </w:style>
  <w:style w:type="character" w:customStyle="1" w:styleId="32">
    <w:name w:val="Intense Reference"/>
    <w:basedOn w:val="14"/>
    <w:qFormat/>
    <w:uiPriority w:val="32"/>
    <w:rPr>
      <w:b/>
      <w:bCs/>
      <w:smallCaps/>
      <w:color w:val="2F5597" w:themeColor="accent1" w:themeShade="BF"/>
      <w:spacing w:val="5"/>
    </w:rPr>
  </w:style>
  <w:style w:type="paragraph" w:customStyle="1" w:styleId="33">
    <w:name w:val=" Char"/>
    <w:basedOn w:val="1"/>
    <w:qFormat/>
    <w:uiPriority w:val="0"/>
    <w:pPr>
      <w:widowControl/>
      <w:spacing w:before="100" w:beforeAutospacing="1" w:after="100" w:afterAutospacing="1" w:line="330" w:lineRule="atLeast"/>
      <w:ind w:left="360"/>
    </w:pPr>
    <w:rPr>
      <w:rFonts w:ascii="ˎ̥" w:hAnsi="ˎ̥" w:eastAsia="宋体" w:cs="宋体"/>
      <w:color w:val="51585D"/>
      <w:kern w:val="0"/>
      <w:sz w:val="24"/>
      <w:szCs w:val="18"/>
      <w14:ligatures w14:val="non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887</Words>
  <Characters>5059</Characters>
  <Lines>42</Lines>
  <Paragraphs>11</Paragraphs>
  <TotalTime>0</TotalTime>
  <ScaleCrop>false</ScaleCrop>
  <LinksUpToDate>false</LinksUpToDate>
  <CharactersWithSpaces>5935</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2026-05-25T07:49:00Z</dcterms:created>
  <dc:creator>china-01</dc:creator>
  <cp:lastModifiedBy>4B05DFABB1A548458120C2E44F292C2A</cp:lastModifiedBy>
  <dcterms:modified xsi:type="dcterms:W3CDTF">2026-05-26T07:22:14Z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584930AC879B4304B9818C58ABB6339A</vt:lpwstr>
  </property>
</Properties>
</file>