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overflowPunct w:val="0"/>
        <w:spacing w:line="673" w:lineRule="exact"/>
        <w:ind w:left="203"/>
        <w:jc w:val="center"/>
        <w:outlineLvl w:val="1"/>
        <w:rPr>
          <w:rFonts w:hint="eastAsia" w:ascii="华文中宋" w:hAnsi="华文中宋" w:eastAsia="华文中宋" w:cs="华文中宋"/>
          <w:b/>
          <w:bCs/>
          <w:color w:val="FF000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color w:val="FF0000"/>
          <w:sz w:val="28"/>
          <w:szCs w:val="28"/>
          <w:lang w:val="en-US" w:eastAsia="zh-CN"/>
        </w:rPr>
        <w:t>答复</w:t>
      </w:r>
      <w:r>
        <w:rPr>
          <w:rFonts w:hint="eastAsia" w:ascii="华文中宋" w:hAnsi="华文中宋" w:eastAsia="华文中宋" w:cs="华文中宋"/>
          <w:b/>
          <w:bCs/>
          <w:color w:val="FF0000"/>
          <w:sz w:val="28"/>
          <w:szCs w:val="28"/>
        </w:rPr>
        <w:t>函</w:t>
      </w:r>
    </w:p>
    <w:p>
      <w:pPr>
        <w:spacing w:line="360" w:lineRule="auto"/>
        <w:jc w:val="left"/>
        <w:rPr>
          <w:rFonts w:hint="default" w:ascii="宋体" w:hAnsi="宋体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致：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投标供应商（贵方）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b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贵方</w:t>
      </w:r>
      <w:r>
        <w:rPr>
          <w:rFonts w:hint="eastAsia" w:ascii="宋体" w:hAnsi="宋体" w:eastAsia="宋体" w:cs="Times New Roman"/>
          <w:sz w:val="24"/>
          <w:szCs w:val="24"/>
        </w:rPr>
        <w:t>报名参与了项目名称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>：广西电网公司2026年第二批省级物资集中公开招标项目</w:t>
      </w:r>
      <w:r>
        <w:rPr>
          <w:rFonts w:hint="eastAsia" w:ascii="宋体" w:hAnsi="宋体" w:eastAsia="宋体" w:cs="Times New Roman"/>
          <w:bCs/>
          <w:sz w:val="24"/>
          <w:szCs w:val="24"/>
        </w:rPr>
        <w:t>标的：</w:t>
      </w:r>
      <w:r>
        <w:rPr>
          <w:rFonts w:ascii="宋体" w:hAnsi="宋体" w:eastAsia="宋体" w:cs="Times New Roman"/>
          <w:b/>
          <w:sz w:val="24"/>
          <w:szCs w:val="24"/>
          <w:u w:val="single"/>
        </w:rPr>
        <w:t xml:space="preserve">LED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>大屏幕</w:t>
      </w:r>
      <w:r>
        <w:rPr>
          <w:rFonts w:hint="eastAsia" w:ascii="宋体" w:hAnsi="宋体" w:eastAsia="宋体" w:cs="Times New Roman"/>
          <w:b/>
          <w:sz w:val="24"/>
          <w:szCs w:val="24"/>
        </w:rPr>
        <w:t>。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并质疑技术规范书中</w:t>
      </w:r>
      <w:r>
        <w:rPr>
          <w:rFonts w:hint="eastAsia" w:ascii="宋体" w:hAnsi="宋体" w:eastAsia="宋体" w:cs="Times New Roman"/>
          <w:sz w:val="24"/>
          <w:szCs w:val="24"/>
        </w:rPr>
        <w:t>明显倾向性、不合理性，排斥潜在投标人的条件，现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就</w:t>
      </w:r>
      <w:r>
        <w:rPr>
          <w:rFonts w:hint="eastAsia" w:ascii="宋体" w:hAnsi="宋体" w:eastAsia="宋体" w:cs="Times New Roman"/>
          <w:sz w:val="24"/>
          <w:szCs w:val="24"/>
        </w:rPr>
        <w:t>本着公开、公平、公正的原则进行答复。</w:t>
      </w:r>
    </w:p>
    <w:p>
      <w:pPr>
        <w:spacing w:line="360" w:lineRule="auto"/>
        <w:ind w:firstLine="420" w:firstLineChars="200"/>
        <w:jc w:val="left"/>
        <w:rPr>
          <w:rFonts w:hint="eastAsia"/>
        </w:rPr>
      </w:pP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red"/>
        </w:rPr>
        <w:t>四、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新电力集团融水供电公司2026年视频会议设备购置项目显示设备大屏（LED小间距拼接屏）技术规范书质疑以下条款：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贵方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质疑条款1：LED显示单元：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3.▲支持信源接入状态显示,可通过物理按键、客户端、遥控器、设备自带Web浏览器进行信源切换。（提供首页具有CNAS及CMA标识的第三方检测报告复印件并加盖厂家公章）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▲支持通过Web浏览器查看LED整墙的概览信息和LED屏连线状态;支持查看行列网格展示屏幕接收卡规模,在Web端鼠标移到网格上时,可展示该网格所属网口的所有接收卡单元并高亮展示,可展示网线连线顺序、网口号、工作状态。（提供首页具有CNAS及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5.▲支持从客户端、设备自带Web浏览器查看绑定的接收卡序号、接收卡型号、接收卡软件版本、网口link状态、接收卡电压、接收卡温度。（提供首页具有CNAS及CMA标识的第三方检测报告复印件并加盖厂家公章）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8.依据“SJ/T11590-2016”标准从显示屏正面分别观察高速行驶中的汽车车牌、奔跑中的运动员面容，图像清晰无拖影、能识别车牌号及运动员面部特征。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9.依据“SJ/T11590-2016”标准观察显示屏正面及侧面人的肤色、蓝天、白云、红旗，绿草地各种图案无偏色。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10.依据“SJ/T11590-2016”标准从正面及侧面分别观察亮度及色度，无马赛克现象、无灰尘效应。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11.▲LED制造商应具有较强的实验室检测能力，具备灯和灯系统的光生物安全性GB/T20145-2006标准的测试能力。（提供国家认可的中心实验室认证证书复印件及体现检测范围内容项）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12.在同一局域网段/级联模式下，支持通过LED客户端发现该网络下的所有在线设备，并能展示设备ip、端口、网关、型号、序列号、软件版本号等信息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质疑理由1：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1.该项限定物理按键、客户端、遥控器、Web 端四种固定切换方式，属于针对性定制参数，市面多数合规 LED 显示单元仅标配常用切换途径即可满足使用，强制限定四类操作入口，无实际刚需，涉嫌量身设限，排斥通用合格产品。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2.Web 端网格悬浮高亮、网线顺序、网口状态精细化可视化展示，属于非基础必备运维功能，日常大屏管控无需此类精细弹窗展示逻辑，参数设定过于细化，指向特定品牌独有功能，存在排他倾向性。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逐项读取接收卡序号、型号、版本、电压、温度等全维度明细数据，超出项目基础运维需求，属于品牌专属深度查询功能，通用设备无需全部适配，参数定制化明显，限制其他品牌正常投标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4.将厂家自有实验室资质作为硬性准入条件，并非产品本身质量指标，变相抬高企业门槛，中小合规厂商无法满足，涉嫌排斥潜在投标人。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5.局域网自动发现并展示全套 IP、网关、序列号、版本等全部字段信息，属于特定管控软件专属功能，不属于 LED 显示单元通用基础性能，参数定制化特征显著，不利于充分市场竞争。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6.以上参数指标强行绑定带 CNAS、CMA 标识盖章报告，资质要求与常规产品功能验收不匹配，设置不合理壁垒。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我司通过市场调研以上参数能满足的仅有海康威视品牌，综上所述以上参数明显是以不合理条件限制排斥优秀厂家参与投标，建议删除以上参数。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贵方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质疑条款2：LED控制器：</w:t>
      </w:r>
    </w:p>
    <w:p>
      <w:pPr>
        <w:spacing w:line="360" w:lineRule="auto"/>
        <w:ind w:firstLine="44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hAnsi="宋体" w:cs="宋体"/>
          <w:color w:val="000000"/>
          <w:kern w:val="0"/>
          <w:sz w:val="22"/>
          <w:lang w:bidi="ar"/>
        </w:rPr>
        <w:t>1.</w:t>
      </w:r>
      <w:r>
        <w:rPr>
          <w:rFonts w:hint="eastAsia" w:ascii="宋体" w:hAnsi="宋体" w:eastAsia="宋体" w:cs="Times New Roman"/>
          <w:sz w:val="24"/>
          <w:szCs w:val="24"/>
        </w:rPr>
        <w:t>输入接口：具有3个HDMI1.4输入接口、1个USB2.0输入接口、1个DEBUG接口、2个网络通信网口、1个RS485接口、1个IRIN；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2.输出接口：具有1个3.5mmLineout输出接口、6个带载网口、1个HDMI1.4(Monitor)输出接口，具有1个开关按键、3个功能按键。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▲具有2个控制网口，支持TCP/IP网络协议，双网口均可用于控制设备或设备网络级联，其中一个接口用于控制设备时，另外一个网口就用于设备网络级联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支持3路HDMI1.4，通过HDMI输入视频图像尺寸260w@60Hz的视频进行展示；支持通过HDMI输入极限高度4096的视频进行展示，支持通过HDMI输入极限宽度4096的视频进行展示，支持HDCP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5.单网口带载支持65W像素，设备总带载支持390W像素。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6.▲支持通过设备自带Web浏览器、客户端、遥控器操作，支持对图像的亮度、色温以及图像模式进行调节设置。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7.▲支持亮度调节，可通过LED显示屏客户端、遥控器、物理按键进行亮度调节。（提供首页具有CNAS或CMA标识的第三方检测报告复印件并加盖厂家公章）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8.支持红绿蓝三色多级调节。支持通过客户端、遥控器进行调节。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9.支持动态节能算法，开启动态节能算法后，相同显示内容屏幕功耗降低30%。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10.▲设备支持通过客户端、Web浏览器对屏幕红、绿、蓝、白、条纹逐行扫描进行自检操作。（提供首页具有CNAS或CMA标识的第三方检测报告复印件并加盖厂家公章）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11.▲可通过设备自带客户端、遥控器同时控制多台发送卡设备参数的调节。（提供首页具有CNAS或CMA标识的第三方检测报告复印件并加盖厂家公章）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12.▲支持设备自带Web浏览器、PC客户端、遥控器、物理按键进行控制。（提供首页具有CNAS或CMA标识的第三方检测报告复印件并加盖厂家公章）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13.▲支持手动校时，支持NTP校时。（提供首页具有CNAS或CMA标识的第三方检测报告复印件并加盖厂家公章）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14.▲支持通过HDMI线直接传递分辨率信息实现输出分辨率配置、序列号。（提供首页具有CNAS或CMA标识的第三方检测报告复印件并加盖厂家公章）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15.▲支持通过Web查看屏幕连线正常、发送卡掉线、电压电流异常等状态。（提供首页具有CNAS或CMA标识的第三方检测报告复印件并加盖厂家公章）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16.支持通过RS485接口与中控设备进行对接。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17.▲支持通过网络IP地址登录设备，查看发送卡IP地址、序列号、带载屏幕分辨率、运行状态、软件版本、运行温度、内存使用率、网口利用率情况等信息，在超过设定的运行限制时和发送卡组件异常等异常状态会进行报警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18.▲支持通过登录主设备，查看主发送卡下所有级联从发送卡的屏幕位置、发送卡IP地址、序列号、带载屏幕分辨率、运行状态、软件版本、运行温度内存使用率等信息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19.▲支持在级联模式下，可以在同一界面下支持查看多发送卡下LED整墙的概览信息和LED屏连线状态;支持查看行列网格展示屏幕接收卡规模、在Web端鼠标移到网格上时，可展示该网格所属网口的所有接收卡单元，高亮展示，展示网线连线顺序，网口号，展示工作状态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20.▲支持从客户端、设备自带Web浏览器查看与绑定的接收卡的序号、接收卡型号、接收卡软件版本、网口link状态、接收卡电压、接收卡温度，状态显示正常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21.支持3路信号源同时上墙显示。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22.▲支持标准带载模式，该模式下单网口最大支持带载292.5W像素点。（提供首页具有CNAS或CMA标识的第三方检测报告复印件并加盖厂家公章）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23.▲支持带载模式切换，支持在客户端、web端进行迷你带载模式和标准带载模式的切换，功能响应正常。（提供首页具有CNAS或CMA标识的第三方检测报告复印件并加盖厂家公章）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24.支持LED屏幕带载无矩形框架限制。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25.可将输入信号进行缩放，以匹配LED的分辨率进行输出。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质疑理由2：</w:t>
      </w:r>
      <w:r>
        <w:rPr>
          <w:rFonts w:hint="eastAsia" w:ascii="宋体" w:hAnsi="宋体" w:eastAsia="宋体" w:cs="Times New Roman"/>
          <w:sz w:val="24"/>
          <w:szCs w:val="24"/>
        </w:rPr>
        <w:t>1.多项接口数量、功能模式、控制方式做固定数值与种类限定，远超项目实际使用刚需，参数贴合特定产品特性，存在量身定制、排他倾向性。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2.大量普通附加功能、基础运维功能，统一强制要求提供带 CNAS、CMA 标识且加盖公章的第三方检测报告，无端增加投标资料成本与准入门槛，限制合格供应商参与竞争。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 我司通过市场调研以上参数能满足的仅有海康威视品牌，综上所述以上参数明显是以不合理条件限制排斥优秀厂家参与投标，</w:t>
      </w:r>
      <w:r>
        <w:rPr>
          <w:rFonts w:ascii="宋体" w:hAnsi="宋体" w:eastAsia="宋体" w:cs="宋体"/>
          <w:sz w:val="24"/>
          <w:szCs w:val="24"/>
        </w:rPr>
        <w:t>建议删除非刚需定制化限定条款，取消普通功能绑定专项检测报告的不合理要求，放宽通用适配参数，保障招投标公平性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以上参数建议改为：</w:t>
      </w:r>
    </w:p>
    <w:p>
      <w:pPr>
        <w:spacing w:line="360" w:lineRule="auto"/>
        <w:ind w:firstLine="44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hAnsi="宋体" w:cs="宋体"/>
          <w:color w:val="000000"/>
          <w:kern w:val="0"/>
          <w:sz w:val="22"/>
          <w:lang w:bidi="ar"/>
        </w:rPr>
        <w:t>1.</w:t>
      </w:r>
      <w:r>
        <w:rPr>
          <w:rFonts w:hint="eastAsia" w:ascii="宋体" w:hAnsi="宋体" w:eastAsia="宋体" w:cs="Times New Roman"/>
          <w:sz w:val="24"/>
          <w:szCs w:val="24"/>
        </w:rPr>
        <w:t>输入接口：具有3个HDMI输入接口、1个USB输入接口；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2.输出接口：6个带载网口。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3.单网口带载支持65W像素，设备总带载支持390W像素。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4.支持通过设备自带Web浏览器、客户端、遥控器操作，支持对图像的亮度、色温以及图像模式进行调节设置。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5.支持通过RS485接口与中控设备进行对接。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6.支持3路信号源同时上墙显示。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7.支持LED屏幕带载无矩形框架限制。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8.可将输入信号进行缩放，以匹配LED的分辨率进行输出。</w:t>
      </w:r>
    </w:p>
    <w:p>
      <w:pPr>
        <w:pStyle w:val="2"/>
        <w:jc w:val="left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CN"/>
        </w:rPr>
        <w:t>我方回复意见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：同意修改为：</w:t>
      </w:r>
    </w:p>
    <w:p>
      <w:pPr>
        <w:spacing w:line="360" w:lineRule="auto"/>
        <w:ind w:firstLine="440" w:firstLineChars="200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hAnsi="宋体" w:cs="宋体"/>
          <w:b/>
          <w:bCs/>
          <w:color w:val="FF0000"/>
          <w:kern w:val="0"/>
          <w:sz w:val="22"/>
          <w:lang w:bidi="ar"/>
        </w:rPr>
        <w:t>1.</w:t>
      </w: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输入接口：具有3个HDMI输入接口、1个USB输入接口；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2.输出接口：6个带载网口。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3.单网口带载支持65W像素，设备总带载支持390W像素。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4.支持通过设备自带Web浏览器、客户端、遥控器操作，支持对图像的亮度、色温以及图像模式进行调节设置。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5.支持通过RS485接口与中控设备进行对接。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6.支持3路信号源同时上墙显示。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7.支持LED屏幕带载无矩形框架限制。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8.可将输入信号进行缩放，以匹配LED的分辨率进行输出。</w:t>
      </w:r>
    </w:p>
    <w:p>
      <w:pPr>
        <w:pStyle w:val="2"/>
        <w:jc w:val="left"/>
        <w:rPr>
          <w:rFonts w:hint="default" w:eastAsia="宋体"/>
          <w:lang w:val="en-US" w:eastAsia="zh-CN"/>
        </w:rPr>
      </w:pPr>
      <w:r>
        <w:rPr>
          <w:rFonts w:hint="eastAsia" w:ascii="宋体" w:hAnsi="宋体" w:cs="Times New Roman"/>
          <w:b/>
          <w:bCs/>
          <w:color w:val="FF0000"/>
          <w:sz w:val="24"/>
          <w:szCs w:val="24"/>
          <w:lang w:val="en-US" w:eastAsia="zh-CN"/>
        </w:rPr>
        <w:t>备注：以上参数仅为产品最低参数配置要求，我方不限制供应商提供优于该技术参数的同类产品。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red"/>
        </w:rPr>
        <w:t>五、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新电力集团融水供电公司2026年视频会议设备购置项目显示设备大屏（LED小间距拼接屏）技术规范书质疑以下条款：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贵方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质疑条款1：</w:t>
      </w:r>
      <w:r>
        <w:rPr>
          <w:rFonts w:hint="eastAsia" w:ascii="宋体" w:hAnsi="宋体" w:eastAsia="宋体" w:cs="Times New Roman"/>
          <w:sz w:val="24"/>
          <w:szCs w:val="24"/>
        </w:rPr>
        <w:t>LED显示单元：3.▲支持信源接入状态显示,可通过物理按键、客户端、遥控器、设备自带Web浏览器进行信源切换。（提供首页具有CNAS及CMA标识的第三方检测报告复印件并加盖厂家公章）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▲支持通过Web浏览器查看LED整墙的概览信息和LED屏连线状态;支持查看行列网格展示屏幕接收卡规模,在Web端鼠标移到网格上时,可展示该网格所属网口的所有接收卡单元并高亮展示,可展示网线连线顺序、网口号、工作状态。（提供首页具有CNAS及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5.▲支持从客户端、设备自带Web浏览器查看绑定的接收卡序号、接收卡型号、接收卡软件版本、网口link状态、接收卡电压、接收卡温度。（提供首页具有CNAS及CMA标识的第三方检测报告复印件并加盖厂家公章）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11.▲LED制造商应具有较强的实验室检测能力，具备灯和灯系统的光生物安全性GB/T20145-2006标准的测试能力。（提供国家认可的中心实验室认证证书复印件及体现检测范围内容项）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12.在同一局域网段/级联模式下，支持通过LED客户端发现该网络下的所有在线设备，并能展示设备ip、端口、网关、型号、序列号、软件版本号等信息（提供首页具有CNAS及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质疑理由1：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1.该项限定物理按键、客户端、遥控器、Web 端四种固定切换方式，属于针对性定制参数，市面多数合规 LED 显示单元仅标配常用切换途径即可满足使用，强制限定四类操作入口，无实际刚需，涉嫌量身设限，排斥通用合格产品。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2.Web 端网格悬浮高亮、网线顺序、网口状态精细化可视化展示，属于非基础必备运维功能，日常大屏管控无需此类精细弹窗展示逻辑，参数设定过于细化，指向特定品牌独有功能，存在排他倾向性。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3.逐项读取接收卡序号、型号、版本、电压、温度等全维度明细数据，超出项目基础运维需求，属于品牌专属深度查询功能，通用设备无需全部适配，参数定制化明显，限制其他品牌正常投标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4.将厂家自有实验室资质作为硬性准入条件，并非产品本身质量指标，变相抬高企业门槛，中小合规厂商无法满足，涉嫌排斥潜在投标人。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5.局域网自动发现并展示全套 IP、网关、序列号、版本等全部字段信息，属于特定管控软件专属功能，不属于 LED 显示单元通用基础性能，参数定制化特征显著，不利于充分市场竞争。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6.以上参数指标强行绑定带 CNAS、CMA 标识盖章报告，资质要求与常规产品功能验收不匹配，设置不合理壁垒。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我司通过市场调研以上参数能满足的仅有海康威视品牌，综上所述以上参数明显是以不合理条件限制排斥优秀厂家参与投标，建议删除以上参数。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贵方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质疑条款2：LED控制器：</w:t>
      </w:r>
      <w:r>
        <w:rPr>
          <w:rFonts w:hint="eastAsia" w:ascii="宋体" w:hAnsi="宋体" w:eastAsia="宋体" w:cs="Times New Roman"/>
          <w:sz w:val="24"/>
          <w:szCs w:val="24"/>
        </w:rPr>
        <w:t>1.输入接口：具有3个HDMI2.0（4K）接口、1个DP1.2接口、4个HDMI1.3（2K）接口、1个USB2.0接口、1个CONSOLE接口、2个控制网口、2个RS485接口、1个LINEIN接口；输出接口：3个HDMI2.0Loop输出接口、1个LineOut接口，16个带载网口，1个HDMI1.3（Monitor）输出接口。4个10G万兆光口输出。1个3D接口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2.▲设备前端具有1个USB2.0口，接口传输响应正常。（提供首页具有CNAS、CMA标识的第三方检测报告复印件并加盖厂家公章）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3.▲设备具备2路RS485接口，接口通讯响应正常。（提供首页具有CNAS、CMA标识的第三方检测报告复印件并加盖厂家公章）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4.▲设备支持HDMI2.0环通输出，支持最大分辨4096×2160@60Hz。（提供首页具有CNAS、CMA标识的第三方检测报告复印件并加盖厂家公章）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5.设备支持设置护眼模式并生效。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6.▲设备支持通过WEB端查看输入信号源的实时网络预览。（提供首页具有CNAS、CMA标识的第三方检测报告复印件并加盖厂家公章）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7.▲设备支持通过WEB端查看输出画面的完整实时网络预览。（提供首页具有CNAS、CMA标识的第三方检测报告复印件并加盖厂家公章）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8.▲设备支持通过客户端和设备自带WEB浏览器进行多台设备同时远程重启操作，响应正常。（提供首页具有CNAS、CMA标识的第三方检测报告复印件并加盖厂家公章）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9.▲设备支持设置多种显示模式，具体包括常规、文稿、广告、视讯、HDR、影院、安防、自定义模式。（提供首页具有CNAS、CMA标识的第三方检测报告复印件并加盖厂家公章）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10.▲支持设备自带WEB浏览器、PC客户端、遥控器、物理按键进行控制。（提供首页具有CNAS、CMA标识的第三方检测报告复印件并加盖厂家公章）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11.▲设备支持手动打开/关闭自动除湿功能。（提供首页具有CNAS、CMA标识的第三方检测报告复印件并加盖厂家公章）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12.设备支持通过WEB端查看屏幕连线正常、发送卡掉线、电压电流异常等状态。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13.▲设备支持从云端加载屏幕配置文件。（提供首页具有CNAS、CMA标识的第三方检测报告复印件并加盖厂家公章）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14.▲设备支持从云端加载校正文件。（提供首页具有CNAS、CMA标识的第三方检测报告复印件并加盖厂家公章）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15.▲设备支持通过网络IP地址登录，可查看发送卡IP地址、序列号、带载屏幕分辨率、运行状态、软件版本、运行温度、内存使用率、网口利用率情况等信息，在超过设定的运行限制时和发送卡组件异常等异常状态会进行报警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16.▲设备支持从客户端、设备自带WEB浏览器查看与绑定的接收卡的序号、接收卡型号、接收卡软件版本、网口link状态、接收卡电压、接收卡温度信息，状态显示正常。（提供首页具有CNAS、CMA标识的第三方检测报告复印件并加盖厂家公章）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17.设备支持10个窗口任意布局，包括7个信源窗口、2个图文窗口、1个字幕窗口。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质疑理由2：</w:t>
      </w:r>
      <w:r>
        <w:rPr>
          <w:rFonts w:hint="eastAsia" w:ascii="宋体" w:hAnsi="宋体" w:eastAsia="宋体" w:cs="Times New Roman"/>
          <w:sz w:val="24"/>
          <w:szCs w:val="24"/>
        </w:rPr>
        <w:t>1.多项接口数量、功能模式、控制方式做固定数值与种类限定，远超项目实际使用刚需，参数贴合特定产品特性，存在量身定制、排他倾向性。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2.大量普通附加功能、基础运维功能，统一强制要求提供带 CNAS、CMA 标识且加盖公章的第三方检测报告，无端增加投标资料成本与准入门槛，限制合格供应商参与竞争。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3.云端加载、多端同步管控、全维度硬件明细查询等均为小众定制功能，不属于 LED 设备通用标配性能，指标设置不合理，不利于充分市场比价选型。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 我司通过市场调研以上参数能满足的仅有海康威视品牌（型号：DS-DT90V-09HDPSI16NO/U），综上所述以上参数明显是以不合理条件限制排斥优秀厂家参与投标，</w:t>
      </w:r>
      <w:r>
        <w:rPr>
          <w:rFonts w:ascii="宋体" w:hAnsi="宋体" w:eastAsia="宋体" w:cs="宋体"/>
          <w:sz w:val="24"/>
          <w:szCs w:val="24"/>
        </w:rPr>
        <w:t>建议删除非刚需定制化限定条款，取消普通功能绑定专项检测报告的不合理要求，放宽通用适配参数，保障招投标公平性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以上参数建议改为：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</w:t>
      </w:r>
      <w:r>
        <w:rPr>
          <w:rFonts w:ascii="宋体" w:hAnsi="宋体" w:eastAsia="宋体" w:cs="Times New Roman"/>
          <w:sz w:val="24"/>
          <w:szCs w:val="24"/>
        </w:rPr>
        <w:t>、输入接口至少包含1路HDMI2.0，1路DP1.2，4路HDMI1.3，1路USB3.0，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</w:t>
      </w:r>
      <w:r>
        <w:rPr>
          <w:rFonts w:ascii="宋体" w:hAnsi="宋体" w:eastAsia="宋体" w:cs="Times New Roman"/>
          <w:sz w:val="24"/>
          <w:szCs w:val="24"/>
        </w:rPr>
        <w:t>、视频输出支持可达16路千兆网口输出，最大带载可达1040万像素，最宽支持16384,最高8192。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</w:t>
      </w:r>
      <w:r>
        <w:rPr>
          <w:rFonts w:ascii="宋体" w:hAnsi="宋体" w:eastAsia="宋体" w:cs="Times New Roman"/>
          <w:sz w:val="24"/>
          <w:szCs w:val="24"/>
        </w:rPr>
        <w:t>、音频输入支持视频口伴随音频输入及独立输入两种模式，音频输出支持网口扩展输出及3.5mm独立音频口输出；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</w:t>
      </w:r>
      <w:r>
        <w:rPr>
          <w:rFonts w:ascii="宋体" w:hAnsi="宋体" w:eastAsia="宋体" w:cs="Times New Roman"/>
          <w:sz w:val="24"/>
          <w:szCs w:val="24"/>
        </w:rPr>
        <w:t>、图层能力：支持不少于12个2K图层或6个4K*1K图层或3个4K*2K图层，全部图层大小和位置可单独调节。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</w:t>
      </w:r>
      <w:r>
        <w:rPr>
          <w:rFonts w:ascii="宋体" w:hAnsi="宋体" w:eastAsia="宋体" w:cs="Times New Roman"/>
          <w:sz w:val="24"/>
          <w:szCs w:val="24"/>
        </w:rPr>
        <w:t>、支持通过上位机软件实现对显示屏的连接，控制，包括：输入源切换，窗口位置及大小调节，分辨率自定义等；</w:t>
      </w:r>
    </w:p>
    <w:p>
      <w:p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6</w:t>
      </w:r>
      <w:r>
        <w:rPr>
          <w:rFonts w:ascii="宋体" w:hAnsi="宋体" w:eastAsia="宋体" w:cs="Times New Roman"/>
          <w:sz w:val="24"/>
          <w:szCs w:val="24"/>
        </w:rPr>
        <w:t>、支持多种大屏 OSD 功能:图片、滚动宇幕(横向、竖向)、天气预报、时钟等，支持字体间距、颜色、位置、不透明度、滚动速度等参数设置，支持任意比例缩放；</w:t>
      </w:r>
    </w:p>
    <w:p>
      <w:pPr>
        <w:pStyle w:val="2"/>
        <w:jc w:val="left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CN"/>
        </w:rPr>
        <w:t>我方回复意见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>：同意修改为：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1</w:t>
      </w:r>
      <w:r>
        <w:rPr>
          <w:rFonts w:ascii="宋体" w:hAnsi="宋体" w:eastAsia="宋体" w:cs="Times New Roman"/>
          <w:b/>
          <w:bCs/>
          <w:color w:val="FF0000"/>
          <w:sz w:val="24"/>
          <w:szCs w:val="24"/>
        </w:rPr>
        <w:t>、输入接口至少包含1路HDMI2.0，1路DP1.2，4路HDMI1.3，1路USB3.0，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2</w:t>
      </w:r>
      <w:r>
        <w:rPr>
          <w:rFonts w:ascii="宋体" w:hAnsi="宋体" w:eastAsia="宋体" w:cs="Times New Roman"/>
          <w:b/>
          <w:bCs/>
          <w:color w:val="FF0000"/>
          <w:sz w:val="24"/>
          <w:szCs w:val="24"/>
        </w:rPr>
        <w:t>、视频输出支持可达16路千兆网口输出，最大带载可达1040万像素，最宽支持16384,最高8192。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3</w:t>
      </w:r>
      <w:r>
        <w:rPr>
          <w:rFonts w:ascii="宋体" w:hAnsi="宋体" w:eastAsia="宋体" w:cs="Times New Roman"/>
          <w:b/>
          <w:bCs/>
          <w:color w:val="FF0000"/>
          <w:sz w:val="24"/>
          <w:szCs w:val="24"/>
        </w:rPr>
        <w:t>、音频输入支持视频口伴随音频输入及独立输入两种模式，音频输出支持网口扩展输出及3.5mm独立音频口输出；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4</w:t>
      </w:r>
      <w:r>
        <w:rPr>
          <w:rFonts w:ascii="宋体" w:hAnsi="宋体" w:eastAsia="宋体" w:cs="Times New Roman"/>
          <w:b/>
          <w:bCs/>
          <w:color w:val="FF0000"/>
          <w:sz w:val="24"/>
          <w:szCs w:val="24"/>
        </w:rPr>
        <w:t>、图层能力：支持不少于12个2K图层或6个4K*1K图层或3个4K*2K图层，全部图层大小和位置可单独调节。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5</w:t>
      </w:r>
      <w:r>
        <w:rPr>
          <w:rFonts w:ascii="宋体" w:hAnsi="宋体" w:eastAsia="宋体" w:cs="Times New Roman"/>
          <w:b/>
          <w:bCs/>
          <w:color w:val="FF0000"/>
          <w:sz w:val="24"/>
          <w:szCs w:val="24"/>
        </w:rPr>
        <w:t>、支持通过上位机软件实现对显示屏的连接，控制，包括：输入源切换，窗口位置及大小调节，分辨率自定义等；</w:t>
      </w:r>
    </w:p>
    <w:p>
      <w:pPr>
        <w:spacing w:line="360" w:lineRule="auto"/>
        <w:jc w:val="left"/>
        <w:rPr>
          <w:rFonts w:ascii="宋体" w:hAnsi="宋体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</w:rPr>
        <w:t>6</w:t>
      </w:r>
      <w:r>
        <w:rPr>
          <w:rFonts w:ascii="宋体" w:hAnsi="宋体" w:eastAsia="宋体" w:cs="Times New Roman"/>
          <w:b/>
          <w:bCs/>
          <w:color w:val="FF0000"/>
          <w:sz w:val="24"/>
          <w:szCs w:val="24"/>
        </w:rPr>
        <w:t>、支持多种大屏 OSD 功能:图片、滚动宇幕(横向、竖向)、天气预报、时钟等，支持字体间距、颜色、位置、不透明度、滚动速度等参数设置，支持任意比例缩放；</w:t>
      </w:r>
    </w:p>
    <w:p>
      <w:pPr>
        <w:pStyle w:val="2"/>
        <w:jc w:val="left"/>
        <w:rPr>
          <w:rFonts w:hint="default" w:eastAsia="宋体"/>
          <w:lang w:val="en-US" w:eastAsia="zh-CN"/>
        </w:rPr>
      </w:pPr>
      <w:r>
        <w:rPr>
          <w:rFonts w:hint="eastAsia" w:ascii="宋体" w:hAnsi="宋体" w:cs="Times New Roman"/>
          <w:b/>
          <w:bCs/>
          <w:color w:val="FF0000"/>
          <w:sz w:val="24"/>
          <w:szCs w:val="24"/>
          <w:lang w:val="en-US" w:eastAsia="zh-CN"/>
        </w:rPr>
        <w:t>备注：以上参数仅</w:t>
      </w:r>
      <w:bookmarkStart w:id="0" w:name="_GoBack"/>
      <w:bookmarkEnd w:id="0"/>
      <w:r>
        <w:rPr>
          <w:rFonts w:hint="eastAsia" w:ascii="宋体" w:hAnsi="宋体" w:cs="Times New Roman"/>
          <w:b/>
          <w:bCs/>
          <w:color w:val="FF0000"/>
          <w:sz w:val="24"/>
          <w:szCs w:val="24"/>
          <w:lang w:val="en-US" w:eastAsia="zh-CN"/>
        </w:rPr>
        <w:t>为产品最低参数配置要求，我方不限制供应商提供优于该技术参数的同类产品。</w:t>
      </w:r>
    </w:p>
    <w:p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0B"/>
    <w:rsid w:val="00146997"/>
    <w:rsid w:val="001547DD"/>
    <w:rsid w:val="001E7A12"/>
    <w:rsid w:val="0024016C"/>
    <w:rsid w:val="00243623"/>
    <w:rsid w:val="00290A0B"/>
    <w:rsid w:val="003927FA"/>
    <w:rsid w:val="00457A1E"/>
    <w:rsid w:val="00465F11"/>
    <w:rsid w:val="004821B3"/>
    <w:rsid w:val="004930BF"/>
    <w:rsid w:val="004B1BEA"/>
    <w:rsid w:val="005A3F50"/>
    <w:rsid w:val="006165A7"/>
    <w:rsid w:val="00776561"/>
    <w:rsid w:val="00865320"/>
    <w:rsid w:val="00890921"/>
    <w:rsid w:val="008F7A18"/>
    <w:rsid w:val="009A2EAA"/>
    <w:rsid w:val="009F7315"/>
    <w:rsid w:val="00A23218"/>
    <w:rsid w:val="00A37544"/>
    <w:rsid w:val="00AA120E"/>
    <w:rsid w:val="00D80437"/>
    <w:rsid w:val="00DA7DD9"/>
    <w:rsid w:val="00E71E1A"/>
    <w:rsid w:val="00EA26CE"/>
    <w:rsid w:val="00EA78B1"/>
    <w:rsid w:val="00EB77D2"/>
    <w:rsid w:val="00F3302D"/>
    <w:rsid w:val="013449D4"/>
    <w:rsid w:val="0160084E"/>
    <w:rsid w:val="01BD24B2"/>
    <w:rsid w:val="01FF430B"/>
    <w:rsid w:val="03C91F80"/>
    <w:rsid w:val="053D3606"/>
    <w:rsid w:val="188E4C20"/>
    <w:rsid w:val="1E2C4113"/>
    <w:rsid w:val="260B3A8F"/>
    <w:rsid w:val="264D304B"/>
    <w:rsid w:val="28CA5735"/>
    <w:rsid w:val="2B3A7D94"/>
    <w:rsid w:val="2E7D06D3"/>
    <w:rsid w:val="2F711AA8"/>
    <w:rsid w:val="34095BCB"/>
    <w:rsid w:val="36733FFE"/>
    <w:rsid w:val="379B4DD0"/>
    <w:rsid w:val="4AA562C8"/>
    <w:rsid w:val="4BDE4847"/>
    <w:rsid w:val="4D5E5C7C"/>
    <w:rsid w:val="58960294"/>
    <w:rsid w:val="607945E1"/>
    <w:rsid w:val="64C243CF"/>
    <w:rsid w:val="6CB247D3"/>
    <w:rsid w:val="6DD6452E"/>
    <w:rsid w:val="710B4D81"/>
    <w:rsid w:val="76860B53"/>
    <w:rsid w:val="77AC5636"/>
    <w:rsid w:val="7B1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5">
    <w:name w:val="heading 2"/>
    <w:basedOn w:val="1"/>
    <w:next w:val="1"/>
    <w:link w:val="22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6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7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8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9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10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link w:val="41"/>
    <w:qFormat/>
    <w:uiPriority w:val="0"/>
    <w:pPr>
      <w:spacing w:after="120"/>
    </w:pPr>
    <w:rPr>
      <w:rFonts w:ascii="Times New Roman" w:hAnsi="Times New Roman" w:eastAsia="宋体" w:cs="Times New Roman"/>
      <w:szCs w:val="20"/>
    </w:rPr>
  </w:style>
  <w:style w:type="paragraph" w:styleId="3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3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index 1"/>
    <w:basedOn w:val="1"/>
    <w:next w:val="1"/>
    <w:semiHidden/>
    <w:unhideWhenUsed/>
    <w:qFormat/>
    <w:uiPriority w:val="99"/>
  </w:style>
  <w:style w:type="character" w:styleId="19">
    <w:name w:val="Strong"/>
    <w:basedOn w:val="18"/>
    <w:qFormat/>
    <w:uiPriority w:val="22"/>
    <w:rPr>
      <w:b/>
    </w:rPr>
  </w:style>
  <w:style w:type="character" w:styleId="20">
    <w:name w:val="Hyperlink"/>
    <w:basedOn w:val="18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1 字符"/>
    <w:basedOn w:val="18"/>
    <w:link w:val="4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5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6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7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8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9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10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11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2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4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3"/>
    <w:qFormat/>
    <w:uiPriority w:val="99"/>
    <w:rPr>
      <w:sz w:val="18"/>
      <w:szCs w:val="18"/>
    </w:rPr>
  </w:style>
  <w:style w:type="character" w:customStyle="1" w:styleId="41">
    <w:name w:val="正文文本 字符"/>
    <w:basedOn w:val="18"/>
    <w:link w:val="2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42">
    <w:name w:val="_Style 551"/>
    <w:basedOn w:val="6"/>
    <w:qFormat/>
    <w:uiPriority w:val="0"/>
    <w:pPr>
      <w:tabs>
        <w:tab w:val="left" w:pos="567"/>
      </w:tabs>
      <w:spacing w:before="60" w:after="60" w:line="360" w:lineRule="auto"/>
      <w:ind w:left="936" w:hanging="680"/>
      <w:outlineLvl w:val="3"/>
    </w:pPr>
    <w:rPr>
      <w:rFonts w:ascii="Times New Roman" w:hAnsi="Times New Roman" w:eastAsia="宋体" w:cs="Times New Roman"/>
      <w:b/>
      <w:bCs/>
      <w:color w:val="auto"/>
      <w:sz w:val="21"/>
      <w:szCs w:val="24"/>
      <w:u w:val="single"/>
    </w:rPr>
  </w:style>
  <w:style w:type="character" w:customStyle="1" w:styleId="43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17688</Words>
  <Characters>20455</Characters>
  <Lines>148</Lines>
  <Paragraphs>41</Paragraphs>
  <TotalTime>0</TotalTime>
  <ScaleCrop>false</ScaleCrop>
  <LinksUpToDate>false</LinksUpToDate>
  <CharactersWithSpaces>20587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2025-07-12T02:23:00Z</dcterms:created>
  <dc:creator>swai FAN</dc:creator>
  <cp:lastModifiedBy>潘光波</cp:lastModifiedBy>
  <dcterms:modified xsi:type="dcterms:W3CDTF">2026-05-26T08:16:15Z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eyJoZGlkIjoiOTAyMDA4N2Y5NTZmMTc0YTVmYThlNmExZmYxNjYxZjEiLCJ1c2VySWQiOiI3MTc3MjQyNDMifQ==</vt:lpwstr>
  </property>
  <property fmtid="{D5CDD505-2E9C-101B-9397-08002B2CF9AE}" pid="3" name="KSOProductBuildVer">
    <vt:lpwstr>2052-11.8.2.11716</vt:lpwstr>
  </property>
  <property fmtid="{D5CDD505-2E9C-101B-9397-08002B2CF9AE}" pid="4" name="ICV">
    <vt:lpwstr>B1ABDCA95D31445686E3D6F558775EF1_13</vt:lpwstr>
  </property>
</Properties>
</file>