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DFDF2">
      <w:pPr>
        <w:kinsoku w:val="0"/>
        <w:overflowPunct w:val="0"/>
        <w:spacing w:line="673" w:lineRule="exact"/>
        <w:ind w:left="203"/>
        <w:jc w:val="center"/>
        <w:outlineLvl w:val="1"/>
        <w:rPr>
          <w:rFonts w:hint="eastAsia" w:ascii="华文中宋" w:hAnsi="华文中宋" w:eastAsia="华文中宋" w:cs="华文中宋"/>
          <w:b/>
          <w:bCs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sz w:val="28"/>
          <w:szCs w:val="28"/>
        </w:rPr>
        <w:t>质疑函</w:t>
      </w:r>
    </w:p>
    <w:p w14:paraId="74655A05"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致：广西电网有限责任公司</w:t>
      </w:r>
    </w:p>
    <w:p w14:paraId="6F3B771C"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b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</w:rPr>
        <w:t>我司报名参与了项目名称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>：广西电网公司2026年第二批省级物资集中公开招标项目</w:t>
      </w:r>
      <w:r>
        <w:rPr>
          <w:rFonts w:hint="eastAsia" w:ascii="宋体" w:hAnsi="宋体" w:eastAsia="宋体" w:cs="Times New Roman"/>
          <w:bCs/>
          <w:sz w:val="24"/>
          <w:szCs w:val="24"/>
        </w:rPr>
        <w:t>标的：</w:t>
      </w:r>
      <w:r>
        <w:rPr>
          <w:rFonts w:hint="eastAsia" w:ascii="宋体" w:hAnsi="宋体" w:eastAsia="宋体" w:cs="Times New Roman"/>
          <w:b/>
          <w:sz w:val="24"/>
          <w:szCs w:val="24"/>
          <w:u w:val="single"/>
        </w:rPr>
        <w:t>多媒体系统</w:t>
      </w:r>
      <w:r>
        <w:rPr>
          <w:rFonts w:hint="eastAsia" w:ascii="宋体" w:hAnsi="宋体" w:eastAsia="宋体" w:cs="Times New Roman"/>
          <w:b/>
          <w:sz w:val="24"/>
          <w:szCs w:val="24"/>
        </w:rPr>
        <w:t>。</w:t>
      </w:r>
      <w:r>
        <w:rPr>
          <w:rFonts w:hint="eastAsia" w:ascii="宋体" w:hAnsi="宋体" w:eastAsia="宋体" w:cs="Times New Roman"/>
          <w:sz w:val="24"/>
          <w:szCs w:val="24"/>
        </w:rPr>
        <w:t>经认真研究招标文件及市场调研，发现多处有明显倾向性、不合理性，排斥潜在投标人的条件，现就招标文件中具体涉及到的评分办法及技术参数要求等提出质疑，望贵公司本着公开、公平、公正的原则进行答复。</w:t>
      </w:r>
    </w:p>
    <w:p w14:paraId="00205E2B"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一、对南宁隆安供电局2026年屏山供电所显示设备大屏建设项目</w:t>
      </w:r>
    </w:p>
    <w:p w14:paraId="4B598AB1"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技术规范书质疑以下条款：</w:t>
      </w:r>
    </w:p>
    <w:p w14:paraId="486B8165"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质疑条款：</w:t>
      </w: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全彩LED显示屏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：</w:t>
      </w:r>
    </w:p>
    <w:p w14:paraId="6542C52F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26.供货时，提供显示屏制造商同时满足入选工信部《国家级绿色供应链》公示名单、通过绿色供应链管理体系认证GB/T 33635-2017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。</w:t>
      </w:r>
    </w:p>
    <w:p w14:paraId="0DF9F83E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27.供货时，提供显示屏制造商同时满足企业知识产权管理体系认证GB/T 29490-2013（证书带有CNAS标识），并通过ISO56001创新管理体系认证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。</w:t>
      </w:r>
    </w:p>
    <w:p w14:paraId="78532900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28.供货时，提供显示屏制造商同时满足国产化信息系统集成和服务能力LS4、并获得信息安全服务资质认证CCRC应急响应三级证书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。</w:t>
      </w:r>
    </w:p>
    <w:p w14:paraId="2636B539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质疑理由: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以上条款</w:t>
      </w:r>
      <w:r>
        <w:rPr>
          <w:rFonts w:hint="eastAsia" w:ascii="宋体" w:hAnsi="宋体" w:eastAsia="宋体" w:cs="Times New Roman"/>
          <w:sz w:val="24"/>
          <w:szCs w:val="24"/>
        </w:rPr>
        <w:t>第26、27、28项，将显示屏制造商同时满足"工信部国家级绿色供应链公示名单+GB/T 33635绿色供应链认证""GB/T 29490知识产权管理体系（带CNAS标识）+ISO 56001创新管理体系""国产化信息系统集成能力LS4+CCRC应急响应三级"作为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技术参数</w:t>
      </w:r>
      <w:r>
        <w:rPr>
          <w:rFonts w:hint="eastAsia" w:ascii="宋体" w:hAnsi="宋体" w:eastAsia="宋体" w:cs="Times New Roman"/>
          <w:sz w:val="24"/>
          <w:szCs w:val="24"/>
        </w:rPr>
        <w:t>，我方认为上述评审因素与本项目（显示屏货物采购）的具体特点和实际需要不相适应，与所供货物的质量、技术水平、履约能力无直接关联，且多重捆绑要求客观上仅极少数制造商能满足，涉嫌以不合理条件对潜在供应商实行差别待遇或歧视待遇。法律依据：《中华人民共和国政府采购法实施条例》第二十条第二款、《政府采购货物和服务招标投标管理办法》（财政部令第87号）第五十五条、《中华人民共和国招标投标法实施条例》第三十二条。恳请采购人/代理机构对上述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技术参数</w:t>
      </w:r>
      <w:r>
        <w:rPr>
          <w:rFonts w:hint="eastAsia" w:ascii="宋体" w:hAnsi="宋体" w:eastAsia="宋体" w:cs="Times New Roman"/>
          <w:sz w:val="24"/>
          <w:szCs w:val="24"/>
        </w:rPr>
        <w:t>项予以删除，或修改为与显示屏产品本身技术质量、售后服务直接相关的评审因素，确保公平竞争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。</w:t>
      </w:r>
    </w:p>
    <w:p w14:paraId="089C29BF"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FF"/>
          <w:sz w:val="24"/>
          <w:szCs w:val="24"/>
          <w:lang w:val="en-US" w:eastAsia="zh-CN"/>
        </w:rPr>
        <w:t>答疑：1、该条款设置具备合规性与项目必要性。本项目属于南网采购项目，本着积极响应国家绿色低碳发展、绿色采购相关政策要求。工信部国家级绿色供应链入选资质及GB/T 33635-2017绿色供应链管理体系认证，是对显示屏制造商原材料采购、生产加工、废弃物处理、环保管控全流程的权威认证。</w:t>
      </w:r>
    </w:p>
    <w:p w14:paraId="3E1D3F50">
      <w:pPr>
        <w:spacing w:line="360" w:lineRule="auto"/>
        <w:ind w:firstLine="480" w:firstLineChars="200"/>
        <w:jc w:val="left"/>
        <w:rPr>
          <w:rFonts w:hint="eastAsia" w:ascii="宋体" w:hAnsi="宋体" w:eastAsia="宋体" w:cs="Times New Roman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FF"/>
          <w:sz w:val="24"/>
          <w:szCs w:val="24"/>
          <w:lang w:val="en-US" w:eastAsia="zh-CN"/>
        </w:rPr>
        <w:t>2、以上资质均为行业通用、公开可办理的资质，市场上多家企业都能满足，标准对所有投标人完全一致，不存在歧视和排他情形。</w:t>
      </w:r>
    </w:p>
    <w:p w14:paraId="33DB2243">
      <w:pPr>
        <w:spacing w:line="360" w:lineRule="auto"/>
        <w:ind w:firstLine="480" w:firstLineChars="200"/>
        <w:jc w:val="left"/>
        <w:rPr>
          <w:rFonts w:hint="default" w:ascii="宋体" w:hAnsi="宋体" w:eastAsia="宋体" w:cs="Times New Roman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FF"/>
          <w:sz w:val="24"/>
          <w:szCs w:val="24"/>
          <w:lang w:val="en-US" w:eastAsia="zh-CN"/>
        </w:rPr>
        <w:t>3、本项目LED显示屏并非独立单机使用，后续如有需要接入项目整体信息化系统、配套软硬件平台及网络环境，能更好的完成系统集成对接、联网调试、日常运维及突发故障应急处置工作。国产化信息系统集成和服务能力LS4资质，是对制造商国产化系统适配，本着南网对国产系统的要求、软硬件集成调试、本地化服务能力的权威认定，可保障显示屏与现有国产化信息系统完美兼容、稳定适配，规避系统不兼容、对接故障等问题。目全部资质要求均紧扣项目实际管理、使用、履约、服务需求制定，具备充分合理性与必要性，未违反上述法律法规相关规定。该部分条款保持原有内容不变，不予删除、不予修改。</w:t>
      </w:r>
    </w:p>
    <w:p w14:paraId="1ED3FD39"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</w:rPr>
      </w:pPr>
    </w:p>
    <w:p w14:paraId="08AD223C">
      <w:pPr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质疑条款2：</w:t>
      </w: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视频处理器：</w:t>
      </w:r>
    </w:p>
    <w:p w14:paraId="0882123C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8.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以上</w:t>
      </w:r>
      <w:r>
        <w:rPr>
          <w:rFonts w:hint="eastAsia" w:ascii="宋体" w:hAnsi="宋体" w:eastAsia="宋体" w:cs="Times New Roman"/>
          <w:sz w:val="24"/>
          <w:szCs w:val="24"/>
        </w:rPr>
        <w:t>技术参数中带有“”参数投标时须提供CNAS级别部门出具的报告复印件加盖制造商公章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；</w:t>
      </w:r>
    </w:p>
    <w:p w14:paraId="5DA1046A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19.为保证系统的一致性与稳定性，须与LED显示屏为同一品牌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；</w:t>
      </w:r>
    </w:p>
    <w:p w14:paraId="488AA29C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</w:rPr>
        <w:t>20.内置美屏助手，自动识别LED屏幕自主可控芯片型号根据屏幕显示效果进行实时效果调节；（中标供应商在供货时，须提供功能演示，以证明能满足实质性的参数要求）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；</w:t>
      </w:r>
    </w:p>
    <w:p w14:paraId="0B66CEBD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sz w:val="24"/>
          <w:szCs w:val="24"/>
        </w:rPr>
        <w:t>21.支持将常规超长和超高播放画面按宽和高进行打折处理；（中标供应商在供货时，须提供功能演示，以证明能满足实质性的参数要求）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D0664AF">
      <w:pPr>
        <w:spacing w:line="360" w:lineRule="auto"/>
        <w:jc w:val="left"/>
        <w:rPr>
          <w:rFonts w:hint="eastAsia" w:ascii="宋体" w:hAnsi="宋体" w:eastAsia="宋体" w:cs="Times New Roman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质疑理由2：</w:t>
      </w:r>
      <w:r>
        <w:rPr>
          <w:rFonts w:hint="eastAsia" w:ascii="宋体" w:hAnsi="宋体" w:eastAsia="宋体" w:cs="Times New Roman"/>
          <w:sz w:val="24"/>
          <w:szCs w:val="24"/>
        </w:rPr>
        <w:t>招标文件技术条款第8条限定"CNAS级别部门出具报告"、第19条强制控制系统与LED显示屏为同一品牌、第20条要求内置特定命名"美屏助手"并自动识别"自主可控芯片型号"、第21条使用非标准术语"打折处理"且要求中标后演示作为实质性符合证明，我方认为上述要求在表述及设定上存在指向特定品牌/私有功能、限定特定检测机构类别、强制同一品牌配套等问题，与LED显示屏采购项目的实际需要不相适应，与货物本身技术质量无必然排他性关联，涉嫌违反《政府采购法实施条例》第二十条及87号令第五十五条规定，对潜在投标人造成差别待遇或歧视待遇。恳请采购人/代理机构对上述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技术参数</w:t>
      </w:r>
      <w:r>
        <w:rPr>
          <w:rFonts w:hint="eastAsia" w:ascii="宋体" w:hAnsi="宋体" w:eastAsia="宋体" w:cs="Times New Roman"/>
          <w:sz w:val="24"/>
          <w:szCs w:val="24"/>
        </w:rPr>
        <w:t>项予以删除，确保公平竞争</w:t>
      </w:r>
      <w:r>
        <w:rPr>
          <w:rFonts w:hint="eastAsia" w:ascii="宋体" w:hAnsi="宋体" w:eastAsia="宋体" w:cs="Times New Roman"/>
          <w:sz w:val="24"/>
          <w:szCs w:val="24"/>
          <w:lang w:eastAsia="zh-CN"/>
        </w:rPr>
        <w:t>。</w:t>
      </w:r>
    </w:p>
    <w:p w14:paraId="49106C62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 w:ascii="宋体" w:hAnsi="宋体" w:eastAsia="宋体" w:cs="Times New Roman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0000FF"/>
          <w:sz w:val="24"/>
          <w:szCs w:val="24"/>
          <w:lang w:val="en-US" w:eastAsia="zh-CN"/>
        </w:rPr>
        <w:t>答疑：</w:t>
      </w:r>
    </w:p>
    <w:p w14:paraId="0ABCE2FE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 w:ascii="宋体" w:hAnsi="宋体" w:cs="宋体"/>
          <w:color w:val="0000FF"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color w:val="0000FF"/>
          <w:sz w:val="24"/>
          <w:szCs w:val="24"/>
          <w:lang w:val="en-US" w:eastAsia="zh-CN"/>
        </w:rPr>
        <w:t>1、</w:t>
      </w:r>
      <w:r>
        <w:rPr>
          <w:rFonts w:ascii="宋体" w:hAnsi="宋体" w:eastAsia="宋体" w:cs="宋体"/>
          <w:color w:val="0000FF"/>
          <w:sz w:val="24"/>
          <w:szCs w:val="24"/>
        </w:rPr>
        <w:t>CNAS 检测报告，目的是验证产品工艺、功能的真实性与质量可靠性，属于项目质量管控的合理要求</w:t>
      </w:r>
      <w:r>
        <w:rPr>
          <w:rFonts w:hint="eastAsia" w:ascii="宋体" w:hAnsi="宋体" w:cs="宋体"/>
          <w:color w:val="0000FF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color w:val="0000FF"/>
          <w:sz w:val="24"/>
          <w:szCs w:val="24"/>
        </w:rPr>
        <w:t>CNAS 认可检测机构面向全社会开放，送检流程市场化、无指定限制，所有潜在投标人均可自主办理，该要求未限制竞争、未设置排他性门槛；按照原招标文件要求投标</w:t>
      </w:r>
      <w:r>
        <w:rPr>
          <w:rFonts w:hint="eastAsia" w:ascii="宋体" w:hAnsi="宋体" w:cs="宋体"/>
          <w:color w:val="0000FF"/>
          <w:sz w:val="24"/>
          <w:szCs w:val="24"/>
          <w:lang w:eastAsia="zh-CN"/>
        </w:rPr>
        <w:t>。</w:t>
      </w:r>
    </w:p>
    <w:p w14:paraId="618B9F61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 w:ascii="宋体" w:hAnsi="宋体" w:cs="宋体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FF"/>
          <w:sz w:val="24"/>
          <w:szCs w:val="24"/>
          <w:lang w:val="en-US" w:eastAsia="zh-CN"/>
        </w:rPr>
        <w:t>2、本次采购为LED 显示系统整体成套设备，并非单独采购屏体硬件。控制系统与屏体为一体化配套单元，采用同品牌设计可从根源保障软硬件深度兼容、信号传输稳定、联调顺畅、后期运维及故障排查高效，是结合项目长期稳定运行、统一运维的实际刚需设定。</w:t>
      </w:r>
    </w:p>
    <w:p w14:paraId="589E4C35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 w:ascii="宋体" w:hAnsi="宋体" w:cs="宋体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FF"/>
          <w:sz w:val="24"/>
          <w:szCs w:val="24"/>
          <w:lang w:val="en-US" w:eastAsia="zh-CN"/>
        </w:rPr>
        <w:t>3、第20条“内置美屏助手，自动识别LED屏幕自主可控芯片型号根据屏幕显示效果进行实时效果调节；（中标供应商在供货时，须提供功能演示，以证明能满足实质性的参数要求）。”修改为：“内置美屏助手，自动识别LED屏幕自主可控芯片型号根据屏幕显示效果进行实时效果调节。”</w:t>
      </w:r>
    </w:p>
    <w:p w14:paraId="264A591D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default" w:ascii="宋体" w:hAnsi="宋体" w:cs="宋体"/>
          <w:color w:val="0000FF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FF"/>
          <w:sz w:val="24"/>
          <w:szCs w:val="24"/>
          <w:lang w:val="en-US" w:eastAsia="zh-CN"/>
        </w:rPr>
        <w:t>4、第21条“支持将常规超长和超高播放画面按宽和高进行打折处理；（中标供应商在供货时，须提供功能演示，以证明能满足实质性的参数要求）。”修改为：“支持将常规超长和超高播放画面按宽和高进行打折处理。”</w:t>
      </w:r>
    </w:p>
    <w:p w14:paraId="35A96C5F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default" w:ascii="宋体" w:hAnsi="宋体" w:cs="宋体"/>
          <w:color w:val="0000FF"/>
          <w:sz w:val="24"/>
          <w:szCs w:val="24"/>
          <w:lang w:val="en-US" w:eastAsia="zh-CN"/>
        </w:rPr>
      </w:pPr>
    </w:p>
    <w:p w14:paraId="096A12F8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 w:ascii="宋体" w:hAnsi="宋体" w:cs="宋体"/>
          <w:color w:val="0000FF"/>
          <w:sz w:val="24"/>
          <w:szCs w:val="24"/>
          <w:lang w:val="en-US" w:eastAsia="zh-CN"/>
        </w:rPr>
      </w:pPr>
    </w:p>
    <w:p w14:paraId="1D29FEB2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jc w:val="both"/>
        <w:textAlignment w:val="auto"/>
        <w:rPr>
          <w:rFonts w:hint="eastAsia" w:ascii="宋体" w:hAnsi="宋体" w:cs="宋体"/>
          <w:color w:val="0000FF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A0B"/>
    <w:rsid w:val="00146997"/>
    <w:rsid w:val="001547DD"/>
    <w:rsid w:val="001E7A12"/>
    <w:rsid w:val="0024016C"/>
    <w:rsid w:val="00243623"/>
    <w:rsid w:val="00290A0B"/>
    <w:rsid w:val="003927FA"/>
    <w:rsid w:val="00457A1E"/>
    <w:rsid w:val="00465F11"/>
    <w:rsid w:val="004821B3"/>
    <w:rsid w:val="004930BF"/>
    <w:rsid w:val="004B1BEA"/>
    <w:rsid w:val="005A3F50"/>
    <w:rsid w:val="006165A7"/>
    <w:rsid w:val="00776561"/>
    <w:rsid w:val="00865320"/>
    <w:rsid w:val="00890921"/>
    <w:rsid w:val="008F7A18"/>
    <w:rsid w:val="009A2EAA"/>
    <w:rsid w:val="009F7315"/>
    <w:rsid w:val="00A23218"/>
    <w:rsid w:val="00A37544"/>
    <w:rsid w:val="00AA120E"/>
    <w:rsid w:val="00D80437"/>
    <w:rsid w:val="00DA7DD9"/>
    <w:rsid w:val="00E71E1A"/>
    <w:rsid w:val="00EA26CE"/>
    <w:rsid w:val="00EA78B1"/>
    <w:rsid w:val="00EB77D2"/>
    <w:rsid w:val="00F3302D"/>
    <w:rsid w:val="0160084E"/>
    <w:rsid w:val="03C91F80"/>
    <w:rsid w:val="08601D8E"/>
    <w:rsid w:val="0ED25BE6"/>
    <w:rsid w:val="2B3A7D94"/>
    <w:rsid w:val="368B4C9D"/>
    <w:rsid w:val="536C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2"/>
    <w:next w:val="12"/>
    <w:link w:val="41"/>
    <w:qFormat/>
    <w:uiPriority w:val="0"/>
    <w:pPr>
      <w:spacing w:after="120"/>
    </w:pPr>
    <w:rPr>
      <w:rFonts w:ascii="Times New Roman" w:hAnsi="Times New Roman" w:eastAsia="宋体" w:cs="Times New Roman"/>
      <w:szCs w:val="20"/>
    </w:rPr>
  </w:style>
  <w:style w:type="paragraph" w:styleId="12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3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index 1"/>
    <w:basedOn w:val="1"/>
    <w:next w:val="1"/>
    <w:autoRedefine/>
    <w:semiHidden/>
    <w:unhideWhenUsed/>
    <w:qFormat/>
    <w:uiPriority w:val="99"/>
  </w:style>
  <w:style w:type="character" w:styleId="19">
    <w:name w:val="Strong"/>
    <w:basedOn w:val="18"/>
    <w:qFormat/>
    <w:uiPriority w:val="22"/>
    <w:rPr>
      <w:b/>
    </w:rPr>
  </w:style>
  <w:style w:type="character" w:styleId="20">
    <w:name w:val="Hyperlink"/>
    <w:basedOn w:val="18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8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明显强调1"/>
    <w:basedOn w:val="18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明显参考1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8"/>
    <w:link w:val="14"/>
    <w:qFormat/>
    <w:uiPriority w:val="99"/>
    <w:rPr>
      <w:sz w:val="18"/>
      <w:szCs w:val="18"/>
    </w:rPr>
  </w:style>
  <w:style w:type="character" w:customStyle="1" w:styleId="40">
    <w:name w:val="页脚 字符"/>
    <w:basedOn w:val="18"/>
    <w:link w:val="13"/>
    <w:qFormat/>
    <w:uiPriority w:val="99"/>
    <w:rPr>
      <w:sz w:val="18"/>
      <w:szCs w:val="18"/>
    </w:rPr>
  </w:style>
  <w:style w:type="character" w:customStyle="1" w:styleId="41">
    <w:name w:val="正文文本 字符"/>
    <w:basedOn w:val="18"/>
    <w:link w:val="11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42">
    <w:name w:val="_Style 551"/>
    <w:basedOn w:val="4"/>
    <w:qFormat/>
    <w:uiPriority w:val="0"/>
    <w:pPr>
      <w:tabs>
        <w:tab w:val="left" w:pos="567"/>
      </w:tabs>
      <w:spacing w:before="60" w:after="60" w:line="360" w:lineRule="auto"/>
      <w:ind w:left="936" w:hanging="680"/>
      <w:outlineLvl w:val="3"/>
    </w:pPr>
    <w:rPr>
      <w:rFonts w:ascii="Times New Roman" w:hAnsi="Times New Roman" w:eastAsia="宋体" w:cs="Times New Roman"/>
      <w:b/>
      <w:bCs/>
      <w:color w:val="auto"/>
      <w:sz w:val="21"/>
      <w:szCs w:val="24"/>
      <w:u w:val="single"/>
    </w:rPr>
  </w:style>
  <w:style w:type="character" w:customStyle="1" w:styleId="43">
    <w:name w:val="Unresolved Mention"/>
    <w:basedOn w:val="1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1357</Words>
  <Characters>1487</Characters>
  <Lines>148</Lines>
  <Paragraphs>41</Paragraphs>
  <TotalTime>3</TotalTime>
  <ScaleCrop>false</ScaleCrop>
  <LinksUpToDate>false</LinksUpToDate>
  <CharactersWithSpaces>1493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2025-07-12T02:23:00Z</dcterms:created>
  <dc:creator>swai FAN</dc:creator>
  <cp:lastModifiedBy>红尘来去一场梦</cp:lastModifiedBy>
  <dcterms:modified xsi:type="dcterms:W3CDTF">2026-05-26T06:00:19Z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eyJoZGlkIjoiNGI4YTdkNDQxZWUzMTc4MjlkMmE2NWExMTU0MzA3ODEiLCJ1c2VySWQiOiI1MDQ0MTc2MzYifQ==</vt:lpwstr>
  </property>
  <property fmtid="{D5CDD505-2E9C-101B-9397-08002B2CF9AE}" pid="3" name="KSOProductBuildVer">
    <vt:lpwstr>2052-12.1.0.26375</vt:lpwstr>
  </property>
  <property fmtid="{D5CDD505-2E9C-101B-9397-08002B2CF9AE}" pid="4" name="ICV">
    <vt:lpwstr>93A7B00D92974344AEE3ECA10902A0CA_13</vt:lpwstr>
  </property>
</Properties>
</file>